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9854"/>
      </w:tblGrid>
      <w:tr w:rsidR="00A943B2" w:rsidTr="00AD275A">
        <w:trPr>
          <w:trHeight w:hRule="exact" w:val="1588"/>
        </w:trPr>
        <w:tc>
          <w:tcPr>
            <w:tcW w:w="9854" w:type="dxa"/>
          </w:tcPr>
          <w:p w:rsidR="00A943B2" w:rsidRDefault="00C14EF7" w:rsidP="00897FEE">
            <w:pPr>
              <w:pStyle w:val="BusinessUnitName"/>
              <w:rPr>
                <w:sz w:val="22"/>
              </w:rPr>
            </w:pPr>
            <w:r>
              <w:rPr>
                <w:lang w:eastAsia="en-AU"/>
              </w:rPr>
              <w:pict>
                <v:rect id="_x0000_s1039" style="position:absolute;margin-left:-58.95pt;margin-top:-55.2pt;width:598.3pt;height:605.25pt;z-index:-251592705" fillcolor="#00a9ce [3204]" stroked="f"/>
              </w:pict>
            </w:r>
            <w:r>
              <w:rPr>
                <w:lang w:eastAsia="en-AU"/>
              </w:rPr>
              <w:pict>
                <v:group id="_x0000_s1055" style="position:absolute;margin-left:-98.05pt;margin-top:-9.4pt;width:738.7pt;height:797.35pt;z-index:-251576320" coordorigin="-827,918" coordsize="14774,15947">
                  <v:group id="Group 99" o:spid="_x0000_s1056" style="position:absolute;left:-262;top:918;width:12749;height:1610" coordsize="80962,10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group id="Group 81" o:spid="_x0000_s1057" style="position:absolute;width:80962;height:10223" coordorigin="254,226" coordsize="80962,10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Freeform 70" o:spid="_x0000_s1058" style="position:absolute;left:254;top:226;width:80962;height:10224;visibility:visible;mso-wrap-style:square;v-text-anchor:top" coordsize="2488,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BSicMA&#10;AADbAAAADwAAAGRycy9kb3ducmV2LnhtbESPT4vCMBTE74LfITzBm6YWXNxqFFFEQXbBPxdvz+bZ&#10;FpuX0ESt336zsLDHYWZ+w8wWranFkxpfWVYwGiYgiHOrKy4UnE+bwQSED8gaa8uk4E0eFvNuZ4aZ&#10;ti8+0PMYChEh7DNUUIbgMil9XpJBP7SOOHo32xgMUTaF1A2+ItzUMk2SD2mw4rhQoqNVSfn9+DAK&#10;vveH4NLrmi/b8did9enzvq++lOr32uUURKA2/If/2jutYJLC75f4A+T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BSicMAAADbAAAADwAAAAAAAAAAAAAAAACYAgAAZHJzL2Rv&#10;d25yZXYueG1sUEsFBgAAAAAEAAQA9QAAAIgDAAAAAA==&#10;" path="m2488,21v-204,,-204,,-204,c1994,21,1887,107,1808,137v97,81,229,176,470,176c2336,313,2488,313,2488,313v,-292,,-292,,-292m1354,c,,,,,,,157,,157,,157v1524,,1524,,1524,c1709,157,1769,152,1808,137v,,,,,c1808,137,1808,137,1808,137,1710,57,1548,,1354,e" fillcolor="#007e9a [2404]" stroked="f">
                        <v:path arrowok="t" o:connecttype="custom" o:connectlocs="2147483647,223900945;2147483647,223900945;2147483647,1460676850;2147483647,2147483647;2147483647,2147483647;2147483647,223900945;2147483647,0;0,0;0,1673916778;2147483647,1673916778;2147483647,1460676850;2147483647,1460676850;2147483647,1460676850;2147483647,0" o:connectangles="0,0,0,0,0,0,0,0,0,0,0,0,0,0"/>
                        <o:lock v:ext="edit" verticies="t"/>
                      </v:shape>
                      <v:shape id="Freeform 71" o:spid="_x0000_s1059" style="position:absolute;left:254;top:912;width:58837;height:4442;visibility:visible;mso-wrap-style:square;v-text-anchor:top" coordsize="1808,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YiX8QA&#10;AADbAAAADwAAAGRycy9kb3ducmV2LnhtbESPzWrDMBCE74W8g9hAbo2cH0pwo4Tg0NBbiZNDjltr&#10;bbm1VsZSbfftq0Cgx2FmvmG2+9E2oqfO144VLOYJCOLC6ZorBdfL2/MGhA/IGhvHpOCXPOx3k6ct&#10;ptoNfKY+D5WIEPYpKjAhtKmUvjBk0c9dSxy90nUWQ5RdJXWHQ4TbRi6T5EVarDkuGGwpM1R85z9W&#10;wWmVHPrsVn59lOvhM6voaEx+VGo2HQ+vIAKN4T/8aL9rBZsV3L/EHy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GIl/EAAAA2wAAAA8AAAAAAAAAAAAAAAAAmAIAAGRycy9k&#10;b3ducmV2LnhtbFBLBQYAAAAABAAEAPUAAACJAwAAAAA=&#10;" path="m1808,116c1698,54,1548,,1354,,,,,,,,,136,,136,,136v1524,,1524,,1524,c1709,136,1769,131,1808,116e" fillcolor="#00313c [3205]" stroked="f">
                        <v:path arrowok="t" o:connecttype="custom" o:connectlocs="2147483647,1236475422;2147483647,0;0,0;0,1449659826;2147483647,1449659826;2147483647,1236475422" o:connectangles="0,0,0,0,0,0"/>
                      </v:shape>
                      <v:group id="Group 105" o:spid="_x0000_s1060" style="position:absolute;left:9186;top:3326;width:8853;height:1049" coordorigin="6800,3263" coordsize="8851,10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Freeform 72" o:spid="_x0000_s1061" style="position:absolute;left:6800;top:3556;width:1042;height:717;visibility:visible;mso-wrap-style:square;v-text-anchor:top" coordsize="3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KKucMA&#10;AADbAAAADwAAAGRycy9kb3ducmV2LnhtbESPQYvCMBSE7wv+h/AEL4umCkqpTUWFZRcPgl0Pe3w2&#10;z7bYvJQmav33G0HwOMzMN0y66k0jbtS52rKC6SQCQVxYXXOp4Pj7NY5BOI+ssbFMCh7kYJUNPlJM&#10;tL3zgW65L0WAsEtQQeV9m0jpiooMuoltiYN3tp1BH2RXSt3hPcBNI2dRtJAGaw4LFba0rai45Fej&#10;YP/YmH6X/7XXb/LxCY+fF2lJqdGwXy9BeOr9O/xq/2gF8RyeX8IPk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KKucMAAADbAAAADwAAAAAAAAAAAAAAAACYAgAAZHJzL2Rv&#10;d25yZXYueG1sUEsFBgAAAAAEAAQA9QAAAIgDAAAAAA==&#10;" path="m32,c31,8,29,15,26,22v-6,,-6,,-6,c17,9,17,9,17,9,16,7,16,7,16,7v,,,,,c15,9,15,9,15,9,12,22,12,22,12,22v-6,,-6,,-6,c3,15,1,8,,,5,,5,,5,,6,5,7,9,8,13v1,1,1,3,1,4c9,17,9,17,9,17v1,-4,1,-4,1,-4c13,,13,,13,v6,,6,,6,c23,14,23,14,23,14v,3,,3,,3c23,17,23,17,23,17v1,-1,1,-3,1,-4c25,9,26,5,27,r5,xe" fillcolor="#00a9ce [3204]" stroked="f">
                          <v:path arrowok="t" o:connecttype="custom" o:connectlocs="3391059,0;2755243,2338561;2119428,2338561;1801488,956674;1695529,744083;1695529,744083;1589571,956674;1271663,2338561;635815,2338561;0,0;529857,0;847765,1381887;953723,1807068;953723,1807068;1059714,1381887;1377622,0;2013437,0;2437336,1488166;2437336,1807068;2437336,1807068;2543294,1381887;2861202,0;3391059,0" o:connectangles="0,0,0,0,0,0,0,0,0,0,0,0,0,0,0,0,0,0,0,0,0,0,0"/>
                        </v:shape>
                        <v:shape id="Freeform 73" o:spid="_x0000_s1062" style="position:absolute;left:7969;top:3556;width:1073;height:717;visibility:visible;mso-wrap-style:square;v-text-anchor:top" coordsize="3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3DOsUA&#10;AADbAAAADwAAAGRycy9kb3ducmV2LnhtbESPzWrDMBCE74G+g9hCLyGR24MT3CghNRhaekjs5AEW&#10;a2ubWCvXkn/69lWg0OMwM98wu8NsWjFS7xrLCp7XEQji0uqGKwXXS7bagnAeWWNrmRT8kIPD/mGx&#10;w0TbiXMaC1+JAGGXoILa+y6R0pU1GXRr2xEH78v2Bn2QfSV1j1OAm1a+RFEsDTYcFmrsKK2pvBWD&#10;UbDJ9Rt9ns5++f0h0/waZ8XgMqWeHufjKwhPs/8P/7XftYJtDPcv4Q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XcM6xQAAANsAAAAPAAAAAAAAAAAAAAAAAJgCAABkcnMv&#10;ZG93bnJldi54bWxQSwUGAAAAAAQABAD1AAAAigMAAAAA&#10;" path="m33,c31,8,29,15,26,22v-6,,-6,,-6,c17,9,17,9,17,9,16,7,16,7,16,7v,,,,,c16,9,16,9,16,9,12,22,12,22,12,22v-6,,-6,,-6,c4,15,1,8,,,5,,5,,5,,6,5,7,9,9,13v,1,,3,,4c9,17,9,17,9,17v1,-4,1,-4,1,-4c14,,14,,14,v5,,5,,5,c23,14,23,14,23,14v1,3,1,3,1,3c24,17,24,17,24,17v,-1,,-3,1,-4c26,9,27,5,28,r5,xe" fillcolor="#00a9ce [3204]" stroked="f">
                          <v:path arrowok="t" o:connecttype="custom" o:connectlocs="3489363,0;2749189,2338561;2114753,2338561;1797535,956674;1691828,744083;1691828,744083;1691828,956674;1268871,2338561;634436,2338561;0,0;528696,0;951653,1381887;951653,1807068;951653,1807068;1057393,1381887;1480350,0;2009014,0;2431971,1488166;2537710,1807068;2537710,1807068;2643449,1381887;2960667,0;3489363,0" o:connectangles="0,0,0,0,0,0,0,0,0,0,0,0,0,0,0,0,0,0,0,0,0,0,0"/>
                        </v:shape>
                        <v:shape id="Freeform 74" o:spid="_x0000_s1063" style="position:absolute;left:9144;top:3556;width:1073;height:717;visibility:visible;mso-wrap-style:square;v-text-anchor:top" coordsize="3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FmocUA&#10;AADbAAAADwAAAGRycy9kb3ducmV2LnhtbESPQWuDQBSE74H+h+UVegl1bQ9GbDahDQgtPSQaf8DD&#10;fVGJ+9a6m2j/fbcQyHGYmW+Y9XY2vbjS6DrLCl6iGARxbXXHjYLqmD+nIJxH1thbJgW/5GC7eVis&#10;MdN24oKupW9EgLDLUEHr/ZBJ6eqWDLrIDsTBO9nRoA9ybKQecQpw08vXOE6kwY7DQosD7Vqqz+XF&#10;KFgV+oO+9we//PmSu6JK8vLicqWeHuf3NxCeZn8P39qfWkG6gv8v4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EWahxQAAANsAAAAPAAAAAAAAAAAAAAAAAJgCAABkcnMv&#10;ZG93bnJldi54bWxQSwUGAAAAAAQABAD1AAAAigMAAAAA&#10;" path="m33,c31,8,29,15,27,22v-6,,-6,,-6,c17,9,17,9,17,9,16,7,16,7,16,7v,,,,,c16,9,16,9,16,9,13,22,13,22,13,22v-7,,-7,,-7,c4,15,2,8,,,6,,6,,6,,7,5,8,9,9,13v,1,,3,1,4c10,17,10,17,10,17v1,-4,1,-4,1,-4c14,,14,,14,v5,,5,,5,c23,14,23,14,23,14v1,3,1,3,1,3c24,17,24,17,24,17v,-1,1,-3,1,-4c26,9,27,5,28,r5,xe" fillcolor="#00a9ce [3204]" stroked="f">
                          <v:path arrowok="t" o:connecttype="custom" o:connectlocs="3489363,0;2854928,2338561;2220492,2338561;1797535,956674;1691828,744083;1691828,744083;1691828,956674;1374611,2338561;634436,2338561;0,0;634436,0;951653,1381887;1057393,1807068;1057393,1807068;1163132,1381887;1480350,0;2009014,0;2431971,1488166;2537710,1807068;2537710,1807068;2643449,1381887;2960667,0;3489363,0" o:connectangles="0,0,0,0,0,0,0,0,0,0,0,0,0,0,0,0,0,0,0,0,0,0,0"/>
                        </v:shape>
                        <v:oval id="Oval 75" o:spid="_x0000_s1064" style="position:absolute;left:10312;top:4044;width:229;height:2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ELWMQA&#10;AADbAAAADwAAAGRycy9kb3ducmV2LnhtbERPTWvCQBC9F/wPywheSt3ooUh0Da2mUuihqDn0OGTH&#10;JCQ7m2S3Sdpf3z0UPD7e9y6ZTCMG6l1lWcFqGYEgzq2uuFCQXd+eNiCcR9bYWCYFP+Qg2c8edhhr&#10;O/KZhosvRAhhF6OC0vs2ltLlJRl0S9sSB+5me4M+wL6QuscxhJtGrqPoWRqsODSU2NKhpLy+fBsF&#10;9W967Nbptft6zG4f2edrfVpxqtRiPr1sQXia/F38737XCjZhbPgSfoD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xC1jEAAAA2wAAAA8AAAAAAAAAAAAAAAAAmAIAAGRycy9k&#10;b3ducmV2LnhtbFBLBQYAAAAABAAEAPUAAACJAwAAAAA=&#10;" fillcolor="#00a9ce [3204]" stroked="f"/>
                        <v:shape id="Freeform 76" o:spid="_x0000_s1065" style="position:absolute;left:10674;top:3556;width:552;height:717;visibility:visible;mso-wrap-style:square;v-text-anchor:top" coordsize="1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2Z8IA&#10;AADbAAAADwAAAGRycy9kb3ducmV2LnhtbESP3WoCMRSE7wXfIRzBO81aUHRrlCIIRaxQf+jtYXO6&#10;G9ycLEnUtU9vhIKXw8x8w8yXra3FlXwwjhWMhhkI4sJpw6WC42E9mIIIEVlj7ZgU3CnActHtzDHX&#10;7sbfdN3HUiQIhxwVVDE2uZShqMhiGLqGOHm/zluMSfpSao+3BLe1fMuyibRoOC1U2NCqouK8v1gF&#10;Xzh2JsPzdvNz+tO+MOvdydVK9XvtxzuISG18hf/bn1rBdAbPL+k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5LZnwgAAANsAAAAPAAAAAAAAAAAAAAAAAJgCAABkcnMvZG93&#10;bnJldi54bWxQSwUGAAAAAAQABAD1AAAAhwMAAAAA&#10;" path="m17,21v-3,1,-5,1,-7,1c3,22,,18,,12,,4,5,,11,v2,,4,,5,1c15,5,15,5,15,5,14,5,13,4,11,4,8,4,6,7,6,11v,5,2,7,5,7c13,18,14,18,16,17r1,4xe" fillcolor="#00a9ce [3204]" stroked="f">
                          <v:path arrowok="t" o:connecttype="custom" o:connectlocs="1793838,2232249;1055197,2338561;0,1275576;1160726,0;1688308,106312;1582811,531493;1160726,425181;633112,1169297;1160726,1913380;1688308,1807068;1793838,2232249" o:connectangles="0,0,0,0,0,0,0,0,0,0,0"/>
                        </v:shape>
                        <v:shape id="Freeform 77" o:spid="_x0000_s1066" style="position:absolute;left:11322;top:3556;width:520;height:755;visibility:visible;mso-wrap-style:square;v-text-anchor:top" coordsize="1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NgA8AA&#10;AADbAAAADwAAAGRycy9kb3ducmV2LnhtbERPzWrCQBC+F3yHZQRvdWPBVqOrSEFIBQ+NPsCQHZOY&#10;7GzMjpq+ffdQ6PHj+19vB9eqB/Wh9mxgNk1AERfe1lwaOJ/2rwtQQZAttp7JwA8F2G5GL2tMrX/y&#10;Nz1yKVUM4ZCigUqkS7UORUUOw9R3xJG7+N6hRNiX2vb4jOGu1W9J8q4d1hwbKuzos6Kiye/OwJyP&#10;h4+sOR+lKQ5fZZbL7aqtMZPxsFuBEhrkX/znzqyBZVwfv8QfoD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5NgA8AAAADbAAAADwAAAAAAAAAAAAAAAACYAgAAZHJzL2Rvd25y&#10;ZXYueG1sUEsFBgAAAAAEAAQA9QAAAIUDAAAAAA==&#10;" path="m7,23c5,23,3,22,,22,1,17,1,17,1,17v2,1,4,1,6,1c9,18,10,18,10,16,10,15,9,14,6,13,3,12,1,10,1,7,1,3,4,,9,v2,,4,,5,1c14,5,14,5,14,5,12,4,11,4,9,4,7,4,6,5,6,6v,2,1,2,4,3c14,10,16,12,16,15v,5,-4,8,-9,8xe" fillcolor="#00a9ce [3204]" stroked="f">
                          <v:path arrowok="t" o:connecttype="custom" o:connectlocs="740383,2480503;0,2372670;105755,1833403;740383,1941269;1057680,1725569;634595,1402035;105755,754934;951893,0;1480733,107834;1480733,539234;951893,431400;634595,647101;1057680,970635;1692275,1617735;740383,2480503" o:connectangles="0,0,0,0,0,0,0,0,0,0,0,0,0,0,0"/>
                        </v:shape>
                        <v:shape id="Freeform 78" o:spid="_x0000_s1067" style="position:absolute;left:11938;top:3263;width:298;height:1010;visibility:visible;mso-wrap-style:square;v-text-anchor:top" coordsize="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NT1MQA&#10;AADbAAAADwAAAGRycy9kb3ducmV2LnhtbESP3WoCMRSE74W+QzgFb0Sz/pV2NUopKAVB0PoAh80x&#10;u3Zzsk3iun37piB4OczMN8xy3dlatORD5VjBeJSBIC6crtgoOH1thq8gQkTWWDsmBb8UYL166i0x&#10;1+7GB2qP0YgE4ZCjgjLGJpcyFCVZDCPXECfv7LzFmKQ3Unu8Jbit5STLXqTFitNCiQ19lFR8H69W&#10;Qdxvp5u5af1sUDc/l+wyuJrdXqn+c/e+ABGpi4/wvf2pFbyN4f9L+gF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TU9TEAAAA2wAAAA8AAAAAAAAAAAAAAAAAmAIAAGRycy9k&#10;b3ducmV2LnhtbFBLBQYAAAAABAAEAPUAAACJAwAAAAA=&#10;" path="m3,31c3,13,3,13,3,13,,13,,13,,13,,9,,9,,9v8,,8,,8,c8,31,8,31,8,31r-5,xm6,6c4,6,2,5,2,3,2,1,4,,6,,8,,9,1,9,3,9,5,8,6,6,6xe" fillcolor="#00a9ce [3204]" stroked="f">
                          <v:path arrowok="t" o:connecttype="custom" o:connectlocs="329389,3289505;329389,1379465;0,1379465;0,955004;878405,955004;878405,3289505;329389,3289505;658812,636691;219593,318345;658812,0;988201,318345;658812,636691" o:connectangles="0,0,0,0,0,0,0,0,0,0,0,0"/>
                          <o:lock v:ext="edit" verticies="t"/>
                        </v:shape>
                        <v:shape id="Freeform 79" o:spid="_x0000_s1068" style="position:absolute;left:12426;top:3556;width:426;height:717;visibility:visible;mso-wrap-style:square;v-text-anchor:top" coordsize="1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rxK8QA&#10;AADbAAAADwAAAGRycy9kb3ducmV2LnhtbESPzWrDMBCE74W8g9hAbrVsl5bEiRJKqaH01sSQ62Jt&#10;bBNr5VjyT/r0VaHQ4zAz3zC7w2xaMVLvGssKkigGQVxa3XCloDjlj2sQziNrbC2Tgjs5OOwXDzvM&#10;tJ34i8ajr0SAsMtQQe19l0npypoMush2xMG72N6gD7KvpO5xCnDTyjSOX6TBhsNCjR291VRej4NR&#10;8DS4fEzO5vZcxPl4GT4n/f1eKbVazq9bEJ5m/x/+a39oBZsUfr+EH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K8SvEAAAA2wAAAA8AAAAAAAAAAAAAAAAAmAIAAGRycy9k&#10;b3ducmV2LnhtbFBLBQYAAAAABAAEAPUAAACJAwAAAAA=&#10;" path="m12,5v,,-1,,-2,c9,5,7,6,5,9v,13,,13,,13c,22,,22,,22,,,,,,,4,,4,,4,,5,4,5,4,5,4,7,1,8,,10,v1,,2,,3,l12,5xe" fillcolor="#00a9ce [3204]" stroked="f">
                          <v:path arrowok="t" o:connecttype="custom" o:connectlocs="1286913,531493;1072439,531493;536203,956674;536203,2338561;0,2338561;0,0;428982,0;536203,425181;1072439,0;1394167,0;1286913,531493" o:connectangles="0,0,0,0,0,0,0,0,0,0,0"/>
                        </v:shape>
                        <v:shape id="Freeform 80" o:spid="_x0000_s1069" style="position:absolute;left:12947;top:3556;width:718;height:755;visibility:visible;mso-wrap-style:square;v-text-anchor:top" coordsize="2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Ili8MA&#10;AADbAAAADwAAAGRycy9kb3ducmV2LnhtbESPQUvDQBSE74X+h+UVvLWbWikasylFKoonrR709sg+&#10;s8Hs27D7TOO/dwWhx2FmvmGq3eR7NVJMXWAD61UBirgJtuPWwNvr/fIaVBJki31gMvBDCXb1fFZh&#10;acOJX2g8SqsyhFOJBpzIUGqdGkce0yoMxNn7DNGjZBlbbSOeMtz3+rIottpjx3nB4UB3jpqv47c3&#10;MLyPh2fhQ5uiKx42eIUfozwZc7GY9reghCY5h//bj9bAzQb+vuQfo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Ili8MAAADbAAAADwAAAAAAAAAAAAAAAACYAgAAZHJzL2Rv&#10;d25yZXYueG1sUEsFBgAAAAAEAAQA9QAAAIgDAAAAAA==&#10;" path="m11,23c3,23,,18,,12,,4,4,,11,v7,,11,4,11,11c22,18,18,23,11,23xm11,4c7,4,5,7,5,11v,4,2,7,6,7c15,18,16,15,16,11,16,7,15,4,11,4xe" fillcolor="#00a9ce [3204]" stroked="f">
                          <v:path arrowok="t" o:connecttype="custom" o:connectlocs="1170927,2480503;0,1294168;1170927,0;2341822,1186335;1170927,2480503;1170927,431400;532234,1186335;1170927,1941269;1703129,1186335;1170927,431400" o:connectangles="0,0,0,0,0,0,0,0,0,0"/>
                          <o:lock v:ext="edit" verticies="t"/>
                        </v:shape>
                        <v:oval id="Oval 81" o:spid="_x0000_s1070" style="position:absolute;left:13830;top:4044;width:190;height:2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WXgMYA&#10;AADbAAAADwAAAGRycy9kb3ducmV2LnhtbESPQWvCQBSE74X+h+UVvIhuFBGbukrVtBQ8SDUHj4/s&#10;MwnJvo3Zrcb++q4g9DjMzDfMfNmZWlyodaVlBaNhBII4s7rkXEF6+BjMQDiPrLG2TApu5GC5eH6a&#10;Y6ztlb/psve5CBB2MSoovG9iKV1WkEE3tA1x8E62NeiDbHOpW7wGuKnlOIqm0mDJYaHAhtYFZdX+&#10;xyiofpPNeZwczsd+etqmu1X1OeJEqd5L9/4GwlPn/8OP9pdW8DqB+5fwA+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CWXgMYAAADbAAAADwAAAAAAAAAAAAAAAACYAgAAZHJz&#10;L2Rvd25yZXYueG1sUEsFBgAAAAAEAAQA9QAAAIsDAAAAAA==&#10;" fillcolor="#00a9ce [3204]" stroked="f"/>
                        <v:shape id="Freeform 82" o:spid="_x0000_s1071" style="position:absolute;left:14217;top:3556;width:584;height:755;visibility:visible;mso-wrap-style:square;v-text-anchor:top" coordsize="1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BjwcQA&#10;AADbAAAADwAAAGRycy9kb3ducmV2LnhtbESPQWvCQBSE7wX/w/KEXoJuFFpqdBVpEQpe2qjo8ZF9&#10;JsHs25B9avz33UKhx2FmvmEWq9416kZdqD0bmIxTUMSFtzWXBva7zegNVBBki41nMvCgAKvl4GmB&#10;mfV3/qZbLqWKEA4ZGqhE2kzrUFTkMIx9Sxy9s+8cSpRdqW2H9wh3jZ6m6at2WHNcqLCl94qKS351&#10;BuiUHOt8kmz3H8n05HZl8yVyMOZ52K/noIR6+Q//tT+tgdkL/H6JP0A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wY8HEAAAA2wAAAA8AAAAAAAAAAAAAAAAAmAIAAGRycy9k&#10;b3ducmV2LnhtbFBLBQYAAAAABAAEAPUAAACJAwAAAAA=&#10;" path="m14,22v,-2,,-2,,-2c12,22,10,23,7,23,2,23,,20,,16,,11,4,9,10,9v3,,3,,3,c13,8,13,8,13,8,13,5,12,4,8,4,6,4,4,4,2,5,1,1,1,1,1,1,3,,6,,9,v7,,9,3,9,7c18,22,18,22,18,22r-4,xm13,12v-3,,-3,,-3,c7,12,5,14,5,16v,1,1,3,3,3c10,19,12,18,13,17r,-5xe" fillcolor="#00a9ce [3204]" stroked="f">
                          <v:path arrowok="t" o:connecttype="custom" o:connectlocs="1474211,2372670;1474211,2156969;737105,2480503;0,1725569;1053017,970635;1368896,970635;1368896,862768;842388,431400;210597,539234;105315,107834;947702,0;1895404,754934;1895404,2372670;1474211,2372670;1368896,1294168;1053017,1294168;526508,1725569;842388,2049103;1368896,1833403;1368896,1294168" o:connectangles="0,0,0,0,0,0,0,0,0,0,0,0,0,0,0,0,0,0,0,0"/>
                          <o:lock v:ext="edit" verticies="t"/>
                        </v:shape>
                        <v:shape id="Freeform 83" o:spid="_x0000_s1072" style="position:absolute;left:15030;top:3556;width:622;height:755;visibility:visible;mso-wrap-style:square;v-text-anchor:top" coordsize="1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0A9MQA&#10;AADbAAAADwAAAGRycy9kb3ducmV2LnhtbESPT4vCMBTE7wt+h/AEL4um66HVahRZEBT24p+Lt2fz&#10;bIvNS2mirX76jSB4HGbmN8x82ZlK3KlxpWUFP6MIBHFmdcm5guNhPZyAcB5ZY2WZFDzIwXLR+5pj&#10;qm3LO7rvfS4ChF2KCgrv61RKlxVk0I1sTRy8i20M+iCbXOoG2wA3lRxHUSwNlhwWCqzpt6Dsur8Z&#10;Betp8vd9TXLcPs9Vt2mTU5nEtVKDfreagfDU+U/43d5oBdMYXl/C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9APTEAAAA2wAAAA8AAAAAAAAAAAAAAAAAmAIAAGRycy9k&#10;b3ducmV2LnhtbFBLBQYAAAAABAAEAPUAAACJAwAAAAA=&#10;" path="m15,22v,-3,,-3,,-3c12,22,10,23,7,23,2,23,,19,,14,,,,,,,5,,5,,5,v,13,,13,,13c5,16,6,18,9,18v2,,3,-1,5,-3c14,,14,,14,v5,,5,,5,c19,22,19,22,19,22r-4,xe" fillcolor="#00a9ce [3204]" stroked="f">
                          <v:path arrowok="t" o:connecttype="custom" o:connectlocs="1608328,2372670;1608328,2049103;750558,2480503;0,1509869;0,0;536099,0;536099,1402035;964984,1941269;1501115,1617735;1501115,0;2037214,0;2037214,2372670;1608328,2372670" o:connectangles="0,0,0,0,0,0,0,0,0,0,0,0,0"/>
                        </v:shape>
                      </v:group>
                      <v:shape id="Freeform 84" o:spid="_x0000_s1073" style="position:absolute;left:59091;top:912;width:22125;height:8883;visibility:visible;mso-wrap-style:square;v-text-anchor:top" coordsize="680,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pdTcAA&#10;AADbAAAADwAAAGRycy9kb3ducmV2LnhtbESPQYvCMBSE78L+h/AEb5oqrK7VKLKw0D14UNf7o3k2&#10;pc1LSaLWf78RBI/DzHzDrLe9bcWNfKgdK5hOMhDEpdM1Vwr+Tj/jLxAhImtsHZOCBwXYbj4Ga8y1&#10;u/OBbsdYiQThkKMCE2OXSxlKQxbDxHXEybs4bzEm6SupPd4T3LZylmVzabHmtGCwo29DZXO8WgXx&#10;s3WFPlvfFPvfvjDNfMeESo2G/W4FIlIf3+FXu9AKlgt4fkk/QG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zpdTcAAAADbAAAADwAAAAAAAAAAAAAAAACYAgAAZHJzL2Rvd25y&#10;ZXYueG1sUEsFBgAAAAAEAAQA9QAAAIUDAAAAAA==&#10;" path="m476,c186,,79,86,,116v128,73,229,156,470,156c528,272,680,272,680,272,680,,680,,680,l476,xe" fillcolor="#fbfeff [3212]" stroked="f">
                        <v:path arrowok="t" o:connecttype="custom" o:connectlocs="2147483647,0;0,1236476814;2147483647,2147483647;2147483647,2147483647;2147483647,0;2147483647,0" o:connectangles="0,0,0,0,0,0"/>
                      </v:shape>
                      <v:shape id="Freeform 104" o:spid="_x0000_s1074" style="position:absolute;left:59103;top:929;width:22106;height:8861;visibility:visible" coordsize="680,2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PClrwA&#10;AADbAAAADwAAAGRycy9kb3ducmV2LnhtbERPvQrCMBDeBd8hnOBmUx1Eq1FEUNzUVnA9mrOtNpfS&#10;RK1vbwbB8eP7X647U4sXta6yrGAcxSCIc6srLhRcst1oBsJ5ZI21ZVLwIQfrVb+3xETbN5/plfpC&#10;hBB2CSoovW8SKV1ekkEX2YY4cDfbGvQBtoXULb5DuKnlJI6n0mDFoaHEhrYl5Y/0aRQcp8/jbTt/&#10;2Dxt9ie6XzMvbabUcNBtFiA8df4v/rkPWsE8jA1fwg+Qq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Qc8KWvAAAANsAAAAPAAAAAAAAAAAAAAAAAJgCAABkcnMvZG93bnJldi54&#10;bWxQSwUGAAAAAAQABAD1AAAAgQMAAAAA&#10;" adj="-11796480,,5400" path="m476,c186,,79,86,,116v128,73,229,156,470,156c528,272,680,272,680,272,680,,680,,680,l476,xe" fillcolor="#fbfeff [3212]" stroked="f">
                        <v:stroke joinstyle="miter"/>
                        <v:formulas/>
                        <v:path arrowok="t" o:connecttype="custom" o:connectlocs="2147483647,0;0,1230451854;2147483647,2147483647;2147483647,2147483647;2147483647,0;2147483647,0" o:connectangles="0,0,0,0,0,0" textboxrect="0,0,680,272"/>
                        <v:textbox style="mso-next-textbox:#Freeform 104">
                          <w:txbxContent>
                            <w:p w:rsidR="00957B8A" w:rsidRPr="007367A7" w:rsidRDefault="00957B8A" w:rsidP="007D1633">
                              <w:pPr>
                                <w:rPr>
                                  <w:rFonts w:eastAsia="Times New Roman"/>
                                  <w:color w:val="00A9CE" w:themeColor="accent1"/>
                                </w:rPr>
                              </w:pP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75" type="#_x0000_t75" style="position:absolute;left:65836;top:863;width:8941;height:878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MZrPCAAAA2wAAAA8AAABkcnMvZG93bnJldi54bWxET8tqAjEU3Rf8h3AFdzVjKVZHo0ihUGRK&#10;8bHQ3XVynQxObqaTqPHvm0Why8N5z5fRNuJGna8dKxgNMxDEpdM1Vwr2u4/nCQgfkDU2jknBgzws&#10;F72nOeba3XlDt22oRAphn6MCE0KbS+lLQxb90LXEiTu7zmJIsKuk7vCewm0jX7JsLC3WnBoMtvRu&#10;qLxsr1bBqfhpDgc3HX+b+BXxuC7Ob1woNejH1QxEoBj+xX/uT63gNa1PX9IPkI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DGazwgAAANsAAAAPAAAAAAAAAAAAAAAAAJ8C&#10;AABkcnMvZG93bnJldi54bWxQSwUGAAAAAAQABAD3AAAAjgMAAAAA&#10;">
                      <v:imagedata r:id="rId8" o:title=""/>
                      <v:path arrowok="t"/>
                    </v:shape>
                  </v:group>
                  <v:group id="Group 69" o:spid="_x0000_s1076" style="position:absolute;left:-827;top:10206;width:14774;height:6659" coordsize="93818,42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rect id="Rectangle 68" o:spid="_x0000_s1077" style="position:absolute;left:5257;top:10287;width:75990;height:3200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UgvMEA&#10;AADbAAAADwAAAGRycy9kb3ducmV2LnhtbERPTWvCQBC9C/6HZQq96aYWtUQ3QaQV9aY2nofsNAnN&#10;zqbZNUn/vXsQPD7e9zodTC06al1lWcHbNAJBnFtdcaHg+/I1+QDhPLLG2jIp+CcHaTIerTHWtucT&#10;dWdfiBDCLkYFpfdNLKXLSzLoprYhDtyPbQ36ANtC6hb7EG5qOYuihTRYcWgosaFtSfnv+WYU3ObL&#10;w+dw/du9Z1G2PGb1fO93jVKvL8NmBcLT4J/ih3uvFSzC2PAl/ACZ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ILzBAAAA2wAAAA8AAAAAAAAAAAAAAAAAmAIAAGRycy9kb3du&#10;cmV2LnhtbFBLBQYAAAAABAAEAPUAAACGAwAAAAA=&#10;" fillcolor="#fbfeff [3212]" stroked="f" strokeweight="2pt"/>
                    <v:group id="Group 67" o:spid="_x0000_s1078" style="position:absolute;width:93818;height:26426" coordsize="93818,26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Freeform 115" o:spid="_x0000_s1079" style="position:absolute;width:47104;height:12071;visibility:visible;mso-wrap-style:square;v-text-anchor:top" coordsize="1458,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VJ5MEA&#10;AADaAAAADwAAAGRycy9kb3ducmV2LnhtbERPS0vDQBC+C/6HZYTe7MYcisRuizT0cRCs1XoestNs&#10;anY27G7S+O+7BcHT8PE9Z74cbSsG8qFxrOBpmoEgrpxuuFbw9bl+fAYRIrLG1jEp+KUAy8X93RwL&#10;7S78QcMh1iKFcChQgYmxK6QMlSGLYeo64sSdnLcYE/S11B4vKdy2Ms+ymbTYcGow2NHKUPVz6K0C&#10;H3Lzvi2Pp7w/b/bDsS+/3/pSqcnD+PoCItIY/8V/7p1O8+H2yu3Kx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1SeTBAAAA2gAAAA8AAAAAAAAAAAAAAAAAmAIAAGRycy9kb3du&#10;cmV2LnhtbFBLBQYAAAAABAAEAPUAAACGAwAAAAA=&#10;" path="m1458,321c1158,150,746,,214,,,,,,,,,374,,374,,374v680,,680,,680,c1186,374,1351,362,1458,321e" fillcolor="#00313c [3205]" stroked="f">
                        <v:path arrowok="t" o:connecttype="custom" o:connectlocs="2147483647,2147483647;2147483647,0;0,0;0,2147483647;2147483647,2147483647;2147483647,2147483647" o:connectangles="0,0,0,0,0,0"/>
                      </v:shape>
                      <v:shape id="Freeform 116" o:spid="_x0000_s1080" style="position:absolute;top:14031;width:21545;height:6197;visibility:visible;mso-wrap-style:square;v-text-anchor:top" coordsize="667,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oCbsMA&#10;AADaAAAADwAAAGRycy9kb3ducmV2LnhtbESPQWvCQBSE70L/w/IKvTUbU5A2uglBsNSb1Qp6e2Sf&#10;STD7NuxuNfXXdwsFj8PMfMMsytH04kLOd5YVTJMUBHFtdceNgq/d6vkVhA/IGnvLpOCHPJTFw2SB&#10;ubZX/qTLNjQiQtjnqKANYcil9HVLBn1iB+LonawzGKJ0jdQOrxFuepml6Uwa7DgutDjQsqX6vP02&#10;Cl7sca+r7vZebRyt7eFtyGbHtVJPj2M1BxFoDPfwf/tDK8jg70q8Ab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oCbsMAAADaAAAADwAAAAAAAAAAAAAAAACYAgAAZHJzL2Rv&#10;d25yZXYueG1sUEsFBgAAAAAEAAQA9QAAAIgDAAAAAA==&#10;" path="m667,165c513,77,302,,29,,,,,,,,,192,,192,,192v268,,268,,268,c528,192,612,186,667,165e" fillcolor="#00a9ce [3204]" stroked="f">
                        <v:path arrowok="t" o:connecttype="custom" o:connectlocs="2147483647,1719207784;302593844,0;0,0;0,2000533633;2147483647,2000533633;2147483647,1719207784" o:connectangles="0,0,0,0,0,0"/>
                      </v:shape>
                      <v:shape id="Freeform 117" o:spid="_x0000_s1081" style="position:absolute;left:21441;top:14031;width:72269;height:12395;visibility:visible;mso-wrap-style:square;v-text-anchor:top" coordsize="2237,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k8/sMA&#10;AADaAAAADwAAAGRycy9kb3ducmV2LnhtbESPzWrDMBCE74W+g9hCbo2cJoTgWjZuISTQU5yAr4u1&#10;/qHWylhq7OTpq0Chx2FmvmGSbDa9uNLoOssKVssIBHFldceNgst5/7oD4Tyyxt4yKbiRgyx9fkow&#10;1nbiE10L34gAYRejgtb7IZbSVS0ZdEs7EAevtqNBH+TYSD3iFOCml29RtJUGOw4LLQ702VL1XfwY&#10;BYfhVE8feWkL2n+t7tt7uWn4oNTiZc7fQXia/X/4r33UCtbwuBJugE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k8/sMAAADaAAAADwAAAAAAAAAAAAAAAACYAgAAZHJzL2Rv&#10;d25yZXYueG1sUEsFBgAAAAAEAAQA9QAAAIgDAAAAAA==&#10;" path="m669,c262,,112,122,,165,180,268,322,384,661,384v82,,1576,,1576,c2237,,2237,,2237,l669,xe" fillcolor="#00a9ce [3204]" stroked="f">
                        <v:path arrowok="t" o:connecttype="custom" o:connectlocs="2147483647,0;0,1719207784;2147483647,2147483647;2147483647,2147483647;2147483647,0;2147483647,0" o:connectangles="0,0,0,0,0,0"/>
                      </v:shape>
                      <v:shape id="Freeform 118" o:spid="_x0000_s1082" style="position:absolute;left:46981;width:46837;height:24180;visibility:visible;mso-wrap-style:square;v-text-anchor:top" coordsize="1450,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58xMIA&#10;AADaAAAADwAAAGRycy9kb3ducmV2LnhtbESP3YrCMBSE7xd8h3AE79ZUkbJWo/iDUAQvVn2AQ3Ns&#10;q81JaKLWffqNsLCXw8x8w8yXnWnEg1pfW1YwGiYgiAuray4VnE+7zy8QPiBrbCyTghd5WC56H3PM&#10;tH3yNz2OoRQRwj5DBVUILpPSFxUZ9EPriKN3sa3BEGVbSt3iM8JNI8dJkkqDNceFCh1tKipux7tR&#10;kG4wX2+vudsfeOquP6ZM9+lKqUG/W81ABOrCf/ivnWsFE3hfiTd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LnzEwgAAANoAAAAPAAAAAAAAAAAAAAAAAJgCAABkcnMvZG93&#10;bnJldi54bWxQSwUGAAAAAAQABAD1AAAAhwMAAAAA&#10;" path="m1306,c512,,218,238,,321,351,522,628,749,1291,749v159,,155,,155,c1446,,1446,,1446,l1306,xe" fillcolor="#00313c [3205]" stroked="f">
                        <v:path arrowok="t" o:connecttype="custom" o:connectlocs="2147483647,0;0,2147483647;2147483647,2147483647;2147483647,2147483647;2147483647,0;2147483647,0" o:connectangles="0,0,0,0,0,0"/>
                      </v:shape>
                      <v:shape id="Freeform 119" o:spid="_x0000_s1083" style="position:absolute;top:22702;width:71170;height:1422;visibility:visible;mso-wrap-style:square;v-text-anchor:top" coordsize="220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urdMEA&#10;AADaAAAADwAAAGRycy9kb3ducmV2LnhtbESP3YrCMBSE7wXfIRzBO00VLVKNIsKKsHjhzwMcmmNT&#10;bE5KkrV1n36zsLCXw8x8w2x2vW3Ei3yoHSuYTTMQxKXTNVcK7rePyQpEiMgaG8ek4E0BdtvhYIOF&#10;dh1f6HWNlUgQDgUqMDG2hZShNGQxTF1LnLyH8xZjkr6S2mOX4LaR8yzLpcWa04LBlg6Gyuf1yyo4&#10;fX4f+fLUs2W+2ht/Xuhy3kWlxqN+vwYRqY//4b/2SSvI4fdKugF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7q3TBAAAA2gAAAA8AAAAAAAAAAAAAAAAAmAIAAGRycy9kb3du&#10;cmV2LnhtbFBLBQYAAAAABAAEAPUAAACGAwAAAAA=&#10;" path="m2203,38c2169,21,2120,,2058,,,,,,,,,44,,44,,44v2112,,2112,,2112,c2112,44,2193,40,2203,38e" fillcolor="#00313c [3205]" stroked="f">
                        <v:path arrowok="t" o:connecttype="custom" o:connectlocs="2147483647,397121149;2147483647,0;0,0;0,459823127;2147483647,459823127;2147483647,397121149" o:connectangles="0,0,0,0,0,0"/>
                      </v:shape>
                      <v:shape id="Freeform 120" o:spid="_x0000_s1084" style="position:absolute;left:71102;top:22702;width:22644;height:2838;visibility:visible;mso-wrap-style:square;v-text-anchor:top" coordsize="70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1EKsAA&#10;AADaAAAADwAAAGRycy9kb3ducmV2LnhtbESPQWuDQBSE74X+h+UVeqtrSmmDyRpCQGqPNeb+cF9U&#10;dN8u7lbtv+8GAj0OM/MNsz+sZhQzTb63rGCTpCCIG6t7bhXU5+JlC8IHZI2jZVLwSx4O+ePDHjNt&#10;F/6muQqtiBD2GSroQnCZlL7pyKBPrCOO3tVOBkOUUyv1hEuEm1G+pum7NNhzXOjQ0amjZqh+jALj&#10;3r7qi7v259PnwljUKS/loNTz03rcgQi0hv/wvV1qBR9wuxJvgM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1EKsAAAADaAAAADwAAAAAAAAAAAAAAAACYAgAAZHJzL2Rvd25y&#10;ZXYueG1sUEsFBgAAAAAEAAQA9QAAAIUDAAAAAA==&#10;" path="m153,c60,,26,28,,38,41,61,74,88,151,88v550,,550,,550,c701,,701,,701,l153,xe" stroked="f">
                        <v:path arrowok="t" o:connecttype="custom" o:connectlocs="1596486576,0;0,395347702;1575619117,915545273;2147483647,915545273;2147483647,0;1596486576,0" o:connectangles="0,0,0,0,0,0"/>
                      </v:shape>
                      <v:shape id="Freeform 122" o:spid="_x0000_s1085" style="position:absolute;top:18445;width:60090;height:2807;visibility:visible;mso-wrap-style:square;v-text-anchor:top" coordsize="186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47m8EA&#10;AADaAAAADwAAAGRycy9kb3ducmV2LnhtbERPPW/CMBDdkfgP1lViK04ZgAYMKghUFiRIO5TtFB9J&#10;1PgcbDcEfj0eKjE+ve/5sjO1aMn5yrKCt2ECgji3uuJCwffX9nUKwgdkjbVlUnAjD8tFvzfHVNsr&#10;H6nNQiFiCPsUFZQhNKmUPi/JoB/ahjhyZ+sMhghdIbXDaww3tRwlyVgarDg2lNjQuqT8N/szCt79&#10;LZx+VpvDare/fN5PrTPrzUSpwUv3MQMRqAtP8b97pxXErfFKvAF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O5vBAAAA2gAAAA8AAAAAAAAAAAAAAAAAmAIAAGRycy9kb3du&#10;cmV2LnhtbFBLBQYAAAAABAAEAPUAAACGAwAAAAA=&#10;" path="m1707,87v93,,127,-28,153,-37c1819,26,1786,,1709,,,,,,,,,87,,87,,87r1707,xe" stroked="f">
                        <v:path arrowok="t" o:connecttype="custom" o:connectlocs="2147483647,905467229;2147483647,520384763;2147483647,0;0,0;0,905467229;2147483647,905467229" o:connectangles="0,0,0,0,0,0"/>
                      </v:shape>
                    </v:group>
                  </v:group>
                </v:group>
              </w:pict>
            </w:r>
            <w:r w:rsidR="002618F3">
              <w:rPr>
                <w:sz w:val="22"/>
              </w:rPr>
              <w:t>ENERGY FLAGSHIP</w:t>
            </w:r>
          </w:p>
          <w:p w:rsidR="00A943B2" w:rsidRPr="00897FEE" w:rsidRDefault="00A943B2" w:rsidP="00897FEE">
            <w:pPr>
              <w:rPr>
                <w:sz w:val="22"/>
                <w:szCs w:val="22"/>
              </w:rPr>
            </w:pPr>
          </w:p>
        </w:tc>
      </w:tr>
      <w:tr w:rsidR="00A943B2" w:rsidRPr="00716588" w:rsidTr="00897FEE">
        <w:tc>
          <w:tcPr>
            <w:tcW w:w="9854" w:type="dxa"/>
          </w:tcPr>
          <w:p w:rsidR="00A943B2" w:rsidRPr="008F64BD" w:rsidRDefault="002618F3" w:rsidP="008F64BD">
            <w:pPr>
              <w:pStyle w:val="CoverTitle"/>
            </w:pPr>
            <w:r>
              <w:t>Transport Greenhouse Gas Emissions Projections 2013-2050</w:t>
            </w:r>
          </w:p>
          <w:p w:rsidR="00A943B2" w:rsidRPr="00716588" w:rsidRDefault="00A943B2" w:rsidP="005871BD">
            <w:pPr>
              <w:pStyle w:val="CoverSubtitle"/>
            </w:pPr>
          </w:p>
          <w:p w:rsidR="00A943B2" w:rsidRPr="00716588" w:rsidRDefault="00A943B2" w:rsidP="00897FEE">
            <w:pPr>
              <w:rPr>
                <w:color w:val="auto"/>
                <w:sz w:val="22"/>
                <w:szCs w:val="22"/>
              </w:rPr>
            </w:pPr>
          </w:p>
          <w:p w:rsidR="002618F3" w:rsidRDefault="00AA60CF" w:rsidP="00897FEE">
            <w:pPr>
              <w:rPr>
                <w:color w:val="FBFEFF" w:themeColor="background1"/>
                <w:sz w:val="22"/>
                <w:szCs w:val="22"/>
              </w:rPr>
            </w:pPr>
            <w:r>
              <w:rPr>
                <w:color w:val="FBFEFF" w:themeColor="background1"/>
                <w:sz w:val="22"/>
                <w:szCs w:val="22"/>
              </w:rPr>
              <w:t>Luke J Reedman and Paul W Graham</w:t>
            </w:r>
            <w:r w:rsidR="00A943B2" w:rsidRPr="007D1633">
              <w:rPr>
                <w:color w:val="FBFEFF" w:themeColor="background1"/>
                <w:sz w:val="22"/>
                <w:szCs w:val="22"/>
              </w:rPr>
              <w:br/>
            </w:r>
            <w:r w:rsidR="00C14EF7" w:rsidRPr="00C14EF7">
              <w:rPr>
                <w:color w:val="FBFEFF" w:themeColor="background1"/>
              </w:rPr>
              <w:t>EP139979</w:t>
            </w:r>
          </w:p>
          <w:p w:rsidR="00A943B2" w:rsidRPr="007D1633" w:rsidRDefault="002618F3" w:rsidP="00897FEE">
            <w:pPr>
              <w:rPr>
                <w:color w:val="FBFEFF" w:themeColor="background1"/>
                <w:sz w:val="22"/>
                <w:szCs w:val="22"/>
              </w:rPr>
            </w:pPr>
            <w:r>
              <w:rPr>
                <w:color w:val="FBFEFF" w:themeColor="background1"/>
                <w:sz w:val="22"/>
                <w:szCs w:val="22"/>
              </w:rPr>
              <w:t>September 2013</w:t>
            </w:r>
          </w:p>
          <w:p w:rsidR="00A943B2" w:rsidRPr="007D1633" w:rsidRDefault="002618F3" w:rsidP="00897FEE">
            <w:pPr>
              <w:rPr>
                <w:color w:val="FBFEFF" w:themeColor="background1"/>
                <w:sz w:val="22"/>
                <w:szCs w:val="22"/>
              </w:rPr>
            </w:pPr>
            <w:r>
              <w:rPr>
                <w:color w:val="FBFEFF" w:themeColor="background1"/>
                <w:sz w:val="22"/>
                <w:szCs w:val="22"/>
              </w:rPr>
              <w:t xml:space="preserve">Prepared for the </w:t>
            </w:r>
            <w:r w:rsidR="00AA60CF">
              <w:rPr>
                <w:color w:val="FBFEFF" w:themeColor="background1"/>
                <w:sz w:val="22"/>
                <w:szCs w:val="22"/>
              </w:rPr>
              <w:t xml:space="preserve">Department of Industry, Innovation, Climate Change, Science, Research and Tertiary Education and the </w:t>
            </w:r>
            <w:r>
              <w:rPr>
                <w:color w:val="FBFEFF" w:themeColor="background1"/>
                <w:sz w:val="22"/>
                <w:szCs w:val="22"/>
              </w:rPr>
              <w:t>Climate Change Authority</w:t>
            </w:r>
            <w:r w:rsidR="00A943B2" w:rsidRPr="007D1633">
              <w:rPr>
                <w:color w:val="FBFEFF" w:themeColor="background1"/>
                <w:sz w:val="22"/>
                <w:szCs w:val="22"/>
              </w:rPr>
              <w:br/>
            </w:r>
          </w:p>
          <w:p w:rsidR="00A943B2" w:rsidRPr="00716588" w:rsidRDefault="00A943B2" w:rsidP="00897FEE">
            <w:pPr>
              <w:rPr>
                <w:sz w:val="22"/>
                <w:szCs w:val="22"/>
              </w:rPr>
            </w:pPr>
          </w:p>
        </w:tc>
      </w:tr>
    </w:tbl>
    <w:p w:rsidR="00A943B2" w:rsidRDefault="00A943B2" w:rsidP="00897FEE">
      <w:pPr>
        <w:spacing w:after="0"/>
      </w:pPr>
    </w:p>
    <w:p w:rsidR="00787338" w:rsidRDefault="00787338" w:rsidP="00787338"/>
    <w:p w:rsidR="00A943B2" w:rsidRDefault="00A943B2" w:rsidP="00787338">
      <w:r>
        <w:br w:type="page"/>
      </w:r>
    </w:p>
    <w:p w:rsidR="00A943B2" w:rsidRDefault="00A943B2" w:rsidP="005A6C20"/>
    <w:p w:rsidR="00A943B2" w:rsidRDefault="00A943B2" w:rsidP="00F444B7">
      <w:pPr>
        <w:pStyle w:val="VersoPageHeading"/>
      </w:pPr>
      <w:r>
        <w:t>Citation</w:t>
      </w:r>
    </w:p>
    <w:p w:rsidR="00A943B2" w:rsidRPr="00F444B7" w:rsidRDefault="00AA60CF" w:rsidP="005A6C20">
      <w:r>
        <w:t>Reedman, Luke J</w:t>
      </w:r>
      <w:r w:rsidR="00655FB6">
        <w:t>.</w:t>
      </w:r>
      <w:r>
        <w:t xml:space="preserve"> and </w:t>
      </w:r>
      <w:r w:rsidR="00300185">
        <w:t>Graham, Paul W</w:t>
      </w:r>
      <w:r w:rsidR="00655FB6">
        <w:t>.</w:t>
      </w:r>
      <w:r w:rsidR="00300185">
        <w:t xml:space="preserve"> (2013</w:t>
      </w:r>
      <w:r w:rsidR="00A943B2">
        <w:t>) T</w:t>
      </w:r>
      <w:r w:rsidR="00300185">
        <w:t xml:space="preserve">ransport Sector Greenhouse Gas Emissions Projections 2013-2050, Report No. </w:t>
      </w:r>
      <w:r w:rsidR="00414C60">
        <w:t>EP139979</w:t>
      </w:r>
      <w:r w:rsidR="00300185">
        <w:t>,</w:t>
      </w:r>
      <w:r w:rsidR="00A943B2">
        <w:t xml:space="preserve"> CSIRO, Australia.</w:t>
      </w:r>
    </w:p>
    <w:p w:rsidR="00A943B2" w:rsidRDefault="00A943B2" w:rsidP="00F444B7">
      <w:pPr>
        <w:pStyle w:val="VersoPageHeading"/>
      </w:pPr>
      <w:r>
        <w:t>Copyright and disclaimer</w:t>
      </w:r>
    </w:p>
    <w:p w:rsidR="00A943B2" w:rsidRDefault="00300185" w:rsidP="005A6C20">
      <w:r>
        <w:t>© 2013</w:t>
      </w:r>
      <w:r w:rsidR="00A943B2">
        <w:t xml:space="preserve"> CSIRO To the extent permitted by law, all rights are reserved and no part of this publication covered by copyright may be reproduced or copied in any form or by any means except with the written permission of CSIRO.</w:t>
      </w:r>
    </w:p>
    <w:p w:rsidR="00A943B2" w:rsidRDefault="00A943B2" w:rsidP="00F444B7">
      <w:pPr>
        <w:pStyle w:val="VersoPageHeading"/>
      </w:pPr>
      <w:r>
        <w:t>Important disclaimer</w:t>
      </w:r>
    </w:p>
    <w:p w:rsidR="00A943B2" w:rsidRDefault="00A943B2" w:rsidP="005A6C20">
      <w:r>
        <w:t>CSIRO advises that the information contained in this publication comprises general statements based on scientific research. The reader is advised and needs to be aware that such information may be incomplete or unable to be used in any specific situation. No reliance or actions must therefore be made on that information without seeking prior expert professional, scientific and technical advice. To the extent permitted by law, CSIRO (including its employees and consultants) excludes all liability to any person for any consequences, including but not limited to all losses, damages, costs, expenses and any other compensation, arising directly or indirectly from using this publication (in part or in whole) and any information or material contained in it.</w:t>
      </w:r>
    </w:p>
    <w:p w:rsidR="00A943B2" w:rsidRDefault="00A943B2" w:rsidP="005A6C20"/>
    <w:p w:rsidR="00A943B2" w:rsidRDefault="00A943B2">
      <w:pPr>
        <w:spacing w:after="200"/>
      </w:pPr>
    </w:p>
    <w:p w:rsidR="00A943B2" w:rsidRDefault="00A943B2">
      <w:pPr>
        <w:spacing w:after="200"/>
        <w:sectPr w:rsidR="00A943B2" w:rsidSect="005D5D01">
          <w:footerReference w:type="default" r:id="rId9"/>
          <w:type w:val="continuous"/>
          <w:pgSz w:w="11906" w:h="16838" w:code="9"/>
          <w:pgMar w:top="1106" w:right="1134" w:bottom="1134" w:left="1134" w:header="510" w:footer="624" w:gutter="0"/>
          <w:pgNumType w:fmt="lowerRoman" w:start="1"/>
          <w:cols w:space="284"/>
          <w:titlePg/>
          <w:docGrid w:linePitch="360"/>
        </w:sectPr>
      </w:pPr>
    </w:p>
    <w:p w:rsidR="00A943B2" w:rsidRDefault="00A943B2" w:rsidP="001D36DC">
      <w:pPr>
        <w:pStyle w:val="Heading1noTOC"/>
      </w:pPr>
      <w:r w:rsidRPr="00890BD7">
        <w:lastRenderedPageBreak/>
        <w:t>Contents</w:t>
      </w:r>
    </w:p>
    <w:p w:rsidR="0053176E" w:rsidRDefault="00C14EF7">
      <w:pPr>
        <w:pStyle w:val="TOC2"/>
        <w:rPr>
          <w:rFonts w:asciiTheme="minorHAnsi" w:eastAsiaTheme="minorEastAsia" w:hAnsiTheme="minorHAnsi" w:cstheme="minorBidi"/>
          <w:noProof/>
          <w:color w:val="auto"/>
        </w:rPr>
      </w:pPr>
      <w:r>
        <w:rPr>
          <w:b/>
          <w:noProof/>
          <w:color w:val="FFFFFF"/>
          <w:spacing w:val="-7"/>
        </w:rPr>
        <w:fldChar w:fldCharType="begin"/>
      </w:r>
      <w:r w:rsidR="00462182">
        <w:rPr>
          <w:b/>
          <w:noProof/>
          <w:color w:val="FFFFFF"/>
          <w:spacing w:val="-7"/>
        </w:rPr>
        <w:instrText xml:space="preserve"> TOC \h \z \t "Heading 1,2,Heading 2,3,PartTitle,1,Heading 1 Numbered,2,Heading 1 not numbered,2,Heading 2 not numbered,3,Appendix Heading 1,2" </w:instrText>
      </w:r>
      <w:r>
        <w:rPr>
          <w:b/>
          <w:noProof/>
          <w:color w:val="FFFFFF"/>
          <w:spacing w:val="-7"/>
        </w:rPr>
        <w:fldChar w:fldCharType="separate"/>
      </w:r>
      <w:hyperlink w:anchor="_Toc366228026" w:history="1">
        <w:r w:rsidR="0053176E" w:rsidRPr="00743940">
          <w:rPr>
            <w:rStyle w:val="Hyperlink"/>
            <w:noProof/>
          </w:rPr>
          <w:t>Acknowledgments</w:t>
        </w:r>
        <w:r w:rsidR="0053176E">
          <w:rPr>
            <w:noProof/>
            <w:webHidden/>
          </w:rPr>
          <w:tab/>
        </w:r>
        <w:r w:rsidR="0053176E">
          <w:rPr>
            <w:noProof/>
            <w:webHidden/>
          </w:rPr>
          <w:fldChar w:fldCharType="begin"/>
        </w:r>
        <w:r w:rsidR="0053176E">
          <w:rPr>
            <w:noProof/>
            <w:webHidden/>
          </w:rPr>
          <w:instrText xml:space="preserve"> PAGEREF _Toc366228026 \h </w:instrText>
        </w:r>
        <w:r w:rsidR="0053176E">
          <w:rPr>
            <w:noProof/>
            <w:webHidden/>
          </w:rPr>
        </w:r>
        <w:r w:rsidR="0053176E">
          <w:rPr>
            <w:noProof/>
            <w:webHidden/>
          </w:rPr>
          <w:fldChar w:fldCharType="separate"/>
        </w:r>
        <w:r w:rsidR="0053176E">
          <w:rPr>
            <w:noProof/>
            <w:webHidden/>
          </w:rPr>
          <w:t>v</w:t>
        </w:r>
        <w:r w:rsidR="0053176E">
          <w:rPr>
            <w:noProof/>
            <w:webHidden/>
          </w:rPr>
          <w:fldChar w:fldCharType="end"/>
        </w:r>
      </w:hyperlink>
    </w:p>
    <w:p w:rsidR="0053176E" w:rsidRDefault="0053176E">
      <w:pPr>
        <w:pStyle w:val="TOC2"/>
        <w:rPr>
          <w:rFonts w:asciiTheme="minorHAnsi" w:eastAsiaTheme="minorEastAsia" w:hAnsiTheme="minorHAnsi" w:cstheme="minorBidi"/>
          <w:noProof/>
          <w:color w:val="auto"/>
        </w:rPr>
      </w:pPr>
      <w:hyperlink w:anchor="_Toc366228027" w:history="1">
        <w:r w:rsidRPr="00743940">
          <w:rPr>
            <w:rStyle w:val="Hyperlink"/>
            <w:noProof/>
          </w:rPr>
          <w:t>Executive summary</w:t>
        </w:r>
        <w:r>
          <w:rPr>
            <w:noProof/>
            <w:webHidden/>
          </w:rPr>
          <w:tab/>
        </w:r>
        <w:r>
          <w:rPr>
            <w:noProof/>
            <w:webHidden/>
          </w:rPr>
          <w:fldChar w:fldCharType="begin"/>
        </w:r>
        <w:r>
          <w:rPr>
            <w:noProof/>
            <w:webHidden/>
          </w:rPr>
          <w:instrText xml:space="preserve"> PAGEREF _Toc366228027 \h </w:instrText>
        </w:r>
        <w:r>
          <w:rPr>
            <w:noProof/>
            <w:webHidden/>
          </w:rPr>
        </w:r>
        <w:r>
          <w:rPr>
            <w:noProof/>
            <w:webHidden/>
          </w:rPr>
          <w:fldChar w:fldCharType="separate"/>
        </w:r>
        <w:r>
          <w:rPr>
            <w:noProof/>
            <w:webHidden/>
          </w:rPr>
          <w:t>vi</w:t>
        </w:r>
        <w:r>
          <w:rPr>
            <w:noProof/>
            <w:webHidden/>
          </w:rPr>
          <w:fldChar w:fldCharType="end"/>
        </w:r>
      </w:hyperlink>
    </w:p>
    <w:p w:rsidR="0053176E" w:rsidRDefault="0053176E">
      <w:pPr>
        <w:pStyle w:val="TOC2"/>
        <w:rPr>
          <w:rFonts w:asciiTheme="minorHAnsi" w:eastAsiaTheme="minorEastAsia" w:hAnsiTheme="minorHAnsi" w:cstheme="minorBidi"/>
          <w:noProof/>
          <w:color w:val="auto"/>
        </w:rPr>
      </w:pPr>
      <w:hyperlink w:anchor="_Toc366228028" w:history="1">
        <w:r w:rsidRPr="00743940">
          <w:rPr>
            <w:rStyle w:val="Hyperlink"/>
            <w:noProof/>
          </w:rPr>
          <w:t>1</w:t>
        </w:r>
        <w:r>
          <w:rPr>
            <w:rFonts w:asciiTheme="minorHAnsi" w:eastAsiaTheme="minorEastAsia" w:hAnsiTheme="minorHAnsi" w:cstheme="minorBidi"/>
            <w:noProof/>
            <w:color w:val="auto"/>
          </w:rPr>
          <w:tab/>
        </w:r>
        <w:r w:rsidRPr="00743940">
          <w:rPr>
            <w:rStyle w:val="Hyperlink"/>
            <w:noProof/>
          </w:rPr>
          <w:t>Introduction</w:t>
        </w:r>
        <w:r>
          <w:rPr>
            <w:noProof/>
            <w:webHidden/>
          </w:rPr>
          <w:tab/>
        </w:r>
        <w:r>
          <w:rPr>
            <w:noProof/>
            <w:webHidden/>
          </w:rPr>
          <w:fldChar w:fldCharType="begin"/>
        </w:r>
        <w:r>
          <w:rPr>
            <w:noProof/>
            <w:webHidden/>
          </w:rPr>
          <w:instrText xml:space="preserve"> PAGEREF _Toc366228028 \h </w:instrText>
        </w:r>
        <w:r>
          <w:rPr>
            <w:noProof/>
            <w:webHidden/>
          </w:rPr>
        </w:r>
        <w:r>
          <w:rPr>
            <w:noProof/>
            <w:webHidden/>
          </w:rPr>
          <w:fldChar w:fldCharType="separate"/>
        </w:r>
        <w:r>
          <w:rPr>
            <w:noProof/>
            <w:webHidden/>
          </w:rPr>
          <w:t>1</w:t>
        </w:r>
        <w:r>
          <w:rPr>
            <w:noProof/>
            <w:webHidden/>
          </w:rPr>
          <w:fldChar w:fldCharType="end"/>
        </w:r>
      </w:hyperlink>
    </w:p>
    <w:p w:rsidR="0053176E" w:rsidRDefault="0053176E">
      <w:pPr>
        <w:pStyle w:val="TOC2"/>
        <w:rPr>
          <w:rFonts w:asciiTheme="minorHAnsi" w:eastAsiaTheme="minorEastAsia" w:hAnsiTheme="minorHAnsi" w:cstheme="minorBidi"/>
          <w:noProof/>
          <w:color w:val="auto"/>
        </w:rPr>
      </w:pPr>
      <w:hyperlink w:anchor="_Toc366228029" w:history="1">
        <w:r w:rsidRPr="00743940">
          <w:rPr>
            <w:rStyle w:val="Hyperlink"/>
            <w:noProof/>
          </w:rPr>
          <w:t>2</w:t>
        </w:r>
        <w:r>
          <w:rPr>
            <w:rFonts w:asciiTheme="minorHAnsi" w:eastAsiaTheme="minorEastAsia" w:hAnsiTheme="minorHAnsi" w:cstheme="minorBidi"/>
            <w:noProof/>
            <w:color w:val="auto"/>
          </w:rPr>
          <w:tab/>
        </w:r>
        <w:r w:rsidRPr="00743940">
          <w:rPr>
            <w:rStyle w:val="Hyperlink"/>
            <w:noProof/>
          </w:rPr>
          <w:t>Modelling overview</w:t>
        </w:r>
        <w:r>
          <w:rPr>
            <w:noProof/>
            <w:webHidden/>
          </w:rPr>
          <w:tab/>
        </w:r>
        <w:r>
          <w:rPr>
            <w:noProof/>
            <w:webHidden/>
          </w:rPr>
          <w:fldChar w:fldCharType="begin"/>
        </w:r>
        <w:r>
          <w:rPr>
            <w:noProof/>
            <w:webHidden/>
          </w:rPr>
          <w:instrText xml:space="preserve"> PAGEREF _Toc366228029 \h </w:instrText>
        </w:r>
        <w:r>
          <w:rPr>
            <w:noProof/>
            <w:webHidden/>
          </w:rPr>
        </w:r>
        <w:r>
          <w:rPr>
            <w:noProof/>
            <w:webHidden/>
          </w:rPr>
          <w:fldChar w:fldCharType="separate"/>
        </w:r>
        <w:r>
          <w:rPr>
            <w:noProof/>
            <w:webHidden/>
          </w:rPr>
          <w:t>2</w:t>
        </w:r>
        <w:r>
          <w:rPr>
            <w:noProof/>
            <w:webHidden/>
          </w:rPr>
          <w:fldChar w:fldCharType="end"/>
        </w:r>
      </w:hyperlink>
    </w:p>
    <w:p w:rsidR="0053176E" w:rsidRDefault="0053176E">
      <w:pPr>
        <w:pStyle w:val="TOC3"/>
        <w:rPr>
          <w:rFonts w:asciiTheme="minorHAnsi" w:eastAsiaTheme="minorEastAsia" w:hAnsiTheme="minorHAnsi" w:cstheme="minorBidi"/>
          <w:noProof/>
          <w:color w:val="auto"/>
        </w:rPr>
      </w:pPr>
      <w:hyperlink w:anchor="_Toc366228030" w:history="1">
        <w:r w:rsidRPr="00743940">
          <w:rPr>
            <w:rStyle w:val="Hyperlink"/>
            <w:noProof/>
          </w:rPr>
          <w:t>2.1</w:t>
        </w:r>
        <w:r>
          <w:rPr>
            <w:rFonts w:asciiTheme="minorHAnsi" w:eastAsiaTheme="minorEastAsia" w:hAnsiTheme="minorHAnsi" w:cstheme="minorBidi"/>
            <w:noProof/>
            <w:color w:val="auto"/>
          </w:rPr>
          <w:tab/>
        </w:r>
        <w:r w:rsidRPr="00743940">
          <w:rPr>
            <w:rStyle w:val="Hyperlink"/>
            <w:noProof/>
          </w:rPr>
          <w:t>Introduction to the modelling exercise</w:t>
        </w:r>
        <w:r>
          <w:rPr>
            <w:noProof/>
            <w:webHidden/>
          </w:rPr>
          <w:tab/>
        </w:r>
        <w:r>
          <w:rPr>
            <w:noProof/>
            <w:webHidden/>
          </w:rPr>
          <w:fldChar w:fldCharType="begin"/>
        </w:r>
        <w:r>
          <w:rPr>
            <w:noProof/>
            <w:webHidden/>
          </w:rPr>
          <w:instrText xml:space="preserve"> PAGEREF _Toc366228030 \h </w:instrText>
        </w:r>
        <w:r>
          <w:rPr>
            <w:noProof/>
            <w:webHidden/>
          </w:rPr>
        </w:r>
        <w:r>
          <w:rPr>
            <w:noProof/>
            <w:webHidden/>
          </w:rPr>
          <w:fldChar w:fldCharType="separate"/>
        </w:r>
        <w:r>
          <w:rPr>
            <w:noProof/>
            <w:webHidden/>
          </w:rPr>
          <w:t>2</w:t>
        </w:r>
        <w:r>
          <w:rPr>
            <w:noProof/>
            <w:webHidden/>
          </w:rPr>
          <w:fldChar w:fldCharType="end"/>
        </w:r>
      </w:hyperlink>
    </w:p>
    <w:p w:rsidR="0053176E" w:rsidRDefault="0053176E">
      <w:pPr>
        <w:pStyle w:val="TOC3"/>
        <w:rPr>
          <w:rFonts w:asciiTheme="minorHAnsi" w:eastAsiaTheme="minorEastAsia" w:hAnsiTheme="minorHAnsi" w:cstheme="minorBidi"/>
          <w:noProof/>
          <w:color w:val="auto"/>
        </w:rPr>
      </w:pPr>
      <w:hyperlink w:anchor="_Toc366228031" w:history="1">
        <w:r w:rsidRPr="00743940">
          <w:rPr>
            <w:rStyle w:val="Hyperlink"/>
            <w:noProof/>
          </w:rPr>
          <w:t>2.2</w:t>
        </w:r>
        <w:r>
          <w:rPr>
            <w:rFonts w:asciiTheme="minorHAnsi" w:eastAsiaTheme="minorEastAsia" w:hAnsiTheme="minorHAnsi" w:cstheme="minorBidi"/>
            <w:noProof/>
            <w:color w:val="auto"/>
          </w:rPr>
          <w:tab/>
        </w:r>
        <w:r w:rsidRPr="00743940">
          <w:rPr>
            <w:rStyle w:val="Hyperlink"/>
            <w:noProof/>
          </w:rPr>
          <w:t>Scenario overview</w:t>
        </w:r>
        <w:r>
          <w:rPr>
            <w:noProof/>
            <w:webHidden/>
          </w:rPr>
          <w:tab/>
        </w:r>
        <w:r>
          <w:rPr>
            <w:noProof/>
            <w:webHidden/>
          </w:rPr>
          <w:fldChar w:fldCharType="begin"/>
        </w:r>
        <w:r>
          <w:rPr>
            <w:noProof/>
            <w:webHidden/>
          </w:rPr>
          <w:instrText xml:space="preserve"> PAGEREF _Toc366228031 \h </w:instrText>
        </w:r>
        <w:r>
          <w:rPr>
            <w:noProof/>
            <w:webHidden/>
          </w:rPr>
        </w:r>
        <w:r>
          <w:rPr>
            <w:noProof/>
            <w:webHidden/>
          </w:rPr>
          <w:fldChar w:fldCharType="separate"/>
        </w:r>
        <w:r>
          <w:rPr>
            <w:noProof/>
            <w:webHidden/>
          </w:rPr>
          <w:t>2</w:t>
        </w:r>
        <w:r>
          <w:rPr>
            <w:noProof/>
            <w:webHidden/>
          </w:rPr>
          <w:fldChar w:fldCharType="end"/>
        </w:r>
      </w:hyperlink>
    </w:p>
    <w:p w:rsidR="0053176E" w:rsidRDefault="0053176E">
      <w:pPr>
        <w:pStyle w:val="TOC3"/>
        <w:rPr>
          <w:rFonts w:asciiTheme="minorHAnsi" w:eastAsiaTheme="minorEastAsia" w:hAnsiTheme="minorHAnsi" w:cstheme="minorBidi"/>
          <w:noProof/>
          <w:color w:val="auto"/>
        </w:rPr>
      </w:pPr>
      <w:hyperlink w:anchor="_Toc366228032" w:history="1">
        <w:r w:rsidRPr="00743940">
          <w:rPr>
            <w:rStyle w:val="Hyperlink"/>
            <w:noProof/>
          </w:rPr>
          <w:t>2.3</w:t>
        </w:r>
        <w:r>
          <w:rPr>
            <w:rFonts w:asciiTheme="minorHAnsi" w:eastAsiaTheme="minorEastAsia" w:hAnsiTheme="minorHAnsi" w:cstheme="minorBidi"/>
            <w:noProof/>
            <w:color w:val="auto"/>
          </w:rPr>
          <w:tab/>
        </w:r>
        <w:r w:rsidRPr="00743940">
          <w:rPr>
            <w:rStyle w:val="Hyperlink"/>
            <w:noProof/>
          </w:rPr>
          <w:t>Sensitivity cases overview</w:t>
        </w:r>
        <w:r>
          <w:rPr>
            <w:noProof/>
            <w:webHidden/>
          </w:rPr>
          <w:tab/>
        </w:r>
        <w:r>
          <w:rPr>
            <w:noProof/>
            <w:webHidden/>
          </w:rPr>
          <w:fldChar w:fldCharType="begin"/>
        </w:r>
        <w:r>
          <w:rPr>
            <w:noProof/>
            <w:webHidden/>
          </w:rPr>
          <w:instrText xml:space="preserve"> PAGEREF _Toc366228032 \h </w:instrText>
        </w:r>
        <w:r>
          <w:rPr>
            <w:noProof/>
            <w:webHidden/>
          </w:rPr>
        </w:r>
        <w:r>
          <w:rPr>
            <w:noProof/>
            <w:webHidden/>
          </w:rPr>
          <w:fldChar w:fldCharType="separate"/>
        </w:r>
        <w:r>
          <w:rPr>
            <w:noProof/>
            <w:webHidden/>
          </w:rPr>
          <w:t>5</w:t>
        </w:r>
        <w:r>
          <w:rPr>
            <w:noProof/>
            <w:webHidden/>
          </w:rPr>
          <w:fldChar w:fldCharType="end"/>
        </w:r>
      </w:hyperlink>
    </w:p>
    <w:p w:rsidR="0053176E" w:rsidRDefault="0053176E">
      <w:pPr>
        <w:pStyle w:val="TOC2"/>
        <w:rPr>
          <w:rFonts w:asciiTheme="minorHAnsi" w:eastAsiaTheme="minorEastAsia" w:hAnsiTheme="minorHAnsi" w:cstheme="minorBidi"/>
          <w:noProof/>
          <w:color w:val="auto"/>
        </w:rPr>
      </w:pPr>
      <w:hyperlink w:anchor="_Toc366228033" w:history="1">
        <w:r w:rsidRPr="00743940">
          <w:rPr>
            <w:rStyle w:val="Hyperlink"/>
            <w:noProof/>
          </w:rPr>
          <w:t>3</w:t>
        </w:r>
        <w:r>
          <w:rPr>
            <w:rFonts w:asciiTheme="minorHAnsi" w:eastAsiaTheme="minorEastAsia" w:hAnsiTheme="minorHAnsi" w:cstheme="minorBidi"/>
            <w:noProof/>
            <w:color w:val="auto"/>
          </w:rPr>
          <w:tab/>
        </w:r>
        <w:r w:rsidRPr="00743940">
          <w:rPr>
            <w:rStyle w:val="Hyperlink"/>
            <w:noProof/>
          </w:rPr>
          <w:t>Modelling methodology</w:t>
        </w:r>
        <w:r>
          <w:rPr>
            <w:noProof/>
            <w:webHidden/>
          </w:rPr>
          <w:tab/>
        </w:r>
        <w:r>
          <w:rPr>
            <w:noProof/>
            <w:webHidden/>
          </w:rPr>
          <w:fldChar w:fldCharType="begin"/>
        </w:r>
        <w:r>
          <w:rPr>
            <w:noProof/>
            <w:webHidden/>
          </w:rPr>
          <w:instrText xml:space="preserve"> PAGEREF _Toc366228033 \h </w:instrText>
        </w:r>
        <w:r>
          <w:rPr>
            <w:noProof/>
            <w:webHidden/>
          </w:rPr>
        </w:r>
        <w:r>
          <w:rPr>
            <w:noProof/>
            <w:webHidden/>
          </w:rPr>
          <w:fldChar w:fldCharType="separate"/>
        </w:r>
        <w:r>
          <w:rPr>
            <w:noProof/>
            <w:webHidden/>
          </w:rPr>
          <w:t>7</w:t>
        </w:r>
        <w:r>
          <w:rPr>
            <w:noProof/>
            <w:webHidden/>
          </w:rPr>
          <w:fldChar w:fldCharType="end"/>
        </w:r>
      </w:hyperlink>
    </w:p>
    <w:p w:rsidR="0053176E" w:rsidRDefault="0053176E">
      <w:pPr>
        <w:pStyle w:val="TOC3"/>
        <w:rPr>
          <w:rFonts w:asciiTheme="minorHAnsi" w:eastAsiaTheme="minorEastAsia" w:hAnsiTheme="minorHAnsi" w:cstheme="minorBidi"/>
          <w:noProof/>
          <w:color w:val="auto"/>
        </w:rPr>
      </w:pPr>
      <w:hyperlink w:anchor="_Toc366228034" w:history="1">
        <w:r w:rsidRPr="00743940">
          <w:rPr>
            <w:rStyle w:val="Hyperlink"/>
            <w:noProof/>
          </w:rPr>
          <w:t>3.1</w:t>
        </w:r>
        <w:r>
          <w:rPr>
            <w:rFonts w:asciiTheme="minorHAnsi" w:eastAsiaTheme="minorEastAsia" w:hAnsiTheme="minorHAnsi" w:cstheme="minorBidi"/>
            <w:noProof/>
            <w:color w:val="auto"/>
          </w:rPr>
          <w:tab/>
        </w:r>
        <w:r w:rsidRPr="00743940">
          <w:rPr>
            <w:rStyle w:val="Hyperlink"/>
            <w:noProof/>
          </w:rPr>
          <w:t>Non-road transport modes: projection methodology</w:t>
        </w:r>
        <w:r>
          <w:rPr>
            <w:noProof/>
            <w:webHidden/>
          </w:rPr>
          <w:tab/>
        </w:r>
        <w:r>
          <w:rPr>
            <w:noProof/>
            <w:webHidden/>
          </w:rPr>
          <w:fldChar w:fldCharType="begin"/>
        </w:r>
        <w:r>
          <w:rPr>
            <w:noProof/>
            <w:webHidden/>
          </w:rPr>
          <w:instrText xml:space="preserve"> PAGEREF _Toc366228034 \h </w:instrText>
        </w:r>
        <w:r>
          <w:rPr>
            <w:noProof/>
            <w:webHidden/>
          </w:rPr>
        </w:r>
        <w:r>
          <w:rPr>
            <w:noProof/>
            <w:webHidden/>
          </w:rPr>
          <w:fldChar w:fldCharType="separate"/>
        </w:r>
        <w:r>
          <w:rPr>
            <w:noProof/>
            <w:webHidden/>
          </w:rPr>
          <w:t>7</w:t>
        </w:r>
        <w:r>
          <w:rPr>
            <w:noProof/>
            <w:webHidden/>
          </w:rPr>
          <w:fldChar w:fldCharType="end"/>
        </w:r>
      </w:hyperlink>
    </w:p>
    <w:p w:rsidR="0053176E" w:rsidRDefault="0053176E">
      <w:pPr>
        <w:pStyle w:val="TOC3"/>
        <w:rPr>
          <w:rFonts w:asciiTheme="minorHAnsi" w:eastAsiaTheme="minorEastAsia" w:hAnsiTheme="minorHAnsi" w:cstheme="minorBidi"/>
          <w:noProof/>
          <w:color w:val="auto"/>
        </w:rPr>
      </w:pPr>
      <w:hyperlink w:anchor="_Toc366228035" w:history="1">
        <w:r w:rsidRPr="00743940">
          <w:rPr>
            <w:rStyle w:val="Hyperlink"/>
            <w:noProof/>
          </w:rPr>
          <w:t>3.2</w:t>
        </w:r>
        <w:r>
          <w:rPr>
            <w:rFonts w:asciiTheme="minorHAnsi" w:eastAsiaTheme="minorEastAsia" w:hAnsiTheme="minorHAnsi" w:cstheme="minorBidi"/>
            <w:noProof/>
            <w:color w:val="auto"/>
          </w:rPr>
          <w:tab/>
        </w:r>
        <w:r w:rsidRPr="00743940">
          <w:rPr>
            <w:rStyle w:val="Hyperlink"/>
            <w:noProof/>
          </w:rPr>
          <w:t>Road sector modelling</w:t>
        </w:r>
        <w:r>
          <w:rPr>
            <w:noProof/>
            <w:webHidden/>
          </w:rPr>
          <w:tab/>
        </w:r>
        <w:r>
          <w:rPr>
            <w:noProof/>
            <w:webHidden/>
          </w:rPr>
          <w:fldChar w:fldCharType="begin"/>
        </w:r>
        <w:r>
          <w:rPr>
            <w:noProof/>
            <w:webHidden/>
          </w:rPr>
          <w:instrText xml:space="preserve"> PAGEREF _Toc366228035 \h </w:instrText>
        </w:r>
        <w:r>
          <w:rPr>
            <w:noProof/>
            <w:webHidden/>
          </w:rPr>
        </w:r>
        <w:r>
          <w:rPr>
            <w:noProof/>
            <w:webHidden/>
          </w:rPr>
          <w:fldChar w:fldCharType="separate"/>
        </w:r>
        <w:r>
          <w:rPr>
            <w:noProof/>
            <w:webHidden/>
          </w:rPr>
          <w:t>11</w:t>
        </w:r>
        <w:r>
          <w:rPr>
            <w:noProof/>
            <w:webHidden/>
          </w:rPr>
          <w:fldChar w:fldCharType="end"/>
        </w:r>
      </w:hyperlink>
    </w:p>
    <w:p w:rsidR="0053176E" w:rsidRDefault="0053176E">
      <w:pPr>
        <w:pStyle w:val="TOC2"/>
        <w:rPr>
          <w:rFonts w:asciiTheme="minorHAnsi" w:eastAsiaTheme="minorEastAsia" w:hAnsiTheme="minorHAnsi" w:cstheme="minorBidi"/>
          <w:noProof/>
          <w:color w:val="auto"/>
        </w:rPr>
      </w:pPr>
      <w:hyperlink w:anchor="_Toc366228036" w:history="1">
        <w:r w:rsidRPr="00743940">
          <w:rPr>
            <w:rStyle w:val="Hyperlink"/>
            <w:noProof/>
          </w:rPr>
          <w:t>4</w:t>
        </w:r>
        <w:r>
          <w:rPr>
            <w:rFonts w:asciiTheme="minorHAnsi" w:eastAsiaTheme="minorEastAsia" w:hAnsiTheme="minorHAnsi" w:cstheme="minorBidi"/>
            <w:noProof/>
            <w:color w:val="auto"/>
          </w:rPr>
          <w:tab/>
        </w:r>
        <w:r w:rsidRPr="00743940">
          <w:rPr>
            <w:rStyle w:val="Hyperlink"/>
            <w:noProof/>
          </w:rPr>
          <w:t>Key Assumptions</w:t>
        </w:r>
        <w:r>
          <w:rPr>
            <w:noProof/>
            <w:webHidden/>
          </w:rPr>
          <w:tab/>
        </w:r>
        <w:r>
          <w:rPr>
            <w:noProof/>
            <w:webHidden/>
          </w:rPr>
          <w:fldChar w:fldCharType="begin"/>
        </w:r>
        <w:r>
          <w:rPr>
            <w:noProof/>
            <w:webHidden/>
          </w:rPr>
          <w:instrText xml:space="preserve"> PAGEREF _Toc366228036 \h </w:instrText>
        </w:r>
        <w:r>
          <w:rPr>
            <w:noProof/>
            <w:webHidden/>
          </w:rPr>
        </w:r>
        <w:r>
          <w:rPr>
            <w:noProof/>
            <w:webHidden/>
          </w:rPr>
          <w:fldChar w:fldCharType="separate"/>
        </w:r>
        <w:r>
          <w:rPr>
            <w:noProof/>
            <w:webHidden/>
          </w:rPr>
          <w:t>13</w:t>
        </w:r>
        <w:r>
          <w:rPr>
            <w:noProof/>
            <w:webHidden/>
          </w:rPr>
          <w:fldChar w:fldCharType="end"/>
        </w:r>
      </w:hyperlink>
    </w:p>
    <w:p w:rsidR="0053176E" w:rsidRDefault="0053176E">
      <w:pPr>
        <w:pStyle w:val="TOC2"/>
        <w:rPr>
          <w:rFonts w:asciiTheme="minorHAnsi" w:eastAsiaTheme="minorEastAsia" w:hAnsiTheme="minorHAnsi" w:cstheme="minorBidi"/>
          <w:noProof/>
          <w:color w:val="auto"/>
        </w:rPr>
      </w:pPr>
      <w:hyperlink w:anchor="_Toc366228037" w:history="1">
        <w:r w:rsidRPr="00743940">
          <w:rPr>
            <w:rStyle w:val="Hyperlink"/>
            <w:noProof/>
          </w:rPr>
          <w:t>5</w:t>
        </w:r>
        <w:r>
          <w:rPr>
            <w:rFonts w:asciiTheme="minorHAnsi" w:eastAsiaTheme="minorEastAsia" w:hAnsiTheme="minorHAnsi" w:cstheme="minorBidi"/>
            <w:noProof/>
            <w:color w:val="auto"/>
          </w:rPr>
          <w:tab/>
        </w:r>
        <w:r w:rsidRPr="00743940">
          <w:rPr>
            <w:rStyle w:val="Hyperlink"/>
            <w:noProof/>
          </w:rPr>
          <w:t>Scenario results</w:t>
        </w:r>
        <w:r>
          <w:rPr>
            <w:noProof/>
            <w:webHidden/>
          </w:rPr>
          <w:tab/>
        </w:r>
        <w:r>
          <w:rPr>
            <w:noProof/>
            <w:webHidden/>
          </w:rPr>
          <w:fldChar w:fldCharType="begin"/>
        </w:r>
        <w:r>
          <w:rPr>
            <w:noProof/>
            <w:webHidden/>
          </w:rPr>
          <w:instrText xml:space="preserve"> PAGEREF _Toc366228037 \h </w:instrText>
        </w:r>
        <w:r>
          <w:rPr>
            <w:noProof/>
            <w:webHidden/>
          </w:rPr>
        </w:r>
        <w:r>
          <w:rPr>
            <w:noProof/>
            <w:webHidden/>
          </w:rPr>
          <w:fldChar w:fldCharType="separate"/>
        </w:r>
        <w:r>
          <w:rPr>
            <w:noProof/>
            <w:webHidden/>
          </w:rPr>
          <w:t>32</w:t>
        </w:r>
        <w:r>
          <w:rPr>
            <w:noProof/>
            <w:webHidden/>
          </w:rPr>
          <w:fldChar w:fldCharType="end"/>
        </w:r>
      </w:hyperlink>
    </w:p>
    <w:p w:rsidR="0053176E" w:rsidRDefault="0053176E">
      <w:pPr>
        <w:pStyle w:val="TOC3"/>
        <w:rPr>
          <w:rFonts w:asciiTheme="minorHAnsi" w:eastAsiaTheme="minorEastAsia" w:hAnsiTheme="minorHAnsi" w:cstheme="minorBidi"/>
          <w:noProof/>
          <w:color w:val="auto"/>
        </w:rPr>
      </w:pPr>
      <w:hyperlink w:anchor="_Toc366228038" w:history="1">
        <w:r w:rsidRPr="00743940">
          <w:rPr>
            <w:rStyle w:val="Hyperlink"/>
            <w:noProof/>
          </w:rPr>
          <w:t>5.1</w:t>
        </w:r>
        <w:r>
          <w:rPr>
            <w:rFonts w:asciiTheme="minorHAnsi" w:eastAsiaTheme="minorEastAsia" w:hAnsiTheme="minorHAnsi" w:cstheme="minorBidi"/>
            <w:noProof/>
            <w:color w:val="auto"/>
          </w:rPr>
          <w:tab/>
        </w:r>
        <w:r w:rsidRPr="00743940">
          <w:rPr>
            <w:rStyle w:val="Hyperlink"/>
            <w:noProof/>
          </w:rPr>
          <w:t>Central policy scenario</w:t>
        </w:r>
        <w:r>
          <w:rPr>
            <w:noProof/>
            <w:webHidden/>
          </w:rPr>
          <w:tab/>
        </w:r>
        <w:r>
          <w:rPr>
            <w:noProof/>
            <w:webHidden/>
          </w:rPr>
          <w:fldChar w:fldCharType="begin"/>
        </w:r>
        <w:r>
          <w:rPr>
            <w:noProof/>
            <w:webHidden/>
          </w:rPr>
          <w:instrText xml:space="preserve"> PAGEREF _Toc366228038 \h </w:instrText>
        </w:r>
        <w:r>
          <w:rPr>
            <w:noProof/>
            <w:webHidden/>
          </w:rPr>
        </w:r>
        <w:r>
          <w:rPr>
            <w:noProof/>
            <w:webHidden/>
          </w:rPr>
          <w:fldChar w:fldCharType="separate"/>
        </w:r>
        <w:r>
          <w:rPr>
            <w:noProof/>
            <w:webHidden/>
          </w:rPr>
          <w:t>32</w:t>
        </w:r>
        <w:r>
          <w:rPr>
            <w:noProof/>
            <w:webHidden/>
          </w:rPr>
          <w:fldChar w:fldCharType="end"/>
        </w:r>
      </w:hyperlink>
    </w:p>
    <w:p w:rsidR="0053176E" w:rsidRDefault="0053176E">
      <w:pPr>
        <w:pStyle w:val="TOC3"/>
        <w:rPr>
          <w:rFonts w:asciiTheme="minorHAnsi" w:eastAsiaTheme="minorEastAsia" w:hAnsiTheme="minorHAnsi" w:cstheme="minorBidi"/>
          <w:noProof/>
          <w:color w:val="auto"/>
        </w:rPr>
      </w:pPr>
      <w:hyperlink w:anchor="_Toc366228039" w:history="1">
        <w:r w:rsidRPr="00743940">
          <w:rPr>
            <w:rStyle w:val="Hyperlink"/>
            <w:noProof/>
          </w:rPr>
          <w:t>5.2</w:t>
        </w:r>
        <w:r>
          <w:rPr>
            <w:rFonts w:asciiTheme="minorHAnsi" w:eastAsiaTheme="minorEastAsia" w:hAnsiTheme="minorHAnsi" w:cstheme="minorBidi"/>
            <w:noProof/>
            <w:color w:val="auto"/>
          </w:rPr>
          <w:tab/>
        </w:r>
        <w:r w:rsidRPr="00743940">
          <w:rPr>
            <w:rStyle w:val="Hyperlink"/>
            <w:noProof/>
          </w:rPr>
          <w:t>Low carbon price scenario</w:t>
        </w:r>
        <w:r>
          <w:rPr>
            <w:noProof/>
            <w:webHidden/>
          </w:rPr>
          <w:tab/>
        </w:r>
        <w:r>
          <w:rPr>
            <w:noProof/>
            <w:webHidden/>
          </w:rPr>
          <w:fldChar w:fldCharType="begin"/>
        </w:r>
        <w:r>
          <w:rPr>
            <w:noProof/>
            <w:webHidden/>
          </w:rPr>
          <w:instrText xml:space="preserve"> PAGEREF _Toc366228039 \h </w:instrText>
        </w:r>
        <w:r>
          <w:rPr>
            <w:noProof/>
            <w:webHidden/>
          </w:rPr>
        </w:r>
        <w:r>
          <w:rPr>
            <w:noProof/>
            <w:webHidden/>
          </w:rPr>
          <w:fldChar w:fldCharType="separate"/>
        </w:r>
        <w:r>
          <w:rPr>
            <w:noProof/>
            <w:webHidden/>
          </w:rPr>
          <w:t>41</w:t>
        </w:r>
        <w:r>
          <w:rPr>
            <w:noProof/>
            <w:webHidden/>
          </w:rPr>
          <w:fldChar w:fldCharType="end"/>
        </w:r>
      </w:hyperlink>
    </w:p>
    <w:p w:rsidR="0053176E" w:rsidRDefault="0053176E">
      <w:pPr>
        <w:pStyle w:val="TOC3"/>
        <w:rPr>
          <w:rFonts w:asciiTheme="minorHAnsi" w:eastAsiaTheme="minorEastAsia" w:hAnsiTheme="minorHAnsi" w:cstheme="minorBidi"/>
          <w:noProof/>
          <w:color w:val="auto"/>
        </w:rPr>
      </w:pPr>
      <w:hyperlink w:anchor="_Toc366228040" w:history="1">
        <w:r w:rsidRPr="00743940">
          <w:rPr>
            <w:rStyle w:val="Hyperlink"/>
            <w:noProof/>
          </w:rPr>
          <w:t>5.3</w:t>
        </w:r>
        <w:r>
          <w:rPr>
            <w:rFonts w:asciiTheme="minorHAnsi" w:eastAsiaTheme="minorEastAsia" w:hAnsiTheme="minorHAnsi" w:cstheme="minorBidi"/>
            <w:noProof/>
            <w:color w:val="auto"/>
          </w:rPr>
          <w:tab/>
        </w:r>
        <w:r w:rsidRPr="00743940">
          <w:rPr>
            <w:rStyle w:val="Hyperlink"/>
            <w:noProof/>
          </w:rPr>
          <w:t>High carbon price scenario</w:t>
        </w:r>
        <w:r>
          <w:rPr>
            <w:noProof/>
            <w:webHidden/>
          </w:rPr>
          <w:tab/>
        </w:r>
        <w:r>
          <w:rPr>
            <w:noProof/>
            <w:webHidden/>
          </w:rPr>
          <w:fldChar w:fldCharType="begin"/>
        </w:r>
        <w:r>
          <w:rPr>
            <w:noProof/>
            <w:webHidden/>
          </w:rPr>
          <w:instrText xml:space="preserve"> PAGEREF _Toc366228040 \h </w:instrText>
        </w:r>
        <w:r>
          <w:rPr>
            <w:noProof/>
            <w:webHidden/>
          </w:rPr>
        </w:r>
        <w:r>
          <w:rPr>
            <w:noProof/>
            <w:webHidden/>
          </w:rPr>
          <w:fldChar w:fldCharType="separate"/>
        </w:r>
        <w:r>
          <w:rPr>
            <w:noProof/>
            <w:webHidden/>
          </w:rPr>
          <w:t>47</w:t>
        </w:r>
        <w:r>
          <w:rPr>
            <w:noProof/>
            <w:webHidden/>
          </w:rPr>
          <w:fldChar w:fldCharType="end"/>
        </w:r>
      </w:hyperlink>
    </w:p>
    <w:p w:rsidR="0053176E" w:rsidRDefault="0053176E">
      <w:pPr>
        <w:pStyle w:val="TOC3"/>
        <w:rPr>
          <w:rFonts w:asciiTheme="minorHAnsi" w:eastAsiaTheme="minorEastAsia" w:hAnsiTheme="minorHAnsi" w:cstheme="minorBidi"/>
          <w:noProof/>
          <w:color w:val="auto"/>
        </w:rPr>
      </w:pPr>
      <w:hyperlink w:anchor="_Toc366228041" w:history="1">
        <w:r w:rsidRPr="00743940">
          <w:rPr>
            <w:rStyle w:val="Hyperlink"/>
            <w:noProof/>
          </w:rPr>
          <w:t>5.4</w:t>
        </w:r>
        <w:r>
          <w:rPr>
            <w:rFonts w:asciiTheme="minorHAnsi" w:eastAsiaTheme="minorEastAsia" w:hAnsiTheme="minorHAnsi" w:cstheme="minorBidi"/>
            <w:noProof/>
            <w:color w:val="auto"/>
          </w:rPr>
          <w:tab/>
        </w:r>
        <w:r w:rsidRPr="00743940">
          <w:rPr>
            <w:rStyle w:val="Hyperlink"/>
            <w:noProof/>
          </w:rPr>
          <w:t>No carbon price scenario</w:t>
        </w:r>
        <w:r>
          <w:rPr>
            <w:noProof/>
            <w:webHidden/>
          </w:rPr>
          <w:tab/>
        </w:r>
        <w:r>
          <w:rPr>
            <w:noProof/>
            <w:webHidden/>
          </w:rPr>
          <w:fldChar w:fldCharType="begin"/>
        </w:r>
        <w:r>
          <w:rPr>
            <w:noProof/>
            <w:webHidden/>
          </w:rPr>
          <w:instrText xml:space="preserve"> PAGEREF _Toc366228041 \h </w:instrText>
        </w:r>
        <w:r>
          <w:rPr>
            <w:noProof/>
            <w:webHidden/>
          </w:rPr>
        </w:r>
        <w:r>
          <w:rPr>
            <w:noProof/>
            <w:webHidden/>
          </w:rPr>
          <w:fldChar w:fldCharType="separate"/>
        </w:r>
        <w:r>
          <w:rPr>
            <w:noProof/>
            <w:webHidden/>
          </w:rPr>
          <w:t>53</w:t>
        </w:r>
        <w:r>
          <w:rPr>
            <w:noProof/>
            <w:webHidden/>
          </w:rPr>
          <w:fldChar w:fldCharType="end"/>
        </w:r>
      </w:hyperlink>
    </w:p>
    <w:p w:rsidR="0053176E" w:rsidRDefault="0053176E">
      <w:pPr>
        <w:pStyle w:val="TOC2"/>
        <w:rPr>
          <w:rFonts w:asciiTheme="minorHAnsi" w:eastAsiaTheme="minorEastAsia" w:hAnsiTheme="minorHAnsi" w:cstheme="minorBidi"/>
          <w:noProof/>
          <w:color w:val="auto"/>
        </w:rPr>
      </w:pPr>
      <w:hyperlink w:anchor="_Toc366228042" w:history="1">
        <w:r w:rsidRPr="00743940">
          <w:rPr>
            <w:rStyle w:val="Hyperlink"/>
            <w:noProof/>
          </w:rPr>
          <w:t>6</w:t>
        </w:r>
        <w:r>
          <w:rPr>
            <w:rFonts w:asciiTheme="minorHAnsi" w:eastAsiaTheme="minorEastAsia" w:hAnsiTheme="minorHAnsi" w:cstheme="minorBidi"/>
            <w:noProof/>
            <w:color w:val="auto"/>
          </w:rPr>
          <w:tab/>
        </w:r>
        <w:r w:rsidRPr="00743940">
          <w:rPr>
            <w:rStyle w:val="Hyperlink"/>
            <w:noProof/>
          </w:rPr>
          <w:t>Sensitivity cases</w:t>
        </w:r>
        <w:r>
          <w:rPr>
            <w:noProof/>
            <w:webHidden/>
          </w:rPr>
          <w:tab/>
        </w:r>
        <w:r>
          <w:rPr>
            <w:noProof/>
            <w:webHidden/>
          </w:rPr>
          <w:fldChar w:fldCharType="begin"/>
        </w:r>
        <w:r>
          <w:rPr>
            <w:noProof/>
            <w:webHidden/>
          </w:rPr>
          <w:instrText xml:space="preserve"> PAGEREF _Toc366228042 \h </w:instrText>
        </w:r>
        <w:r>
          <w:rPr>
            <w:noProof/>
            <w:webHidden/>
          </w:rPr>
        </w:r>
        <w:r>
          <w:rPr>
            <w:noProof/>
            <w:webHidden/>
          </w:rPr>
          <w:fldChar w:fldCharType="separate"/>
        </w:r>
        <w:r>
          <w:rPr>
            <w:noProof/>
            <w:webHidden/>
          </w:rPr>
          <w:t>59</w:t>
        </w:r>
        <w:r>
          <w:rPr>
            <w:noProof/>
            <w:webHidden/>
          </w:rPr>
          <w:fldChar w:fldCharType="end"/>
        </w:r>
      </w:hyperlink>
    </w:p>
    <w:p w:rsidR="0053176E" w:rsidRDefault="0053176E">
      <w:pPr>
        <w:pStyle w:val="TOC3"/>
        <w:rPr>
          <w:rFonts w:asciiTheme="minorHAnsi" w:eastAsiaTheme="minorEastAsia" w:hAnsiTheme="minorHAnsi" w:cstheme="minorBidi"/>
          <w:noProof/>
          <w:color w:val="auto"/>
        </w:rPr>
      </w:pPr>
      <w:hyperlink w:anchor="_Toc366228043" w:history="1">
        <w:r w:rsidRPr="00743940">
          <w:rPr>
            <w:rStyle w:val="Hyperlink"/>
            <w:noProof/>
          </w:rPr>
          <w:t>6.1</w:t>
        </w:r>
        <w:r>
          <w:rPr>
            <w:rFonts w:asciiTheme="minorHAnsi" w:eastAsiaTheme="minorEastAsia" w:hAnsiTheme="minorHAnsi" w:cstheme="minorBidi"/>
            <w:noProof/>
            <w:color w:val="auto"/>
          </w:rPr>
          <w:tab/>
        </w:r>
        <w:r w:rsidRPr="00743940">
          <w:rPr>
            <w:rStyle w:val="Hyperlink"/>
            <w:noProof/>
          </w:rPr>
          <w:t>Minimum emission standards for new cars</w:t>
        </w:r>
        <w:r>
          <w:rPr>
            <w:noProof/>
            <w:webHidden/>
          </w:rPr>
          <w:tab/>
        </w:r>
        <w:r>
          <w:rPr>
            <w:noProof/>
            <w:webHidden/>
          </w:rPr>
          <w:fldChar w:fldCharType="begin"/>
        </w:r>
        <w:r>
          <w:rPr>
            <w:noProof/>
            <w:webHidden/>
          </w:rPr>
          <w:instrText xml:space="preserve"> PAGEREF _Toc366228043 \h </w:instrText>
        </w:r>
        <w:r>
          <w:rPr>
            <w:noProof/>
            <w:webHidden/>
          </w:rPr>
        </w:r>
        <w:r>
          <w:rPr>
            <w:noProof/>
            <w:webHidden/>
          </w:rPr>
          <w:fldChar w:fldCharType="separate"/>
        </w:r>
        <w:r>
          <w:rPr>
            <w:noProof/>
            <w:webHidden/>
          </w:rPr>
          <w:t>59</w:t>
        </w:r>
        <w:r>
          <w:rPr>
            <w:noProof/>
            <w:webHidden/>
          </w:rPr>
          <w:fldChar w:fldCharType="end"/>
        </w:r>
      </w:hyperlink>
    </w:p>
    <w:p w:rsidR="0053176E" w:rsidRDefault="0053176E">
      <w:pPr>
        <w:pStyle w:val="TOC3"/>
        <w:rPr>
          <w:rFonts w:asciiTheme="minorHAnsi" w:eastAsiaTheme="minorEastAsia" w:hAnsiTheme="minorHAnsi" w:cstheme="minorBidi"/>
          <w:noProof/>
          <w:color w:val="auto"/>
        </w:rPr>
      </w:pPr>
      <w:hyperlink w:anchor="_Toc366228044" w:history="1">
        <w:r w:rsidRPr="00743940">
          <w:rPr>
            <w:rStyle w:val="Hyperlink"/>
            <w:noProof/>
          </w:rPr>
          <w:t>6.2</w:t>
        </w:r>
        <w:r>
          <w:rPr>
            <w:rFonts w:asciiTheme="minorHAnsi" w:eastAsiaTheme="minorEastAsia" w:hAnsiTheme="minorHAnsi" w:cstheme="minorBidi"/>
            <w:noProof/>
            <w:color w:val="auto"/>
          </w:rPr>
          <w:tab/>
        </w:r>
        <w:r w:rsidRPr="00743940">
          <w:rPr>
            <w:rStyle w:val="Hyperlink"/>
            <w:noProof/>
          </w:rPr>
          <w:t>No carbon price on heavy road vehicles from 2014</w:t>
        </w:r>
        <w:r>
          <w:rPr>
            <w:noProof/>
            <w:webHidden/>
          </w:rPr>
          <w:tab/>
        </w:r>
        <w:r>
          <w:rPr>
            <w:noProof/>
            <w:webHidden/>
          </w:rPr>
          <w:fldChar w:fldCharType="begin"/>
        </w:r>
        <w:r>
          <w:rPr>
            <w:noProof/>
            <w:webHidden/>
          </w:rPr>
          <w:instrText xml:space="preserve"> PAGEREF _Toc366228044 \h </w:instrText>
        </w:r>
        <w:r>
          <w:rPr>
            <w:noProof/>
            <w:webHidden/>
          </w:rPr>
        </w:r>
        <w:r>
          <w:rPr>
            <w:noProof/>
            <w:webHidden/>
          </w:rPr>
          <w:fldChar w:fldCharType="separate"/>
        </w:r>
        <w:r>
          <w:rPr>
            <w:noProof/>
            <w:webHidden/>
          </w:rPr>
          <w:t>63</w:t>
        </w:r>
        <w:r>
          <w:rPr>
            <w:noProof/>
            <w:webHidden/>
          </w:rPr>
          <w:fldChar w:fldCharType="end"/>
        </w:r>
      </w:hyperlink>
    </w:p>
    <w:p w:rsidR="0053176E" w:rsidRDefault="0053176E">
      <w:pPr>
        <w:pStyle w:val="TOC3"/>
        <w:rPr>
          <w:rFonts w:asciiTheme="minorHAnsi" w:eastAsiaTheme="minorEastAsia" w:hAnsiTheme="minorHAnsi" w:cstheme="minorBidi"/>
          <w:noProof/>
          <w:color w:val="auto"/>
        </w:rPr>
      </w:pPr>
      <w:hyperlink w:anchor="_Toc366228045" w:history="1">
        <w:r w:rsidRPr="00743940">
          <w:rPr>
            <w:rStyle w:val="Hyperlink"/>
            <w:noProof/>
          </w:rPr>
          <w:t>6.3</w:t>
        </w:r>
        <w:r>
          <w:rPr>
            <w:rFonts w:asciiTheme="minorHAnsi" w:eastAsiaTheme="minorEastAsia" w:hAnsiTheme="minorHAnsi" w:cstheme="minorBidi"/>
            <w:noProof/>
            <w:color w:val="auto"/>
          </w:rPr>
          <w:tab/>
        </w:r>
        <w:r w:rsidRPr="00743940">
          <w:rPr>
            <w:rStyle w:val="Hyperlink"/>
            <w:noProof/>
          </w:rPr>
          <w:t>High oil prices</w:t>
        </w:r>
        <w:r>
          <w:rPr>
            <w:noProof/>
            <w:webHidden/>
          </w:rPr>
          <w:tab/>
        </w:r>
        <w:r>
          <w:rPr>
            <w:noProof/>
            <w:webHidden/>
          </w:rPr>
          <w:fldChar w:fldCharType="begin"/>
        </w:r>
        <w:r>
          <w:rPr>
            <w:noProof/>
            <w:webHidden/>
          </w:rPr>
          <w:instrText xml:space="preserve"> PAGEREF _Toc366228045 \h </w:instrText>
        </w:r>
        <w:r>
          <w:rPr>
            <w:noProof/>
            <w:webHidden/>
          </w:rPr>
        </w:r>
        <w:r>
          <w:rPr>
            <w:noProof/>
            <w:webHidden/>
          </w:rPr>
          <w:fldChar w:fldCharType="separate"/>
        </w:r>
        <w:r>
          <w:rPr>
            <w:noProof/>
            <w:webHidden/>
          </w:rPr>
          <w:t>67</w:t>
        </w:r>
        <w:r>
          <w:rPr>
            <w:noProof/>
            <w:webHidden/>
          </w:rPr>
          <w:fldChar w:fldCharType="end"/>
        </w:r>
      </w:hyperlink>
    </w:p>
    <w:p w:rsidR="0053176E" w:rsidRDefault="0053176E">
      <w:pPr>
        <w:pStyle w:val="TOC3"/>
        <w:rPr>
          <w:rFonts w:asciiTheme="minorHAnsi" w:eastAsiaTheme="minorEastAsia" w:hAnsiTheme="minorHAnsi" w:cstheme="minorBidi"/>
          <w:noProof/>
          <w:color w:val="auto"/>
        </w:rPr>
      </w:pPr>
      <w:hyperlink w:anchor="_Toc366228046" w:history="1">
        <w:r w:rsidRPr="00743940">
          <w:rPr>
            <w:rStyle w:val="Hyperlink"/>
            <w:noProof/>
          </w:rPr>
          <w:t>6.4</w:t>
        </w:r>
        <w:r>
          <w:rPr>
            <w:rFonts w:asciiTheme="minorHAnsi" w:eastAsiaTheme="minorEastAsia" w:hAnsiTheme="minorHAnsi" w:cstheme="minorBidi"/>
            <w:noProof/>
            <w:color w:val="auto"/>
          </w:rPr>
          <w:tab/>
        </w:r>
        <w:r w:rsidRPr="00743940">
          <w:rPr>
            <w:rStyle w:val="Hyperlink"/>
            <w:noProof/>
          </w:rPr>
          <w:t>Low oil prices</w:t>
        </w:r>
        <w:r>
          <w:rPr>
            <w:noProof/>
            <w:webHidden/>
          </w:rPr>
          <w:tab/>
        </w:r>
        <w:r>
          <w:rPr>
            <w:noProof/>
            <w:webHidden/>
          </w:rPr>
          <w:fldChar w:fldCharType="begin"/>
        </w:r>
        <w:r>
          <w:rPr>
            <w:noProof/>
            <w:webHidden/>
          </w:rPr>
          <w:instrText xml:space="preserve"> PAGEREF _Toc366228046 \h </w:instrText>
        </w:r>
        <w:r>
          <w:rPr>
            <w:noProof/>
            <w:webHidden/>
          </w:rPr>
        </w:r>
        <w:r>
          <w:rPr>
            <w:noProof/>
            <w:webHidden/>
          </w:rPr>
          <w:fldChar w:fldCharType="separate"/>
        </w:r>
        <w:r>
          <w:rPr>
            <w:noProof/>
            <w:webHidden/>
          </w:rPr>
          <w:t>70</w:t>
        </w:r>
        <w:r>
          <w:rPr>
            <w:noProof/>
            <w:webHidden/>
          </w:rPr>
          <w:fldChar w:fldCharType="end"/>
        </w:r>
      </w:hyperlink>
    </w:p>
    <w:p w:rsidR="0053176E" w:rsidRDefault="0053176E">
      <w:pPr>
        <w:pStyle w:val="TOC3"/>
        <w:rPr>
          <w:rFonts w:asciiTheme="minorHAnsi" w:eastAsiaTheme="minorEastAsia" w:hAnsiTheme="minorHAnsi" w:cstheme="minorBidi"/>
          <w:noProof/>
          <w:color w:val="auto"/>
        </w:rPr>
      </w:pPr>
      <w:hyperlink w:anchor="_Toc366228047" w:history="1">
        <w:r w:rsidRPr="00743940">
          <w:rPr>
            <w:rStyle w:val="Hyperlink"/>
            <w:noProof/>
          </w:rPr>
          <w:t>6.5</w:t>
        </w:r>
        <w:r>
          <w:rPr>
            <w:rFonts w:asciiTheme="minorHAnsi" w:eastAsiaTheme="minorEastAsia" w:hAnsiTheme="minorHAnsi" w:cstheme="minorBidi"/>
            <w:noProof/>
            <w:color w:val="auto"/>
          </w:rPr>
          <w:tab/>
        </w:r>
        <w:r w:rsidRPr="00743940">
          <w:rPr>
            <w:rStyle w:val="Hyperlink"/>
            <w:noProof/>
          </w:rPr>
          <w:t>Emission trading scheme 2015/16</w:t>
        </w:r>
        <w:r>
          <w:rPr>
            <w:noProof/>
            <w:webHidden/>
          </w:rPr>
          <w:tab/>
        </w:r>
        <w:r>
          <w:rPr>
            <w:noProof/>
            <w:webHidden/>
          </w:rPr>
          <w:fldChar w:fldCharType="begin"/>
        </w:r>
        <w:r>
          <w:rPr>
            <w:noProof/>
            <w:webHidden/>
          </w:rPr>
          <w:instrText xml:space="preserve"> PAGEREF _Toc366228047 \h </w:instrText>
        </w:r>
        <w:r>
          <w:rPr>
            <w:noProof/>
            <w:webHidden/>
          </w:rPr>
        </w:r>
        <w:r>
          <w:rPr>
            <w:noProof/>
            <w:webHidden/>
          </w:rPr>
          <w:fldChar w:fldCharType="separate"/>
        </w:r>
        <w:r>
          <w:rPr>
            <w:noProof/>
            <w:webHidden/>
          </w:rPr>
          <w:t>73</w:t>
        </w:r>
        <w:r>
          <w:rPr>
            <w:noProof/>
            <w:webHidden/>
          </w:rPr>
          <w:fldChar w:fldCharType="end"/>
        </w:r>
      </w:hyperlink>
    </w:p>
    <w:p w:rsidR="0053176E" w:rsidRDefault="0053176E">
      <w:pPr>
        <w:pStyle w:val="TOC2"/>
        <w:rPr>
          <w:rFonts w:asciiTheme="minorHAnsi" w:eastAsiaTheme="minorEastAsia" w:hAnsiTheme="minorHAnsi" w:cstheme="minorBidi"/>
          <w:noProof/>
          <w:color w:val="auto"/>
        </w:rPr>
      </w:pPr>
      <w:hyperlink w:anchor="_Toc366228048" w:history="1">
        <w:r w:rsidRPr="00743940">
          <w:rPr>
            <w:rStyle w:val="Hyperlink"/>
            <w:noProof/>
          </w:rPr>
          <w:t>References</w:t>
        </w:r>
        <w:r>
          <w:rPr>
            <w:noProof/>
            <w:webHidden/>
          </w:rPr>
          <w:tab/>
        </w:r>
        <w:r>
          <w:rPr>
            <w:noProof/>
            <w:webHidden/>
          </w:rPr>
          <w:fldChar w:fldCharType="begin"/>
        </w:r>
        <w:r>
          <w:rPr>
            <w:noProof/>
            <w:webHidden/>
          </w:rPr>
          <w:instrText xml:space="preserve"> PAGEREF _Toc366228048 \h </w:instrText>
        </w:r>
        <w:r>
          <w:rPr>
            <w:noProof/>
            <w:webHidden/>
          </w:rPr>
        </w:r>
        <w:r>
          <w:rPr>
            <w:noProof/>
            <w:webHidden/>
          </w:rPr>
          <w:fldChar w:fldCharType="separate"/>
        </w:r>
        <w:r>
          <w:rPr>
            <w:noProof/>
            <w:webHidden/>
          </w:rPr>
          <w:t>74</w:t>
        </w:r>
        <w:r>
          <w:rPr>
            <w:noProof/>
            <w:webHidden/>
          </w:rPr>
          <w:fldChar w:fldCharType="end"/>
        </w:r>
      </w:hyperlink>
    </w:p>
    <w:p w:rsidR="0053176E" w:rsidRDefault="0053176E">
      <w:pPr>
        <w:pStyle w:val="TOC2"/>
        <w:rPr>
          <w:rFonts w:asciiTheme="minorHAnsi" w:eastAsiaTheme="minorEastAsia" w:hAnsiTheme="minorHAnsi" w:cstheme="minorBidi"/>
          <w:noProof/>
          <w:color w:val="auto"/>
        </w:rPr>
      </w:pPr>
      <w:hyperlink w:anchor="_Toc366228049" w:history="1">
        <w:r w:rsidRPr="00743940">
          <w:rPr>
            <w:rStyle w:val="Hyperlink"/>
            <w:noProof/>
          </w:rPr>
          <w:t>Appendix A: Additional details of ESM road transport sector modelling and assumptions</w:t>
        </w:r>
        <w:r>
          <w:rPr>
            <w:noProof/>
            <w:webHidden/>
          </w:rPr>
          <w:tab/>
        </w:r>
        <w:r>
          <w:rPr>
            <w:noProof/>
            <w:webHidden/>
          </w:rPr>
          <w:fldChar w:fldCharType="begin"/>
        </w:r>
        <w:r>
          <w:rPr>
            <w:noProof/>
            <w:webHidden/>
          </w:rPr>
          <w:instrText xml:space="preserve"> PAGEREF _Toc366228049 \h </w:instrText>
        </w:r>
        <w:r>
          <w:rPr>
            <w:noProof/>
            <w:webHidden/>
          </w:rPr>
        </w:r>
        <w:r>
          <w:rPr>
            <w:noProof/>
            <w:webHidden/>
          </w:rPr>
          <w:fldChar w:fldCharType="separate"/>
        </w:r>
        <w:r>
          <w:rPr>
            <w:noProof/>
            <w:webHidden/>
          </w:rPr>
          <w:t>77</w:t>
        </w:r>
        <w:r>
          <w:rPr>
            <w:noProof/>
            <w:webHidden/>
          </w:rPr>
          <w:fldChar w:fldCharType="end"/>
        </w:r>
      </w:hyperlink>
    </w:p>
    <w:p w:rsidR="00A943B2" w:rsidRDefault="00C14EF7" w:rsidP="00FE3F4D">
      <w:r>
        <w:rPr>
          <w:b/>
          <w:noProof/>
          <w:color w:val="FFFFFF"/>
          <w:spacing w:val="-7"/>
        </w:rPr>
        <w:fldChar w:fldCharType="end"/>
      </w:r>
    </w:p>
    <w:p w:rsidR="00A943B2" w:rsidRDefault="00A943B2" w:rsidP="004712A8"/>
    <w:p w:rsidR="003053C7" w:rsidRDefault="003053C7">
      <w:pPr>
        <w:spacing w:after="0"/>
        <w:rPr>
          <w:rFonts w:eastAsiaTheme="majorEastAsia" w:cstheme="majorBidi"/>
          <w:b/>
          <w:color w:val="00A9CE" w:themeColor="accent1"/>
          <w:sz w:val="44"/>
          <w:szCs w:val="28"/>
        </w:rPr>
      </w:pPr>
      <w:r>
        <w:br w:type="page"/>
      </w:r>
    </w:p>
    <w:p w:rsidR="00A943B2" w:rsidRDefault="004D139E" w:rsidP="00064612">
      <w:pPr>
        <w:pStyle w:val="ListofFiguresandTablesTOCHeading"/>
      </w:pPr>
      <w:r>
        <w:lastRenderedPageBreak/>
        <w:t>F</w:t>
      </w:r>
      <w:r w:rsidR="00A943B2">
        <w:t>igures</w:t>
      </w:r>
    </w:p>
    <w:p w:rsidR="003D5C0C" w:rsidRDefault="00C14EF7">
      <w:pPr>
        <w:pStyle w:val="TableofFigures"/>
        <w:rPr>
          <w:rFonts w:asciiTheme="minorHAnsi" w:eastAsiaTheme="minorEastAsia" w:hAnsiTheme="minorHAnsi" w:cstheme="minorBidi"/>
          <w:noProof/>
          <w:color w:val="auto"/>
        </w:rPr>
      </w:pPr>
      <w:r>
        <w:fldChar w:fldCharType="begin"/>
      </w:r>
      <w:r w:rsidR="00A943B2">
        <w:instrText xml:space="preserve"> TOC \h \z \c "Figure" </w:instrText>
      </w:r>
      <w:r>
        <w:fldChar w:fldCharType="separate"/>
      </w:r>
      <w:hyperlink w:anchor="_Toc366227327" w:history="1">
        <w:r w:rsidR="003D5C0C" w:rsidRPr="009B1774">
          <w:rPr>
            <w:rStyle w:val="Hyperlink"/>
            <w:noProof/>
          </w:rPr>
          <w:t>Figure 1</w:t>
        </w:r>
        <w:r w:rsidR="003D5C0C" w:rsidRPr="009B1774">
          <w:rPr>
            <w:rStyle w:val="Hyperlink"/>
            <w:noProof/>
          </w:rPr>
          <w:noBreakHyphen/>
          <w:t>1: Projected transport sector greenhouse gas emissions by scenario</w:t>
        </w:r>
        <w:r w:rsidR="003D5C0C">
          <w:rPr>
            <w:noProof/>
            <w:webHidden/>
          </w:rPr>
          <w:tab/>
        </w:r>
        <w:r w:rsidR="003D5C0C">
          <w:rPr>
            <w:noProof/>
            <w:webHidden/>
          </w:rPr>
          <w:fldChar w:fldCharType="begin"/>
        </w:r>
        <w:r w:rsidR="003D5C0C">
          <w:rPr>
            <w:noProof/>
            <w:webHidden/>
          </w:rPr>
          <w:instrText xml:space="preserve"> PAGEREF _Toc366227327 \h </w:instrText>
        </w:r>
        <w:r w:rsidR="003D5C0C">
          <w:rPr>
            <w:noProof/>
            <w:webHidden/>
          </w:rPr>
        </w:r>
        <w:r w:rsidR="003D5C0C">
          <w:rPr>
            <w:noProof/>
            <w:webHidden/>
          </w:rPr>
          <w:fldChar w:fldCharType="separate"/>
        </w:r>
        <w:r w:rsidR="003E0F65">
          <w:rPr>
            <w:noProof/>
            <w:webHidden/>
          </w:rPr>
          <w:t>vii</w:t>
        </w:r>
        <w:r w:rsidR="003D5C0C">
          <w:rPr>
            <w:noProof/>
            <w:webHidden/>
          </w:rPr>
          <w:fldChar w:fldCharType="end"/>
        </w:r>
      </w:hyperlink>
    </w:p>
    <w:p w:rsidR="003D5C0C" w:rsidRDefault="003D5C0C">
      <w:pPr>
        <w:pStyle w:val="TableofFigures"/>
        <w:rPr>
          <w:rFonts w:asciiTheme="minorHAnsi" w:eastAsiaTheme="minorEastAsia" w:hAnsiTheme="minorHAnsi" w:cstheme="minorBidi"/>
          <w:noProof/>
          <w:color w:val="auto"/>
        </w:rPr>
      </w:pPr>
      <w:hyperlink w:anchor="_Toc366227328" w:history="1">
        <w:r w:rsidRPr="009B1774">
          <w:rPr>
            <w:rStyle w:val="Hyperlink"/>
            <w:noProof/>
          </w:rPr>
          <w:t>Figure 2</w:t>
        </w:r>
        <w:r w:rsidRPr="009B1774">
          <w:rPr>
            <w:rStyle w:val="Hyperlink"/>
            <w:noProof/>
          </w:rPr>
          <w:noBreakHyphen/>
          <w:t>1: Carbon price assumption by scenario</w:t>
        </w:r>
        <w:r>
          <w:rPr>
            <w:noProof/>
            <w:webHidden/>
          </w:rPr>
          <w:tab/>
        </w:r>
        <w:r>
          <w:rPr>
            <w:noProof/>
            <w:webHidden/>
          </w:rPr>
          <w:fldChar w:fldCharType="begin"/>
        </w:r>
        <w:r>
          <w:rPr>
            <w:noProof/>
            <w:webHidden/>
          </w:rPr>
          <w:instrText xml:space="preserve"> PAGEREF _Toc366227328 \h </w:instrText>
        </w:r>
        <w:r>
          <w:rPr>
            <w:noProof/>
            <w:webHidden/>
          </w:rPr>
        </w:r>
        <w:r>
          <w:rPr>
            <w:noProof/>
            <w:webHidden/>
          </w:rPr>
          <w:fldChar w:fldCharType="separate"/>
        </w:r>
        <w:r w:rsidR="003E0F65">
          <w:rPr>
            <w:noProof/>
            <w:webHidden/>
          </w:rPr>
          <w:t>5</w:t>
        </w:r>
        <w:r>
          <w:rPr>
            <w:noProof/>
            <w:webHidden/>
          </w:rPr>
          <w:fldChar w:fldCharType="end"/>
        </w:r>
      </w:hyperlink>
    </w:p>
    <w:p w:rsidR="003D5C0C" w:rsidRDefault="003D5C0C">
      <w:pPr>
        <w:pStyle w:val="TableofFigures"/>
        <w:rPr>
          <w:rFonts w:asciiTheme="minorHAnsi" w:eastAsiaTheme="minorEastAsia" w:hAnsiTheme="minorHAnsi" w:cstheme="minorBidi"/>
          <w:noProof/>
          <w:color w:val="auto"/>
        </w:rPr>
      </w:pPr>
      <w:hyperlink w:anchor="_Toc366227329" w:history="1">
        <w:r w:rsidRPr="009B1774">
          <w:rPr>
            <w:rStyle w:val="Hyperlink"/>
            <w:noProof/>
          </w:rPr>
          <w:t>Figure 3</w:t>
        </w:r>
        <w:r w:rsidRPr="009B1774">
          <w:rPr>
            <w:rStyle w:val="Hyperlink"/>
            <w:noProof/>
          </w:rPr>
          <w:noBreakHyphen/>
          <w:t>1: Overview of non-road greenhouse gas emission projection process</w:t>
        </w:r>
        <w:r>
          <w:rPr>
            <w:noProof/>
            <w:webHidden/>
          </w:rPr>
          <w:tab/>
        </w:r>
        <w:r>
          <w:rPr>
            <w:noProof/>
            <w:webHidden/>
          </w:rPr>
          <w:fldChar w:fldCharType="begin"/>
        </w:r>
        <w:r>
          <w:rPr>
            <w:noProof/>
            <w:webHidden/>
          </w:rPr>
          <w:instrText xml:space="preserve"> PAGEREF _Toc366227329 \h </w:instrText>
        </w:r>
        <w:r>
          <w:rPr>
            <w:noProof/>
            <w:webHidden/>
          </w:rPr>
        </w:r>
        <w:r>
          <w:rPr>
            <w:noProof/>
            <w:webHidden/>
          </w:rPr>
          <w:fldChar w:fldCharType="separate"/>
        </w:r>
        <w:r w:rsidR="003E0F65">
          <w:rPr>
            <w:noProof/>
            <w:webHidden/>
          </w:rPr>
          <w:t>11</w:t>
        </w:r>
        <w:r>
          <w:rPr>
            <w:noProof/>
            <w:webHidden/>
          </w:rPr>
          <w:fldChar w:fldCharType="end"/>
        </w:r>
      </w:hyperlink>
    </w:p>
    <w:p w:rsidR="003D5C0C" w:rsidRDefault="003D5C0C">
      <w:pPr>
        <w:pStyle w:val="TableofFigures"/>
        <w:rPr>
          <w:rFonts w:asciiTheme="minorHAnsi" w:eastAsiaTheme="minorEastAsia" w:hAnsiTheme="minorHAnsi" w:cstheme="minorBidi"/>
          <w:noProof/>
          <w:color w:val="auto"/>
        </w:rPr>
      </w:pPr>
      <w:hyperlink w:anchor="_Toc366227330" w:history="1">
        <w:r w:rsidRPr="009B1774">
          <w:rPr>
            <w:rStyle w:val="Hyperlink"/>
            <w:noProof/>
          </w:rPr>
          <w:t>Figure 4</w:t>
        </w:r>
        <w:r w:rsidRPr="009B1774">
          <w:rPr>
            <w:rStyle w:val="Hyperlink"/>
            <w:noProof/>
          </w:rPr>
          <w:noBreakHyphen/>
          <w:t>1: Calibrated passenger transport growth to 2050 in the central policy scenario</w:t>
        </w:r>
        <w:r>
          <w:rPr>
            <w:noProof/>
            <w:webHidden/>
          </w:rPr>
          <w:tab/>
        </w:r>
        <w:r>
          <w:rPr>
            <w:noProof/>
            <w:webHidden/>
          </w:rPr>
          <w:fldChar w:fldCharType="begin"/>
        </w:r>
        <w:r>
          <w:rPr>
            <w:noProof/>
            <w:webHidden/>
          </w:rPr>
          <w:instrText xml:space="preserve"> PAGEREF _Toc366227330 \h </w:instrText>
        </w:r>
        <w:r>
          <w:rPr>
            <w:noProof/>
            <w:webHidden/>
          </w:rPr>
        </w:r>
        <w:r>
          <w:rPr>
            <w:noProof/>
            <w:webHidden/>
          </w:rPr>
          <w:fldChar w:fldCharType="separate"/>
        </w:r>
        <w:r w:rsidR="003E0F65">
          <w:rPr>
            <w:noProof/>
            <w:webHidden/>
          </w:rPr>
          <w:t>14</w:t>
        </w:r>
        <w:r>
          <w:rPr>
            <w:noProof/>
            <w:webHidden/>
          </w:rPr>
          <w:fldChar w:fldCharType="end"/>
        </w:r>
      </w:hyperlink>
    </w:p>
    <w:p w:rsidR="003D5C0C" w:rsidRDefault="003D5C0C">
      <w:pPr>
        <w:pStyle w:val="TableofFigures"/>
        <w:rPr>
          <w:rFonts w:asciiTheme="minorHAnsi" w:eastAsiaTheme="minorEastAsia" w:hAnsiTheme="minorHAnsi" w:cstheme="minorBidi"/>
          <w:noProof/>
          <w:color w:val="auto"/>
        </w:rPr>
      </w:pPr>
      <w:hyperlink w:anchor="_Toc366227331" w:history="1">
        <w:r w:rsidRPr="009B1774">
          <w:rPr>
            <w:rStyle w:val="Hyperlink"/>
            <w:noProof/>
          </w:rPr>
          <w:t>Figure 4</w:t>
        </w:r>
        <w:r w:rsidRPr="009B1774">
          <w:rPr>
            <w:rStyle w:val="Hyperlink"/>
            <w:noProof/>
          </w:rPr>
          <w:noBreakHyphen/>
          <w:t>2: Projected freight growth to 2050 in the central scenario</w:t>
        </w:r>
        <w:r>
          <w:rPr>
            <w:noProof/>
            <w:webHidden/>
          </w:rPr>
          <w:tab/>
        </w:r>
        <w:r>
          <w:rPr>
            <w:noProof/>
            <w:webHidden/>
          </w:rPr>
          <w:fldChar w:fldCharType="begin"/>
        </w:r>
        <w:r>
          <w:rPr>
            <w:noProof/>
            <w:webHidden/>
          </w:rPr>
          <w:instrText xml:space="preserve"> PAGEREF _Toc366227331 \h </w:instrText>
        </w:r>
        <w:r>
          <w:rPr>
            <w:noProof/>
            <w:webHidden/>
          </w:rPr>
        </w:r>
        <w:r>
          <w:rPr>
            <w:noProof/>
            <w:webHidden/>
          </w:rPr>
          <w:fldChar w:fldCharType="separate"/>
        </w:r>
        <w:r w:rsidR="003E0F65">
          <w:rPr>
            <w:noProof/>
            <w:webHidden/>
          </w:rPr>
          <w:t>15</w:t>
        </w:r>
        <w:r>
          <w:rPr>
            <w:noProof/>
            <w:webHidden/>
          </w:rPr>
          <w:fldChar w:fldCharType="end"/>
        </w:r>
      </w:hyperlink>
    </w:p>
    <w:p w:rsidR="003D5C0C" w:rsidRDefault="003D5C0C">
      <w:pPr>
        <w:pStyle w:val="TableofFigures"/>
        <w:rPr>
          <w:rFonts w:asciiTheme="minorHAnsi" w:eastAsiaTheme="minorEastAsia" w:hAnsiTheme="minorHAnsi" w:cstheme="minorBidi"/>
          <w:noProof/>
          <w:color w:val="auto"/>
        </w:rPr>
      </w:pPr>
      <w:hyperlink w:anchor="_Toc366227332" w:history="1">
        <w:r w:rsidRPr="009B1774">
          <w:rPr>
            <w:rStyle w:val="Hyperlink"/>
            <w:noProof/>
          </w:rPr>
          <w:t>Figure 4</w:t>
        </w:r>
        <w:r w:rsidRPr="009B1774">
          <w:rPr>
            <w:rStyle w:val="Hyperlink"/>
            <w:noProof/>
          </w:rPr>
          <w:noBreakHyphen/>
          <w:t>3: Changes in preferences for road vehicle types and sizes, FCAI (2011)</w:t>
        </w:r>
        <w:r>
          <w:rPr>
            <w:noProof/>
            <w:webHidden/>
          </w:rPr>
          <w:tab/>
        </w:r>
        <w:r>
          <w:rPr>
            <w:noProof/>
            <w:webHidden/>
          </w:rPr>
          <w:fldChar w:fldCharType="begin"/>
        </w:r>
        <w:r>
          <w:rPr>
            <w:noProof/>
            <w:webHidden/>
          </w:rPr>
          <w:instrText xml:space="preserve"> PAGEREF _Toc366227332 \h </w:instrText>
        </w:r>
        <w:r>
          <w:rPr>
            <w:noProof/>
            <w:webHidden/>
          </w:rPr>
        </w:r>
        <w:r>
          <w:rPr>
            <w:noProof/>
            <w:webHidden/>
          </w:rPr>
          <w:fldChar w:fldCharType="separate"/>
        </w:r>
        <w:r w:rsidR="003E0F65">
          <w:rPr>
            <w:noProof/>
            <w:webHidden/>
          </w:rPr>
          <w:t>17</w:t>
        </w:r>
        <w:r>
          <w:rPr>
            <w:noProof/>
            <w:webHidden/>
          </w:rPr>
          <w:fldChar w:fldCharType="end"/>
        </w:r>
      </w:hyperlink>
    </w:p>
    <w:p w:rsidR="003D5C0C" w:rsidRDefault="003D5C0C">
      <w:pPr>
        <w:pStyle w:val="TableofFigures"/>
        <w:rPr>
          <w:rFonts w:asciiTheme="minorHAnsi" w:eastAsiaTheme="minorEastAsia" w:hAnsiTheme="minorHAnsi" w:cstheme="minorBidi"/>
          <w:noProof/>
          <w:color w:val="auto"/>
        </w:rPr>
      </w:pPr>
      <w:hyperlink w:anchor="_Toc366227333" w:history="1">
        <w:r w:rsidRPr="009B1774">
          <w:rPr>
            <w:rStyle w:val="Hyperlink"/>
            <w:noProof/>
          </w:rPr>
          <w:t>Figure 4</w:t>
        </w:r>
        <w:r w:rsidRPr="009B1774">
          <w:rPr>
            <w:rStyle w:val="Hyperlink"/>
            <w:noProof/>
          </w:rPr>
          <w:noBreakHyphen/>
          <w:t>4: Historical domestic marine transport fuel mix</w:t>
        </w:r>
        <w:r>
          <w:rPr>
            <w:noProof/>
            <w:webHidden/>
          </w:rPr>
          <w:tab/>
        </w:r>
        <w:r>
          <w:rPr>
            <w:noProof/>
            <w:webHidden/>
          </w:rPr>
          <w:fldChar w:fldCharType="begin"/>
        </w:r>
        <w:r>
          <w:rPr>
            <w:noProof/>
            <w:webHidden/>
          </w:rPr>
          <w:instrText xml:space="preserve"> PAGEREF _Toc366227333 \h </w:instrText>
        </w:r>
        <w:r>
          <w:rPr>
            <w:noProof/>
            <w:webHidden/>
          </w:rPr>
        </w:r>
        <w:r>
          <w:rPr>
            <w:noProof/>
            <w:webHidden/>
          </w:rPr>
          <w:fldChar w:fldCharType="separate"/>
        </w:r>
        <w:r w:rsidR="003E0F65">
          <w:rPr>
            <w:noProof/>
            <w:webHidden/>
          </w:rPr>
          <w:t>20</w:t>
        </w:r>
        <w:r>
          <w:rPr>
            <w:noProof/>
            <w:webHidden/>
          </w:rPr>
          <w:fldChar w:fldCharType="end"/>
        </w:r>
      </w:hyperlink>
    </w:p>
    <w:p w:rsidR="003D5C0C" w:rsidRDefault="003D5C0C">
      <w:pPr>
        <w:pStyle w:val="TableofFigures"/>
        <w:rPr>
          <w:rFonts w:asciiTheme="minorHAnsi" w:eastAsiaTheme="minorEastAsia" w:hAnsiTheme="minorHAnsi" w:cstheme="minorBidi"/>
          <w:noProof/>
          <w:color w:val="auto"/>
        </w:rPr>
      </w:pPr>
      <w:hyperlink w:anchor="_Toc366227334" w:history="1">
        <w:r w:rsidRPr="009B1774">
          <w:rPr>
            <w:rStyle w:val="Hyperlink"/>
            <w:noProof/>
          </w:rPr>
          <w:t>Figure 4</w:t>
        </w:r>
        <w:r w:rsidRPr="009B1774">
          <w:rPr>
            <w:rStyle w:val="Hyperlink"/>
            <w:noProof/>
          </w:rPr>
          <w:noBreakHyphen/>
          <w:t>5: Historical rail transport fuel mix</w:t>
        </w:r>
        <w:r>
          <w:rPr>
            <w:noProof/>
            <w:webHidden/>
          </w:rPr>
          <w:tab/>
        </w:r>
        <w:r>
          <w:rPr>
            <w:noProof/>
            <w:webHidden/>
          </w:rPr>
          <w:fldChar w:fldCharType="begin"/>
        </w:r>
        <w:r>
          <w:rPr>
            <w:noProof/>
            <w:webHidden/>
          </w:rPr>
          <w:instrText xml:space="preserve"> PAGEREF _Toc366227334 \h </w:instrText>
        </w:r>
        <w:r>
          <w:rPr>
            <w:noProof/>
            <w:webHidden/>
          </w:rPr>
        </w:r>
        <w:r>
          <w:rPr>
            <w:noProof/>
            <w:webHidden/>
          </w:rPr>
          <w:fldChar w:fldCharType="separate"/>
        </w:r>
        <w:r w:rsidR="003E0F65">
          <w:rPr>
            <w:noProof/>
            <w:webHidden/>
          </w:rPr>
          <w:t>21</w:t>
        </w:r>
        <w:r>
          <w:rPr>
            <w:noProof/>
            <w:webHidden/>
          </w:rPr>
          <w:fldChar w:fldCharType="end"/>
        </w:r>
      </w:hyperlink>
    </w:p>
    <w:p w:rsidR="003D5C0C" w:rsidRDefault="003D5C0C">
      <w:pPr>
        <w:pStyle w:val="TableofFigures"/>
        <w:rPr>
          <w:rFonts w:asciiTheme="minorHAnsi" w:eastAsiaTheme="minorEastAsia" w:hAnsiTheme="minorHAnsi" w:cstheme="minorBidi"/>
          <w:noProof/>
          <w:color w:val="auto"/>
        </w:rPr>
      </w:pPr>
      <w:hyperlink w:anchor="_Toc366227335" w:history="1">
        <w:r w:rsidRPr="009B1774">
          <w:rPr>
            <w:rStyle w:val="Hyperlink"/>
            <w:noProof/>
          </w:rPr>
          <w:t>Figure 4</w:t>
        </w:r>
        <w:r w:rsidRPr="009B1774">
          <w:rPr>
            <w:rStyle w:val="Hyperlink"/>
            <w:noProof/>
          </w:rPr>
          <w:noBreakHyphen/>
          <w:t>6: Projected global electric vehicle availability</w:t>
        </w:r>
        <w:r>
          <w:rPr>
            <w:noProof/>
            <w:webHidden/>
          </w:rPr>
          <w:tab/>
        </w:r>
        <w:r>
          <w:rPr>
            <w:noProof/>
            <w:webHidden/>
          </w:rPr>
          <w:fldChar w:fldCharType="begin"/>
        </w:r>
        <w:r>
          <w:rPr>
            <w:noProof/>
            <w:webHidden/>
          </w:rPr>
          <w:instrText xml:space="preserve"> PAGEREF _Toc366227335 \h </w:instrText>
        </w:r>
        <w:r>
          <w:rPr>
            <w:noProof/>
            <w:webHidden/>
          </w:rPr>
        </w:r>
        <w:r>
          <w:rPr>
            <w:noProof/>
            <w:webHidden/>
          </w:rPr>
          <w:fldChar w:fldCharType="separate"/>
        </w:r>
        <w:r w:rsidR="003E0F65">
          <w:rPr>
            <w:noProof/>
            <w:webHidden/>
          </w:rPr>
          <w:t>26</w:t>
        </w:r>
        <w:r>
          <w:rPr>
            <w:noProof/>
            <w:webHidden/>
          </w:rPr>
          <w:fldChar w:fldCharType="end"/>
        </w:r>
      </w:hyperlink>
    </w:p>
    <w:p w:rsidR="003D5C0C" w:rsidRDefault="003D5C0C">
      <w:pPr>
        <w:pStyle w:val="TableofFigures"/>
        <w:rPr>
          <w:rFonts w:asciiTheme="minorHAnsi" w:eastAsiaTheme="minorEastAsia" w:hAnsiTheme="minorHAnsi" w:cstheme="minorBidi"/>
          <w:noProof/>
          <w:color w:val="auto"/>
        </w:rPr>
      </w:pPr>
      <w:hyperlink w:anchor="_Toc366227336" w:history="1">
        <w:r w:rsidRPr="009B1774">
          <w:rPr>
            <w:rStyle w:val="Hyperlink"/>
            <w:noProof/>
          </w:rPr>
          <w:t>Figure 4</w:t>
        </w:r>
        <w:r w:rsidRPr="009B1774">
          <w:rPr>
            <w:rStyle w:val="Hyperlink"/>
            <w:noProof/>
          </w:rPr>
          <w:noBreakHyphen/>
          <w:t>7: Assumed retail fuel prices in petrol equivalent terms, road passenger sector</w:t>
        </w:r>
        <w:r>
          <w:rPr>
            <w:noProof/>
            <w:webHidden/>
          </w:rPr>
          <w:tab/>
        </w:r>
        <w:r>
          <w:rPr>
            <w:noProof/>
            <w:webHidden/>
          </w:rPr>
          <w:fldChar w:fldCharType="begin"/>
        </w:r>
        <w:r>
          <w:rPr>
            <w:noProof/>
            <w:webHidden/>
          </w:rPr>
          <w:instrText xml:space="preserve"> PAGEREF _Toc366227336 \h </w:instrText>
        </w:r>
        <w:r>
          <w:rPr>
            <w:noProof/>
            <w:webHidden/>
          </w:rPr>
        </w:r>
        <w:r>
          <w:rPr>
            <w:noProof/>
            <w:webHidden/>
          </w:rPr>
          <w:fldChar w:fldCharType="separate"/>
        </w:r>
        <w:r w:rsidR="003E0F65">
          <w:rPr>
            <w:noProof/>
            <w:webHidden/>
          </w:rPr>
          <w:t>30</w:t>
        </w:r>
        <w:r>
          <w:rPr>
            <w:noProof/>
            <w:webHidden/>
          </w:rPr>
          <w:fldChar w:fldCharType="end"/>
        </w:r>
      </w:hyperlink>
    </w:p>
    <w:p w:rsidR="003D5C0C" w:rsidRDefault="003D5C0C">
      <w:pPr>
        <w:pStyle w:val="TableofFigures"/>
        <w:rPr>
          <w:rFonts w:asciiTheme="minorHAnsi" w:eastAsiaTheme="minorEastAsia" w:hAnsiTheme="minorHAnsi" w:cstheme="minorBidi"/>
          <w:noProof/>
          <w:color w:val="auto"/>
        </w:rPr>
      </w:pPr>
      <w:hyperlink w:anchor="_Toc366227337" w:history="1">
        <w:r w:rsidRPr="009B1774">
          <w:rPr>
            <w:rStyle w:val="Hyperlink"/>
            <w:noProof/>
          </w:rPr>
          <w:t>Figure 4</w:t>
        </w:r>
        <w:r w:rsidRPr="009B1774">
          <w:rPr>
            <w:rStyle w:val="Hyperlink"/>
            <w:noProof/>
          </w:rPr>
          <w:noBreakHyphen/>
          <w:t>8: Assumed retail fuel prices in diesel equivalent terms, road freight sector</w:t>
        </w:r>
        <w:r>
          <w:rPr>
            <w:noProof/>
            <w:webHidden/>
          </w:rPr>
          <w:tab/>
        </w:r>
        <w:r>
          <w:rPr>
            <w:noProof/>
            <w:webHidden/>
          </w:rPr>
          <w:fldChar w:fldCharType="begin"/>
        </w:r>
        <w:r>
          <w:rPr>
            <w:noProof/>
            <w:webHidden/>
          </w:rPr>
          <w:instrText xml:space="preserve"> PAGEREF _Toc366227337 \h </w:instrText>
        </w:r>
        <w:r>
          <w:rPr>
            <w:noProof/>
            <w:webHidden/>
          </w:rPr>
        </w:r>
        <w:r>
          <w:rPr>
            <w:noProof/>
            <w:webHidden/>
          </w:rPr>
          <w:fldChar w:fldCharType="separate"/>
        </w:r>
        <w:r w:rsidR="003E0F65">
          <w:rPr>
            <w:noProof/>
            <w:webHidden/>
          </w:rPr>
          <w:t>31</w:t>
        </w:r>
        <w:r>
          <w:rPr>
            <w:noProof/>
            <w:webHidden/>
          </w:rPr>
          <w:fldChar w:fldCharType="end"/>
        </w:r>
      </w:hyperlink>
    </w:p>
    <w:p w:rsidR="003D5C0C" w:rsidRDefault="003D5C0C">
      <w:pPr>
        <w:pStyle w:val="TableofFigures"/>
        <w:rPr>
          <w:rFonts w:asciiTheme="minorHAnsi" w:eastAsiaTheme="minorEastAsia" w:hAnsiTheme="minorHAnsi" w:cstheme="minorBidi"/>
          <w:noProof/>
          <w:color w:val="auto"/>
        </w:rPr>
      </w:pPr>
      <w:hyperlink w:anchor="_Toc366227338" w:history="1">
        <w:r w:rsidRPr="009B1774">
          <w:rPr>
            <w:rStyle w:val="Hyperlink"/>
            <w:noProof/>
          </w:rPr>
          <w:t>Figure 5</w:t>
        </w:r>
        <w:r w:rsidRPr="009B1774">
          <w:rPr>
            <w:rStyle w:val="Hyperlink"/>
            <w:noProof/>
          </w:rPr>
          <w:noBreakHyphen/>
          <w:t>1: Projected road transport fuel consumption by fuel under the central policy scenario</w:t>
        </w:r>
        <w:r>
          <w:rPr>
            <w:noProof/>
            <w:webHidden/>
          </w:rPr>
          <w:tab/>
        </w:r>
        <w:r>
          <w:rPr>
            <w:noProof/>
            <w:webHidden/>
          </w:rPr>
          <w:fldChar w:fldCharType="begin"/>
        </w:r>
        <w:r>
          <w:rPr>
            <w:noProof/>
            <w:webHidden/>
          </w:rPr>
          <w:instrText xml:space="preserve"> PAGEREF _Toc366227338 \h </w:instrText>
        </w:r>
        <w:r>
          <w:rPr>
            <w:noProof/>
            <w:webHidden/>
          </w:rPr>
        </w:r>
        <w:r>
          <w:rPr>
            <w:noProof/>
            <w:webHidden/>
          </w:rPr>
          <w:fldChar w:fldCharType="separate"/>
        </w:r>
        <w:r w:rsidR="003E0F65">
          <w:rPr>
            <w:noProof/>
            <w:webHidden/>
          </w:rPr>
          <w:t>34</w:t>
        </w:r>
        <w:r>
          <w:rPr>
            <w:noProof/>
            <w:webHidden/>
          </w:rPr>
          <w:fldChar w:fldCharType="end"/>
        </w:r>
      </w:hyperlink>
    </w:p>
    <w:p w:rsidR="003D5C0C" w:rsidRDefault="003D5C0C">
      <w:pPr>
        <w:pStyle w:val="TableofFigures"/>
        <w:rPr>
          <w:rFonts w:asciiTheme="minorHAnsi" w:eastAsiaTheme="minorEastAsia" w:hAnsiTheme="minorHAnsi" w:cstheme="minorBidi"/>
          <w:noProof/>
          <w:color w:val="auto"/>
        </w:rPr>
      </w:pPr>
      <w:hyperlink w:anchor="_Toc366227339" w:history="1">
        <w:r w:rsidRPr="009B1774">
          <w:rPr>
            <w:rStyle w:val="Hyperlink"/>
            <w:noProof/>
          </w:rPr>
          <w:t>Figure 5</w:t>
        </w:r>
        <w:r w:rsidRPr="009B1774">
          <w:rPr>
            <w:rStyle w:val="Hyperlink"/>
            <w:noProof/>
          </w:rPr>
          <w:noBreakHyphen/>
          <w:t>2: Road transport fuel consumption by mode under the central policy scenario</w:t>
        </w:r>
        <w:r>
          <w:rPr>
            <w:noProof/>
            <w:webHidden/>
          </w:rPr>
          <w:tab/>
        </w:r>
        <w:r>
          <w:rPr>
            <w:noProof/>
            <w:webHidden/>
          </w:rPr>
          <w:fldChar w:fldCharType="begin"/>
        </w:r>
        <w:r>
          <w:rPr>
            <w:noProof/>
            <w:webHidden/>
          </w:rPr>
          <w:instrText xml:space="preserve"> PAGEREF _Toc366227339 \h </w:instrText>
        </w:r>
        <w:r>
          <w:rPr>
            <w:noProof/>
            <w:webHidden/>
          </w:rPr>
        </w:r>
        <w:r>
          <w:rPr>
            <w:noProof/>
            <w:webHidden/>
          </w:rPr>
          <w:fldChar w:fldCharType="separate"/>
        </w:r>
        <w:r w:rsidR="003E0F65">
          <w:rPr>
            <w:noProof/>
            <w:webHidden/>
          </w:rPr>
          <w:t>35</w:t>
        </w:r>
        <w:r>
          <w:rPr>
            <w:noProof/>
            <w:webHidden/>
          </w:rPr>
          <w:fldChar w:fldCharType="end"/>
        </w:r>
      </w:hyperlink>
    </w:p>
    <w:p w:rsidR="003D5C0C" w:rsidRDefault="003D5C0C">
      <w:pPr>
        <w:pStyle w:val="TableofFigures"/>
        <w:rPr>
          <w:rFonts w:asciiTheme="minorHAnsi" w:eastAsiaTheme="minorEastAsia" w:hAnsiTheme="minorHAnsi" w:cstheme="minorBidi"/>
          <w:noProof/>
          <w:color w:val="auto"/>
        </w:rPr>
      </w:pPr>
      <w:hyperlink w:anchor="_Toc366227340" w:history="1">
        <w:r w:rsidRPr="009B1774">
          <w:rPr>
            <w:rStyle w:val="Hyperlink"/>
            <w:noProof/>
          </w:rPr>
          <w:t>Figure 5</w:t>
        </w:r>
        <w:r w:rsidRPr="009B1774">
          <w:rPr>
            <w:rStyle w:val="Hyperlink"/>
            <w:noProof/>
          </w:rPr>
          <w:noBreakHyphen/>
          <w:t>3: Non-road transport fuel consumption by fuel and mode under the central policy scenario</w:t>
        </w:r>
        <w:r>
          <w:rPr>
            <w:noProof/>
            <w:webHidden/>
          </w:rPr>
          <w:tab/>
        </w:r>
        <w:r>
          <w:rPr>
            <w:noProof/>
            <w:webHidden/>
          </w:rPr>
          <w:fldChar w:fldCharType="begin"/>
        </w:r>
        <w:r>
          <w:rPr>
            <w:noProof/>
            <w:webHidden/>
          </w:rPr>
          <w:instrText xml:space="preserve"> PAGEREF _Toc366227340 \h </w:instrText>
        </w:r>
        <w:r>
          <w:rPr>
            <w:noProof/>
            <w:webHidden/>
          </w:rPr>
        </w:r>
        <w:r>
          <w:rPr>
            <w:noProof/>
            <w:webHidden/>
          </w:rPr>
          <w:fldChar w:fldCharType="separate"/>
        </w:r>
        <w:r w:rsidR="003E0F65">
          <w:rPr>
            <w:noProof/>
            <w:webHidden/>
          </w:rPr>
          <w:t>36</w:t>
        </w:r>
        <w:r>
          <w:rPr>
            <w:noProof/>
            <w:webHidden/>
          </w:rPr>
          <w:fldChar w:fldCharType="end"/>
        </w:r>
      </w:hyperlink>
    </w:p>
    <w:p w:rsidR="003D5C0C" w:rsidRDefault="003D5C0C">
      <w:pPr>
        <w:pStyle w:val="TableofFigures"/>
        <w:rPr>
          <w:rFonts w:asciiTheme="minorHAnsi" w:eastAsiaTheme="minorEastAsia" w:hAnsiTheme="minorHAnsi" w:cstheme="minorBidi"/>
          <w:noProof/>
          <w:color w:val="auto"/>
        </w:rPr>
      </w:pPr>
      <w:hyperlink w:anchor="_Toc366227341" w:history="1">
        <w:r w:rsidRPr="009B1774">
          <w:rPr>
            <w:rStyle w:val="Hyperlink"/>
            <w:noProof/>
          </w:rPr>
          <w:t>Figure 5</w:t>
        </w:r>
        <w:r w:rsidRPr="009B1774">
          <w:rPr>
            <w:rStyle w:val="Hyperlink"/>
            <w:noProof/>
          </w:rPr>
          <w:noBreakHyphen/>
          <w:t>4: Engine type in road kilometres travelled, central policy scenario</w:t>
        </w:r>
        <w:r>
          <w:rPr>
            <w:noProof/>
            <w:webHidden/>
          </w:rPr>
          <w:tab/>
        </w:r>
        <w:r>
          <w:rPr>
            <w:noProof/>
            <w:webHidden/>
          </w:rPr>
          <w:fldChar w:fldCharType="begin"/>
        </w:r>
        <w:r>
          <w:rPr>
            <w:noProof/>
            <w:webHidden/>
          </w:rPr>
          <w:instrText xml:space="preserve"> PAGEREF _Toc366227341 \h </w:instrText>
        </w:r>
        <w:r>
          <w:rPr>
            <w:noProof/>
            <w:webHidden/>
          </w:rPr>
        </w:r>
        <w:r>
          <w:rPr>
            <w:noProof/>
            <w:webHidden/>
          </w:rPr>
          <w:fldChar w:fldCharType="separate"/>
        </w:r>
        <w:r w:rsidR="003E0F65">
          <w:rPr>
            <w:noProof/>
            <w:webHidden/>
          </w:rPr>
          <w:t>37</w:t>
        </w:r>
        <w:r>
          <w:rPr>
            <w:noProof/>
            <w:webHidden/>
          </w:rPr>
          <w:fldChar w:fldCharType="end"/>
        </w:r>
      </w:hyperlink>
    </w:p>
    <w:p w:rsidR="003D5C0C" w:rsidRDefault="003D5C0C">
      <w:pPr>
        <w:pStyle w:val="TableofFigures"/>
        <w:rPr>
          <w:rFonts w:asciiTheme="minorHAnsi" w:eastAsiaTheme="minorEastAsia" w:hAnsiTheme="minorHAnsi" w:cstheme="minorBidi"/>
          <w:noProof/>
          <w:color w:val="auto"/>
        </w:rPr>
      </w:pPr>
      <w:hyperlink w:anchor="_Toc366227342" w:history="1">
        <w:r w:rsidRPr="009B1774">
          <w:rPr>
            <w:rStyle w:val="Hyperlink"/>
            <w:noProof/>
          </w:rPr>
          <w:t>Figure 5</w:t>
        </w:r>
        <w:r w:rsidRPr="009B1774">
          <w:rPr>
            <w:rStyle w:val="Hyperlink"/>
            <w:noProof/>
          </w:rPr>
          <w:noBreakHyphen/>
          <w:t>5: Road transport greenhouse gas emissions by mode under the central policy scenario</w:t>
        </w:r>
        <w:r>
          <w:rPr>
            <w:noProof/>
            <w:webHidden/>
          </w:rPr>
          <w:tab/>
        </w:r>
        <w:r>
          <w:rPr>
            <w:noProof/>
            <w:webHidden/>
          </w:rPr>
          <w:fldChar w:fldCharType="begin"/>
        </w:r>
        <w:r>
          <w:rPr>
            <w:noProof/>
            <w:webHidden/>
          </w:rPr>
          <w:instrText xml:space="preserve"> PAGEREF _Toc366227342 \h </w:instrText>
        </w:r>
        <w:r>
          <w:rPr>
            <w:noProof/>
            <w:webHidden/>
          </w:rPr>
        </w:r>
        <w:r>
          <w:rPr>
            <w:noProof/>
            <w:webHidden/>
          </w:rPr>
          <w:fldChar w:fldCharType="separate"/>
        </w:r>
        <w:r w:rsidR="003E0F65">
          <w:rPr>
            <w:noProof/>
            <w:webHidden/>
          </w:rPr>
          <w:t>38</w:t>
        </w:r>
        <w:r>
          <w:rPr>
            <w:noProof/>
            <w:webHidden/>
          </w:rPr>
          <w:fldChar w:fldCharType="end"/>
        </w:r>
      </w:hyperlink>
    </w:p>
    <w:p w:rsidR="003D5C0C" w:rsidRDefault="003D5C0C">
      <w:pPr>
        <w:pStyle w:val="TableofFigures"/>
        <w:rPr>
          <w:rFonts w:asciiTheme="minorHAnsi" w:eastAsiaTheme="minorEastAsia" w:hAnsiTheme="minorHAnsi" w:cstheme="minorBidi"/>
          <w:noProof/>
          <w:color w:val="auto"/>
        </w:rPr>
      </w:pPr>
      <w:hyperlink w:anchor="_Toc366227343" w:history="1">
        <w:r w:rsidRPr="009B1774">
          <w:rPr>
            <w:rStyle w:val="Hyperlink"/>
            <w:noProof/>
          </w:rPr>
          <w:t>Figure 5</w:t>
        </w:r>
        <w:r w:rsidRPr="009B1774">
          <w:rPr>
            <w:rStyle w:val="Hyperlink"/>
            <w:noProof/>
          </w:rPr>
          <w:noBreakHyphen/>
          <w:t>6: Non-road transport greenhouse gas emissions by mode under the central policy scenario</w:t>
        </w:r>
        <w:r>
          <w:rPr>
            <w:noProof/>
            <w:webHidden/>
          </w:rPr>
          <w:tab/>
        </w:r>
        <w:r>
          <w:rPr>
            <w:noProof/>
            <w:webHidden/>
          </w:rPr>
          <w:fldChar w:fldCharType="begin"/>
        </w:r>
        <w:r>
          <w:rPr>
            <w:noProof/>
            <w:webHidden/>
          </w:rPr>
          <w:instrText xml:space="preserve"> PAGEREF _Toc366227343 \h </w:instrText>
        </w:r>
        <w:r>
          <w:rPr>
            <w:noProof/>
            <w:webHidden/>
          </w:rPr>
        </w:r>
        <w:r>
          <w:rPr>
            <w:noProof/>
            <w:webHidden/>
          </w:rPr>
          <w:fldChar w:fldCharType="separate"/>
        </w:r>
        <w:r w:rsidR="003E0F65">
          <w:rPr>
            <w:noProof/>
            <w:webHidden/>
          </w:rPr>
          <w:t>39</w:t>
        </w:r>
        <w:r>
          <w:rPr>
            <w:noProof/>
            <w:webHidden/>
          </w:rPr>
          <w:fldChar w:fldCharType="end"/>
        </w:r>
      </w:hyperlink>
    </w:p>
    <w:p w:rsidR="003D5C0C" w:rsidRDefault="003D5C0C">
      <w:pPr>
        <w:pStyle w:val="TableofFigures"/>
        <w:rPr>
          <w:rFonts w:asciiTheme="minorHAnsi" w:eastAsiaTheme="minorEastAsia" w:hAnsiTheme="minorHAnsi" w:cstheme="minorBidi"/>
          <w:noProof/>
          <w:color w:val="auto"/>
        </w:rPr>
      </w:pPr>
      <w:hyperlink w:anchor="_Toc366227344" w:history="1">
        <w:r w:rsidRPr="009B1774">
          <w:rPr>
            <w:rStyle w:val="Hyperlink"/>
            <w:noProof/>
          </w:rPr>
          <w:t>Figure 5</w:t>
        </w:r>
        <w:r w:rsidRPr="009B1774">
          <w:rPr>
            <w:rStyle w:val="Hyperlink"/>
            <w:noProof/>
          </w:rPr>
          <w:noBreakHyphen/>
          <w:t>7: Transport sector greenhouse gas emissions under the central policy scenario</w:t>
        </w:r>
        <w:r>
          <w:rPr>
            <w:noProof/>
            <w:webHidden/>
          </w:rPr>
          <w:tab/>
        </w:r>
        <w:r>
          <w:rPr>
            <w:noProof/>
            <w:webHidden/>
          </w:rPr>
          <w:fldChar w:fldCharType="begin"/>
        </w:r>
        <w:r>
          <w:rPr>
            <w:noProof/>
            <w:webHidden/>
          </w:rPr>
          <w:instrText xml:space="preserve"> PAGEREF _Toc366227344 \h </w:instrText>
        </w:r>
        <w:r>
          <w:rPr>
            <w:noProof/>
            <w:webHidden/>
          </w:rPr>
        </w:r>
        <w:r>
          <w:rPr>
            <w:noProof/>
            <w:webHidden/>
          </w:rPr>
          <w:fldChar w:fldCharType="separate"/>
        </w:r>
        <w:r w:rsidR="003E0F65">
          <w:rPr>
            <w:noProof/>
            <w:webHidden/>
          </w:rPr>
          <w:t>40</w:t>
        </w:r>
        <w:r>
          <w:rPr>
            <w:noProof/>
            <w:webHidden/>
          </w:rPr>
          <w:fldChar w:fldCharType="end"/>
        </w:r>
      </w:hyperlink>
    </w:p>
    <w:p w:rsidR="003D5C0C" w:rsidRDefault="003D5C0C">
      <w:pPr>
        <w:pStyle w:val="TableofFigures"/>
        <w:rPr>
          <w:rFonts w:asciiTheme="minorHAnsi" w:eastAsiaTheme="minorEastAsia" w:hAnsiTheme="minorHAnsi" w:cstheme="minorBidi"/>
          <w:noProof/>
          <w:color w:val="auto"/>
        </w:rPr>
      </w:pPr>
      <w:hyperlink w:anchor="_Toc366227345" w:history="1">
        <w:r w:rsidRPr="009B1774">
          <w:rPr>
            <w:rStyle w:val="Hyperlink"/>
            <w:noProof/>
          </w:rPr>
          <w:t>Figure 5</w:t>
        </w:r>
        <w:r w:rsidRPr="009B1774">
          <w:rPr>
            <w:rStyle w:val="Hyperlink"/>
            <w:noProof/>
          </w:rPr>
          <w:noBreakHyphen/>
          <w:t>8: Projected road transport fuel consumption by fuel under the low carbon price scenario</w:t>
        </w:r>
        <w:r>
          <w:rPr>
            <w:noProof/>
            <w:webHidden/>
          </w:rPr>
          <w:tab/>
        </w:r>
        <w:r>
          <w:rPr>
            <w:noProof/>
            <w:webHidden/>
          </w:rPr>
          <w:fldChar w:fldCharType="begin"/>
        </w:r>
        <w:r>
          <w:rPr>
            <w:noProof/>
            <w:webHidden/>
          </w:rPr>
          <w:instrText xml:space="preserve"> PAGEREF _Toc366227345 \h </w:instrText>
        </w:r>
        <w:r>
          <w:rPr>
            <w:noProof/>
            <w:webHidden/>
          </w:rPr>
        </w:r>
        <w:r>
          <w:rPr>
            <w:noProof/>
            <w:webHidden/>
          </w:rPr>
          <w:fldChar w:fldCharType="separate"/>
        </w:r>
        <w:r w:rsidR="003E0F65">
          <w:rPr>
            <w:noProof/>
            <w:webHidden/>
          </w:rPr>
          <w:t>41</w:t>
        </w:r>
        <w:r>
          <w:rPr>
            <w:noProof/>
            <w:webHidden/>
          </w:rPr>
          <w:fldChar w:fldCharType="end"/>
        </w:r>
      </w:hyperlink>
    </w:p>
    <w:p w:rsidR="003D5C0C" w:rsidRDefault="003D5C0C">
      <w:pPr>
        <w:pStyle w:val="TableofFigures"/>
        <w:rPr>
          <w:rFonts w:asciiTheme="minorHAnsi" w:eastAsiaTheme="minorEastAsia" w:hAnsiTheme="minorHAnsi" w:cstheme="minorBidi"/>
          <w:noProof/>
          <w:color w:val="auto"/>
        </w:rPr>
      </w:pPr>
      <w:hyperlink w:anchor="_Toc366227346" w:history="1">
        <w:r w:rsidRPr="009B1774">
          <w:rPr>
            <w:rStyle w:val="Hyperlink"/>
            <w:noProof/>
          </w:rPr>
          <w:t>Figure 5</w:t>
        </w:r>
        <w:r w:rsidRPr="009B1774">
          <w:rPr>
            <w:rStyle w:val="Hyperlink"/>
            <w:noProof/>
          </w:rPr>
          <w:noBreakHyphen/>
          <w:t>9: Non-road transport fuel consumption by fuel and mode under the low carbon price scenario</w:t>
        </w:r>
        <w:r>
          <w:rPr>
            <w:noProof/>
            <w:webHidden/>
          </w:rPr>
          <w:tab/>
        </w:r>
        <w:r>
          <w:rPr>
            <w:noProof/>
            <w:webHidden/>
          </w:rPr>
          <w:fldChar w:fldCharType="begin"/>
        </w:r>
        <w:r>
          <w:rPr>
            <w:noProof/>
            <w:webHidden/>
          </w:rPr>
          <w:instrText xml:space="preserve"> PAGEREF _Toc366227346 \h </w:instrText>
        </w:r>
        <w:r>
          <w:rPr>
            <w:noProof/>
            <w:webHidden/>
          </w:rPr>
        </w:r>
        <w:r>
          <w:rPr>
            <w:noProof/>
            <w:webHidden/>
          </w:rPr>
          <w:fldChar w:fldCharType="separate"/>
        </w:r>
        <w:r w:rsidR="003E0F65">
          <w:rPr>
            <w:noProof/>
            <w:webHidden/>
          </w:rPr>
          <w:t>42</w:t>
        </w:r>
        <w:r>
          <w:rPr>
            <w:noProof/>
            <w:webHidden/>
          </w:rPr>
          <w:fldChar w:fldCharType="end"/>
        </w:r>
      </w:hyperlink>
    </w:p>
    <w:p w:rsidR="003D5C0C" w:rsidRDefault="003D5C0C">
      <w:pPr>
        <w:pStyle w:val="TableofFigures"/>
        <w:rPr>
          <w:rFonts w:asciiTheme="minorHAnsi" w:eastAsiaTheme="minorEastAsia" w:hAnsiTheme="minorHAnsi" w:cstheme="minorBidi"/>
          <w:noProof/>
          <w:color w:val="auto"/>
        </w:rPr>
      </w:pPr>
      <w:hyperlink w:anchor="_Toc366227347" w:history="1">
        <w:r w:rsidRPr="009B1774">
          <w:rPr>
            <w:rStyle w:val="Hyperlink"/>
            <w:noProof/>
          </w:rPr>
          <w:t>Figure 5</w:t>
        </w:r>
        <w:r w:rsidRPr="009B1774">
          <w:rPr>
            <w:rStyle w:val="Hyperlink"/>
            <w:noProof/>
          </w:rPr>
          <w:noBreakHyphen/>
          <w:t>10: Engine type in road kilometres travelled, low carbon price scenario</w:t>
        </w:r>
        <w:r>
          <w:rPr>
            <w:noProof/>
            <w:webHidden/>
          </w:rPr>
          <w:tab/>
        </w:r>
        <w:r>
          <w:rPr>
            <w:noProof/>
            <w:webHidden/>
          </w:rPr>
          <w:fldChar w:fldCharType="begin"/>
        </w:r>
        <w:r>
          <w:rPr>
            <w:noProof/>
            <w:webHidden/>
          </w:rPr>
          <w:instrText xml:space="preserve"> PAGEREF _Toc366227347 \h </w:instrText>
        </w:r>
        <w:r>
          <w:rPr>
            <w:noProof/>
            <w:webHidden/>
          </w:rPr>
        </w:r>
        <w:r>
          <w:rPr>
            <w:noProof/>
            <w:webHidden/>
          </w:rPr>
          <w:fldChar w:fldCharType="separate"/>
        </w:r>
        <w:r w:rsidR="003E0F65">
          <w:rPr>
            <w:noProof/>
            <w:webHidden/>
          </w:rPr>
          <w:t>43</w:t>
        </w:r>
        <w:r>
          <w:rPr>
            <w:noProof/>
            <w:webHidden/>
          </w:rPr>
          <w:fldChar w:fldCharType="end"/>
        </w:r>
      </w:hyperlink>
    </w:p>
    <w:p w:rsidR="003D5C0C" w:rsidRDefault="003D5C0C">
      <w:pPr>
        <w:pStyle w:val="TableofFigures"/>
        <w:rPr>
          <w:rFonts w:asciiTheme="minorHAnsi" w:eastAsiaTheme="minorEastAsia" w:hAnsiTheme="minorHAnsi" w:cstheme="minorBidi"/>
          <w:noProof/>
          <w:color w:val="auto"/>
        </w:rPr>
      </w:pPr>
      <w:hyperlink w:anchor="_Toc366227348" w:history="1">
        <w:r w:rsidRPr="009B1774">
          <w:rPr>
            <w:rStyle w:val="Hyperlink"/>
            <w:noProof/>
          </w:rPr>
          <w:t>Figure 5</w:t>
        </w:r>
        <w:r w:rsidRPr="009B1774">
          <w:rPr>
            <w:rStyle w:val="Hyperlink"/>
            <w:noProof/>
          </w:rPr>
          <w:noBreakHyphen/>
          <w:t>11: Road transport greenhouse gas emissions by mode under the low carbon price scenario</w:t>
        </w:r>
        <w:r>
          <w:rPr>
            <w:noProof/>
            <w:webHidden/>
          </w:rPr>
          <w:tab/>
        </w:r>
        <w:r>
          <w:rPr>
            <w:noProof/>
            <w:webHidden/>
          </w:rPr>
          <w:fldChar w:fldCharType="begin"/>
        </w:r>
        <w:r>
          <w:rPr>
            <w:noProof/>
            <w:webHidden/>
          </w:rPr>
          <w:instrText xml:space="preserve"> PAGEREF _Toc366227348 \h </w:instrText>
        </w:r>
        <w:r>
          <w:rPr>
            <w:noProof/>
            <w:webHidden/>
          </w:rPr>
        </w:r>
        <w:r>
          <w:rPr>
            <w:noProof/>
            <w:webHidden/>
          </w:rPr>
          <w:fldChar w:fldCharType="separate"/>
        </w:r>
        <w:r w:rsidR="003E0F65">
          <w:rPr>
            <w:noProof/>
            <w:webHidden/>
          </w:rPr>
          <w:t>44</w:t>
        </w:r>
        <w:r>
          <w:rPr>
            <w:noProof/>
            <w:webHidden/>
          </w:rPr>
          <w:fldChar w:fldCharType="end"/>
        </w:r>
      </w:hyperlink>
    </w:p>
    <w:p w:rsidR="003D5C0C" w:rsidRDefault="003D5C0C">
      <w:pPr>
        <w:pStyle w:val="TableofFigures"/>
        <w:rPr>
          <w:rFonts w:asciiTheme="minorHAnsi" w:eastAsiaTheme="minorEastAsia" w:hAnsiTheme="minorHAnsi" w:cstheme="minorBidi"/>
          <w:noProof/>
          <w:color w:val="auto"/>
        </w:rPr>
      </w:pPr>
      <w:hyperlink w:anchor="_Toc366227349" w:history="1">
        <w:r w:rsidRPr="009B1774">
          <w:rPr>
            <w:rStyle w:val="Hyperlink"/>
            <w:noProof/>
          </w:rPr>
          <w:t>Figure 5</w:t>
        </w:r>
        <w:r w:rsidRPr="009B1774">
          <w:rPr>
            <w:rStyle w:val="Hyperlink"/>
            <w:noProof/>
          </w:rPr>
          <w:noBreakHyphen/>
          <w:t>12: Non-road transport greenhouse gas emissions by mode under the low carbon price scenario</w:t>
        </w:r>
        <w:r>
          <w:rPr>
            <w:noProof/>
            <w:webHidden/>
          </w:rPr>
          <w:tab/>
        </w:r>
        <w:r>
          <w:rPr>
            <w:noProof/>
            <w:webHidden/>
          </w:rPr>
          <w:fldChar w:fldCharType="begin"/>
        </w:r>
        <w:r>
          <w:rPr>
            <w:noProof/>
            <w:webHidden/>
          </w:rPr>
          <w:instrText xml:space="preserve"> PAGEREF _Toc366227349 \h </w:instrText>
        </w:r>
        <w:r>
          <w:rPr>
            <w:noProof/>
            <w:webHidden/>
          </w:rPr>
        </w:r>
        <w:r>
          <w:rPr>
            <w:noProof/>
            <w:webHidden/>
          </w:rPr>
          <w:fldChar w:fldCharType="separate"/>
        </w:r>
        <w:r w:rsidR="003E0F65">
          <w:rPr>
            <w:noProof/>
            <w:webHidden/>
          </w:rPr>
          <w:t>45</w:t>
        </w:r>
        <w:r>
          <w:rPr>
            <w:noProof/>
            <w:webHidden/>
          </w:rPr>
          <w:fldChar w:fldCharType="end"/>
        </w:r>
      </w:hyperlink>
    </w:p>
    <w:p w:rsidR="003D5C0C" w:rsidRDefault="003D5C0C">
      <w:pPr>
        <w:pStyle w:val="TableofFigures"/>
        <w:rPr>
          <w:rFonts w:asciiTheme="minorHAnsi" w:eastAsiaTheme="minorEastAsia" w:hAnsiTheme="minorHAnsi" w:cstheme="minorBidi"/>
          <w:noProof/>
          <w:color w:val="auto"/>
        </w:rPr>
      </w:pPr>
      <w:hyperlink w:anchor="_Toc366227350" w:history="1">
        <w:r w:rsidRPr="009B1774">
          <w:rPr>
            <w:rStyle w:val="Hyperlink"/>
            <w:noProof/>
          </w:rPr>
          <w:t>Figure 5</w:t>
        </w:r>
        <w:r w:rsidRPr="009B1774">
          <w:rPr>
            <w:rStyle w:val="Hyperlink"/>
            <w:noProof/>
          </w:rPr>
          <w:noBreakHyphen/>
          <w:t>13: Transport sector greenhouse gas emissions under the low carbon price and central policy scenarios</w:t>
        </w:r>
        <w:r>
          <w:rPr>
            <w:noProof/>
            <w:webHidden/>
          </w:rPr>
          <w:tab/>
        </w:r>
        <w:r>
          <w:rPr>
            <w:noProof/>
            <w:webHidden/>
          </w:rPr>
          <w:fldChar w:fldCharType="begin"/>
        </w:r>
        <w:r>
          <w:rPr>
            <w:noProof/>
            <w:webHidden/>
          </w:rPr>
          <w:instrText xml:space="preserve"> PAGEREF _Toc366227350 \h </w:instrText>
        </w:r>
        <w:r>
          <w:rPr>
            <w:noProof/>
            <w:webHidden/>
          </w:rPr>
        </w:r>
        <w:r>
          <w:rPr>
            <w:noProof/>
            <w:webHidden/>
          </w:rPr>
          <w:fldChar w:fldCharType="separate"/>
        </w:r>
        <w:r w:rsidR="003E0F65">
          <w:rPr>
            <w:noProof/>
            <w:webHidden/>
          </w:rPr>
          <w:t>46</w:t>
        </w:r>
        <w:r>
          <w:rPr>
            <w:noProof/>
            <w:webHidden/>
          </w:rPr>
          <w:fldChar w:fldCharType="end"/>
        </w:r>
      </w:hyperlink>
    </w:p>
    <w:p w:rsidR="003D5C0C" w:rsidRDefault="003D5C0C">
      <w:pPr>
        <w:pStyle w:val="TableofFigures"/>
        <w:rPr>
          <w:rFonts w:asciiTheme="minorHAnsi" w:eastAsiaTheme="minorEastAsia" w:hAnsiTheme="minorHAnsi" w:cstheme="minorBidi"/>
          <w:noProof/>
          <w:color w:val="auto"/>
        </w:rPr>
      </w:pPr>
      <w:hyperlink w:anchor="_Toc366227351" w:history="1">
        <w:r w:rsidRPr="009B1774">
          <w:rPr>
            <w:rStyle w:val="Hyperlink"/>
            <w:noProof/>
          </w:rPr>
          <w:t>Figure 5</w:t>
        </w:r>
        <w:r w:rsidRPr="009B1774">
          <w:rPr>
            <w:rStyle w:val="Hyperlink"/>
            <w:noProof/>
          </w:rPr>
          <w:noBreakHyphen/>
          <w:t>14: Projected road transport fuel consumption by fuel under the high carbon price scenario</w:t>
        </w:r>
        <w:r>
          <w:rPr>
            <w:noProof/>
            <w:webHidden/>
          </w:rPr>
          <w:tab/>
        </w:r>
        <w:r>
          <w:rPr>
            <w:noProof/>
            <w:webHidden/>
          </w:rPr>
          <w:fldChar w:fldCharType="begin"/>
        </w:r>
        <w:r>
          <w:rPr>
            <w:noProof/>
            <w:webHidden/>
          </w:rPr>
          <w:instrText xml:space="preserve"> PAGEREF _Toc366227351 \h </w:instrText>
        </w:r>
        <w:r>
          <w:rPr>
            <w:noProof/>
            <w:webHidden/>
          </w:rPr>
        </w:r>
        <w:r>
          <w:rPr>
            <w:noProof/>
            <w:webHidden/>
          </w:rPr>
          <w:fldChar w:fldCharType="separate"/>
        </w:r>
        <w:r w:rsidR="003E0F65">
          <w:rPr>
            <w:noProof/>
            <w:webHidden/>
          </w:rPr>
          <w:t>47</w:t>
        </w:r>
        <w:r>
          <w:rPr>
            <w:noProof/>
            <w:webHidden/>
          </w:rPr>
          <w:fldChar w:fldCharType="end"/>
        </w:r>
      </w:hyperlink>
    </w:p>
    <w:p w:rsidR="003D5C0C" w:rsidRDefault="003D5C0C">
      <w:pPr>
        <w:pStyle w:val="TableofFigures"/>
        <w:rPr>
          <w:rFonts w:asciiTheme="minorHAnsi" w:eastAsiaTheme="minorEastAsia" w:hAnsiTheme="minorHAnsi" w:cstheme="minorBidi"/>
          <w:noProof/>
          <w:color w:val="auto"/>
        </w:rPr>
      </w:pPr>
      <w:hyperlink w:anchor="_Toc366227352" w:history="1">
        <w:r w:rsidRPr="009B1774">
          <w:rPr>
            <w:rStyle w:val="Hyperlink"/>
            <w:noProof/>
          </w:rPr>
          <w:t>Figure 5</w:t>
        </w:r>
        <w:r w:rsidRPr="009B1774">
          <w:rPr>
            <w:rStyle w:val="Hyperlink"/>
            <w:noProof/>
          </w:rPr>
          <w:noBreakHyphen/>
          <w:t>15: Non-road transport fuel consumption by fuel and mode under the high carbon price scenario</w:t>
        </w:r>
        <w:r>
          <w:rPr>
            <w:noProof/>
            <w:webHidden/>
          </w:rPr>
          <w:tab/>
        </w:r>
        <w:r>
          <w:rPr>
            <w:noProof/>
            <w:webHidden/>
          </w:rPr>
          <w:fldChar w:fldCharType="begin"/>
        </w:r>
        <w:r>
          <w:rPr>
            <w:noProof/>
            <w:webHidden/>
          </w:rPr>
          <w:instrText xml:space="preserve"> PAGEREF _Toc366227352 \h </w:instrText>
        </w:r>
        <w:r>
          <w:rPr>
            <w:noProof/>
            <w:webHidden/>
          </w:rPr>
        </w:r>
        <w:r>
          <w:rPr>
            <w:noProof/>
            <w:webHidden/>
          </w:rPr>
          <w:fldChar w:fldCharType="separate"/>
        </w:r>
        <w:r w:rsidR="003E0F65">
          <w:rPr>
            <w:noProof/>
            <w:webHidden/>
          </w:rPr>
          <w:t>48</w:t>
        </w:r>
        <w:r>
          <w:rPr>
            <w:noProof/>
            <w:webHidden/>
          </w:rPr>
          <w:fldChar w:fldCharType="end"/>
        </w:r>
      </w:hyperlink>
    </w:p>
    <w:p w:rsidR="003D5C0C" w:rsidRDefault="003D5C0C">
      <w:pPr>
        <w:pStyle w:val="TableofFigures"/>
        <w:rPr>
          <w:rFonts w:asciiTheme="minorHAnsi" w:eastAsiaTheme="minorEastAsia" w:hAnsiTheme="minorHAnsi" w:cstheme="minorBidi"/>
          <w:noProof/>
          <w:color w:val="auto"/>
        </w:rPr>
      </w:pPr>
      <w:hyperlink w:anchor="_Toc366227353" w:history="1">
        <w:r w:rsidRPr="009B1774">
          <w:rPr>
            <w:rStyle w:val="Hyperlink"/>
            <w:noProof/>
          </w:rPr>
          <w:t>Figure 5</w:t>
        </w:r>
        <w:r w:rsidRPr="009B1774">
          <w:rPr>
            <w:rStyle w:val="Hyperlink"/>
            <w:noProof/>
          </w:rPr>
          <w:noBreakHyphen/>
          <w:t>16: Engine type in road kilometres travelled, high carbon price scenario</w:t>
        </w:r>
        <w:r>
          <w:rPr>
            <w:noProof/>
            <w:webHidden/>
          </w:rPr>
          <w:tab/>
        </w:r>
        <w:r>
          <w:rPr>
            <w:noProof/>
            <w:webHidden/>
          </w:rPr>
          <w:fldChar w:fldCharType="begin"/>
        </w:r>
        <w:r>
          <w:rPr>
            <w:noProof/>
            <w:webHidden/>
          </w:rPr>
          <w:instrText xml:space="preserve"> PAGEREF _Toc366227353 \h </w:instrText>
        </w:r>
        <w:r>
          <w:rPr>
            <w:noProof/>
            <w:webHidden/>
          </w:rPr>
        </w:r>
        <w:r>
          <w:rPr>
            <w:noProof/>
            <w:webHidden/>
          </w:rPr>
          <w:fldChar w:fldCharType="separate"/>
        </w:r>
        <w:r w:rsidR="003E0F65">
          <w:rPr>
            <w:noProof/>
            <w:webHidden/>
          </w:rPr>
          <w:t>49</w:t>
        </w:r>
        <w:r>
          <w:rPr>
            <w:noProof/>
            <w:webHidden/>
          </w:rPr>
          <w:fldChar w:fldCharType="end"/>
        </w:r>
      </w:hyperlink>
    </w:p>
    <w:p w:rsidR="003D5C0C" w:rsidRDefault="003D5C0C">
      <w:pPr>
        <w:pStyle w:val="TableofFigures"/>
        <w:rPr>
          <w:rFonts w:asciiTheme="minorHAnsi" w:eastAsiaTheme="minorEastAsia" w:hAnsiTheme="minorHAnsi" w:cstheme="minorBidi"/>
          <w:noProof/>
          <w:color w:val="auto"/>
        </w:rPr>
      </w:pPr>
      <w:hyperlink w:anchor="_Toc366227354" w:history="1">
        <w:r w:rsidRPr="009B1774">
          <w:rPr>
            <w:rStyle w:val="Hyperlink"/>
            <w:noProof/>
          </w:rPr>
          <w:t>Figure 5</w:t>
        </w:r>
        <w:r w:rsidRPr="009B1774">
          <w:rPr>
            <w:rStyle w:val="Hyperlink"/>
            <w:noProof/>
          </w:rPr>
          <w:noBreakHyphen/>
          <w:t>17: Road transport greenhouse gas emissions by mode under the high carbon price scenario</w:t>
        </w:r>
        <w:r>
          <w:rPr>
            <w:noProof/>
            <w:webHidden/>
          </w:rPr>
          <w:tab/>
        </w:r>
        <w:r>
          <w:rPr>
            <w:noProof/>
            <w:webHidden/>
          </w:rPr>
          <w:fldChar w:fldCharType="begin"/>
        </w:r>
        <w:r>
          <w:rPr>
            <w:noProof/>
            <w:webHidden/>
          </w:rPr>
          <w:instrText xml:space="preserve"> PAGEREF _Toc366227354 \h </w:instrText>
        </w:r>
        <w:r>
          <w:rPr>
            <w:noProof/>
            <w:webHidden/>
          </w:rPr>
        </w:r>
        <w:r>
          <w:rPr>
            <w:noProof/>
            <w:webHidden/>
          </w:rPr>
          <w:fldChar w:fldCharType="separate"/>
        </w:r>
        <w:r w:rsidR="003E0F65">
          <w:rPr>
            <w:noProof/>
            <w:webHidden/>
          </w:rPr>
          <w:t>50</w:t>
        </w:r>
        <w:r>
          <w:rPr>
            <w:noProof/>
            <w:webHidden/>
          </w:rPr>
          <w:fldChar w:fldCharType="end"/>
        </w:r>
      </w:hyperlink>
    </w:p>
    <w:p w:rsidR="003D5C0C" w:rsidRDefault="003D5C0C">
      <w:pPr>
        <w:pStyle w:val="TableofFigures"/>
        <w:rPr>
          <w:rFonts w:asciiTheme="minorHAnsi" w:eastAsiaTheme="minorEastAsia" w:hAnsiTheme="minorHAnsi" w:cstheme="minorBidi"/>
          <w:noProof/>
          <w:color w:val="auto"/>
        </w:rPr>
      </w:pPr>
      <w:hyperlink w:anchor="_Toc366227355" w:history="1">
        <w:r w:rsidRPr="009B1774">
          <w:rPr>
            <w:rStyle w:val="Hyperlink"/>
            <w:noProof/>
          </w:rPr>
          <w:t>Figure 5</w:t>
        </w:r>
        <w:r w:rsidRPr="009B1774">
          <w:rPr>
            <w:rStyle w:val="Hyperlink"/>
            <w:noProof/>
          </w:rPr>
          <w:noBreakHyphen/>
          <w:t>18: Non-road transport greenhouse gas emissions by mode under the high carbon price scenario</w:t>
        </w:r>
        <w:r>
          <w:rPr>
            <w:noProof/>
            <w:webHidden/>
          </w:rPr>
          <w:tab/>
        </w:r>
        <w:r>
          <w:rPr>
            <w:noProof/>
            <w:webHidden/>
          </w:rPr>
          <w:fldChar w:fldCharType="begin"/>
        </w:r>
        <w:r>
          <w:rPr>
            <w:noProof/>
            <w:webHidden/>
          </w:rPr>
          <w:instrText xml:space="preserve"> PAGEREF _Toc366227355 \h </w:instrText>
        </w:r>
        <w:r>
          <w:rPr>
            <w:noProof/>
            <w:webHidden/>
          </w:rPr>
        </w:r>
        <w:r>
          <w:rPr>
            <w:noProof/>
            <w:webHidden/>
          </w:rPr>
          <w:fldChar w:fldCharType="separate"/>
        </w:r>
        <w:r w:rsidR="003E0F65">
          <w:rPr>
            <w:noProof/>
            <w:webHidden/>
          </w:rPr>
          <w:t>51</w:t>
        </w:r>
        <w:r>
          <w:rPr>
            <w:noProof/>
            <w:webHidden/>
          </w:rPr>
          <w:fldChar w:fldCharType="end"/>
        </w:r>
      </w:hyperlink>
    </w:p>
    <w:p w:rsidR="003D5C0C" w:rsidRDefault="003D5C0C">
      <w:pPr>
        <w:pStyle w:val="TableofFigures"/>
        <w:rPr>
          <w:rFonts w:asciiTheme="minorHAnsi" w:eastAsiaTheme="minorEastAsia" w:hAnsiTheme="minorHAnsi" w:cstheme="minorBidi"/>
          <w:noProof/>
          <w:color w:val="auto"/>
        </w:rPr>
      </w:pPr>
      <w:hyperlink w:anchor="_Toc366227356" w:history="1">
        <w:r w:rsidRPr="009B1774">
          <w:rPr>
            <w:rStyle w:val="Hyperlink"/>
            <w:noProof/>
          </w:rPr>
          <w:t>Figure 5</w:t>
        </w:r>
        <w:r w:rsidRPr="009B1774">
          <w:rPr>
            <w:rStyle w:val="Hyperlink"/>
            <w:noProof/>
          </w:rPr>
          <w:noBreakHyphen/>
          <w:t>19: Transport sector greenhouse gas emissions under the high carbon price and central policy scenarios</w:t>
        </w:r>
        <w:r>
          <w:rPr>
            <w:noProof/>
            <w:webHidden/>
          </w:rPr>
          <w:tab/>
        </w:r>
        <w:r>
          <w:rPr>
            <w:noProof/>
            <w:webHidden/>
          </w:rPr>
          <w:fldChar w:fldCharType="begin"/>
        </w:r>
        <w:r>
          <w:rPr>
            <w:noProof/>
            <w:webHidden/>
          </w:rPr>
          <w:instrText xml:space="preserve"> PAGEREF _Toc366227356 \h </w:instrText>
        </w:r>
        <w:r>
          <w:rPr>
            <w:noProof/>
            <w:webHidden/>
          </w:rPr>
        </w:r>
        <w:r>
          <w:rPr>
            <w:noProof/>
            <w:webHidden/>
          </w:rPr>
          <w:fldChar w:fldCharType="separate"/>
        </w:r>
        <w:r w:rsidR="003E0F65">
          <w:rPr>
            <w:noProof/>
            <w:webHidden/>
          </w:rPr>
          <w:t>52</w:t>
        </w:r>
        <w:r>
          <w:rPr>
            <w:noProof/>
            <w:webHidden/>
          </w:rPr>
          <w:fldChar w:fldCharType="end"/>
        </w:r>
      </w:hyperlink>
    </w:p>
    <w:p w:rsidR="003D5C0C" w:rsidRDefault="003D5C0C">
      <w:pPr>
        <w:pStyle w:val="TableofFigures"/>
        <w:rPr>
          <w:rFonts w:asciiTheme="minorHAnsi" w:eastAsiaTheme="minorEastAsia" w:hAnsiTheme="minorHAnsi" w:cstheme="minorBidi"/>
          <w:noProof/>
          <w:color w:val="auto"/>
        </w:rPr>
      </w:pPr>
      <w:hyperlink w:anchor="_Toc366227357" w:history="1">
        <w:r w:rsidRPr="009B1774">
          <w:rPr>
            <w:rStyle w:val="Hyperlink"/>
            <w:noProof/>
          </w:rPr>
          <w:t>Figure 5</w:t>
        </w:r>
        <w:r w:rsidRPr="009B1774">
          <w:rPr>
            <w:rStyle w:val="Hyperlink"/>
            <w:noProof/>
          </w:rPr>
          <w:noBreakHyphen/>
          <w:t>20: Projected road transport fuel consumption by fuel under the no carbon price scenario</w:t>
        </w:r>
        <w:r>
          <w:rPr>
            <w:noProof/>
            <w:webHidden/>
          </w:rPr>
          <w:tab/>
        </w:r>
        <w:r>
          <w:rPr>
            <w:noProof/>
            <w:webHidden/>
          </w:rPr>
          <w:fldChar w:fldCharType="begin"/>
        </w:r>
        <w:r>
          <w:rPr>
            <w:noProof/>
            <w:webHidden/>
          </w:rPr>
          <w:instrText xml:space="preserve"> PAGEREF _Toc366227357 \h </w:instrText>
        </w:r>
        <w:r>
          <w:rPr>
            <w:noProof/>
            <w:webHidden/>
          </w:rPr>
        </w:r>
        <w:r>
          <w:rPr>
            <w:noProof/>
            <w:webHidden/>
          </w:rPr>
          <w:fldChar w:fldCharType="separate"/>
        </w:r>
        <w:r w:rsidR="003E0F65">
          <w:rPr>
            <w:noProof/>
            <w:webHidden/>
          </w:rPr>
          <w:t>53</w:t>
        </w:r>
        <w:r>
          <w:rPr>
            <w:noProof/>
            <w:webHidden/>
          </w:rPr>
          <w:fldChar w:fldCharType="end"/>
        </w:r>
      </w:hyperlink>
    </w:p>
    <w:p w:rsidR="003D5C0C" w:rsidRDefault="003D5C0C">
      <w:pPr>
        <w:pStyle w:val="TableofFigures"/>
        <w:rPr>
          <w:rFonts w:asciiTheme="minorHAnsi" w:eastAsiaTheme="minorEastAsia" w:hAnsiTheme="minorHAnsi" w:cstheme="minorBidi"/>
          <w:noProof/>
          <w:color w:val="auto"/>
        </w:rPr>
      </w:pPr>
      <w:hyperlink w:anchor="_Toc366227358" w:history="1">
        <w:r w:rsidRPr="009B1774">
          <w:rPr>
            <w:rStyle w:val="Hyperlink"/>
            <w:noProof/>
          </w:rPr>
          <w:t>Figure 5</w:t>
        </w:r>
        <w:r w:rsidRPr="009B1774">
          <w:rPr>
            <w:rStyle w:val="Hyperlink"/>
            <w:noProof/>
          </w:rPr>
          <w:noBreakHyphen/>
          <w:t>21: Non-road transport fuel consumption by fuel and mode under the no carbon price scenario</w:t>
        </w:r>
        <w:r>
          <w:rPr>
            <w:noProof/>
            <w:webHidden/>
          </w:rPr>
          <w:tab/>
        </w:r>
        <w:r>
          <w:rPr>
            <w:noProof/>
            <w:webHidden/>
          </w:rPr>
          <w:fldChar w:fldCharType="begin"/>
        </w:r>
        <w:r>
          <w:rPr>
            <w:noProof/>
            <w:webHidden/>
          </w:rPr>
          <w:instrText xml:space="preserve"> PAGEREF _Toc366227358 \h </w:instrText>
        </w:r>
        <w:r>
          <w:rPr>
            <w:noProof/>
            <w:webHidden/>
          </w:rPr>
        </w:r>
        <w:r>
          <w:rPr>
            <w:noProof/>
            <w:webHidden/>
          </w:rPr>
          <w:fldChar w:fldCharType="separate"/>
        </w:r>
        <w:r w:rsidR="003E0F65">
          <w:rPr>
            <w:noProof/>
            <w:webHidden/>
          </w:rPr>
          <w:t>54</w:t>
        </w:r>
        <w:r>
          <w:rPr>
            <w:noProof/>
            <w:webHidden/>
          </w:rPr>
          <w:fldChar w:fldCharType="end"/>
        </w:r>
      </w:hyperlink>
    </w:p>
    <w:p w:rsidR="003D5C0C" w:rsidRDefault="003D5C0C">
      <w:pPr>
        <w:pStyle w:val="TableofFigures"/>
        <w:rPr>
          <w:rFonts w:asciiTheme="minorHAnsi" w:eastAsiaTheme="minorEastAsia" w:hAnsiTheme="minorHAnsi" w:cstheme="minorBidi"/>
          <w:noProof/>
          <w:color w:val="auto"/>
        </w:rPr>
      </w:pPr>
      <w:hyperlink w:anchor="_Toc366227359" w:history="1">
        <w:r w:rsidRPr="009B1774">
          <w:rPr>
            <w:rStyle w:val="Hyperlink"/>
            <w:noProof/>
          </w:rPr>
          <w:t>Figure 5</w:t>
        </w:r>
        <w:r w:rsidRPr="009B1774">
          <w:rPr>
            <w:rStyle w:val="Hyperlink"/>
            <w:noProof/>
          </w:rPr>
          <w:noBreakHyphen/>
          <w:t>22: Engine type in road kilometres travelled, no carbon price scenario</w:t>
        </w:r>
        <w:r>
          <w:rPr>
            <w:noProof/>
            <w:webHidden/>
          </w:rPr>
          <w:tab/>
        </w:r>
        <w:r>
          <w:rPr>
            <w:noProof/>
            <w:webHidden/>
          </w:rPr>
          <w:fldChar w:fldCharType="begin"/>
        </w:r>
        <w:r>
          <w:rPr>
            <w:noProof/>
            <w:webHidden/>
          </w:rPr>
          <w:instrText xml:space="preserve"> PAGEREF _Toc366227359 \h </w:instrText>
        </w:r>
        <w:r>
          <w:rPr>
            <w:noProof/>
            <w:webHidden/>
          </w:rPr>
        </w:r>
        <w:r>
          <w:rPr>
            <w:noProof/>
            <w:webHidden/>
          </w:rPr>
          <w:fldChar w:fldCharType="separate"/>
        </w:r>
        <w:r w:rsidR="003E0F65">
          <w:rPr>
            <w:noProof/>
            <w:webHidden/>
          </w:rPr>
          <w:t>55</w:t>
        </w:r>
        <w:r>
          <w:rPr>
            <w:noProof/>
            <w:webHidden/>
          </w:rPr>
          <w:fldChar w:fldCharType="end"/>
        </w:r>
      </w:hyperlink>
    </w:p>
    <w:p w:rsidR="003D5C0C" w:rsidRDefault="003D5C0C">
      <w:pPr>
        <w:pStyle w:val="TableofFigures"/>
        <w:rPr>
          <w:rFonts w:asciiTheme="minorHAnsi" w:eastAsiaTheme="minorEastAsia" w:hAnsiTheme="minorHAnsi" w:cstheme="minorBidi"/>
          <w:noProof/>
          <w:color w:val="auto"/>
        </w:rPr>
      </w:pPr>
      <w:hyperlink w:anchor="_Toc366227360" w:history="1">
        <w:r w:rsidRPr="009B1774">
          <w:rPr>
            <w:rStyle w:val="Hyperlink"/>
            <w:noProof/>
          </w:rPr>
          <w:t>Figure 5</w:t>
        </w:r>
        <w:r w:rsidRPr="009B1774">
          <w:rPr>
            <w:rStyle w:val="Hyperlink"/>
            <w:noProof/>
          </w:rPr>
          <w:noBreakHyphen/>
          <w:t>23: Road transport greenhouse gas emissions by mode under the no carbon price scenario</w:t>
        </w:r>
        <w:r>
          <w:rPr>
            <w:noProof/>
            <w:webHidden/>
          </w:rPr>
          <w:tab/>
        </w:r>
        <w:r>
          <w:rPr>
            <w:noProof/>
            <w:webHidden/>
          </w:rPr>
          <w:fldChar w:fldCharType="begin"/>
        </w:r>
        <w:r>
          <w:rPr>
            <w:noProof/>
            <w:webHidden/>
          </w:rPr>
          <w:instrText xml:space="preserve"> PAGEREF _Toc366227360 \h </w:instrText>
        </w:r>
        <w:r>
          <w:rPr>
            <w:noProof/>
            <w:webHidden/>
          </w:rPr>
        </w:r>
        <w:r>
          <w:rPr>
            <w:noProof/>
            <w:webHidden/>
          </w:rPr>
          <w:fldChar w:fldCharType="separate"/>
        </w:r>
        <w:r w:rsidR="003E0F65">
          <w:rPr>
            <w:noProof/>
            <w:webHidden/>
          </w:rPr>
          <w:t>56</w:t>
        </w:r>
        <w:r>
          <w:rPr>
            <w:noProof/>
            <w:webHidden/>
          </w:rPr>
          <w:fldChar w:fldCharType="end"/>
        </w:r>
      </w:hyperlink>
    </w:p>
    <w:p w:rsidR="003D5C0C" w:rsidRDefault="003D5C0C">
      <w:pPr>
        <w:pStyle w:val="TableofFigures"/>
        <w:rPr>
          <w:rFonts w:asciiTheme="minorHAnsi" w:eastAsiaTheme="minorEastAsia" w:hAnsiTheme="minorHAnsi" w:cstheme="minorBidi"/>
          <w:noProof/>
          <w:color w:val="auto"/>
        </w:rPr>
      </w:pPr>
      <w:hyperlink w:anchor="_Toc366227361" w:history="1">
        <w:r w:rsidRPr="009B1774">
          <w:rPr>
            <w:rStyle w:val="Hyperlink"/>
            <w:noProof/>
          </w:rPr>
          <w:t>Figure 5</w:t>
        </w:r>
        <w:r w:rsidRPr="009B1774">
          <w:rPr>
            <w:rStyle w:val="Hyperlink"/>
            <w:noProof/>
          </w:rPr>
          <w:noBreakHyphen/>
          <w:t>24: Non-road transport greenhouse gas emissions by mode under the no carbon price scenario</w:t>
        </w:r>
        <w:r>
          <w:rPr>
            <w:noProof/>
            <w:webHidden/>
          </w:rPr>
          <w:tab/>
        </w:r>
        <w:r>
          <w:rPr>
            <w:noProof/>
            <w:webHidden/>
          </w:rPr>
          <w:fldChar w:fldCharType="begin"/>
        </w:r>
        <w:r>
          <w:rPr>
            <w:noProof/>
            <w:webHidden/>
          </w:rPr>
          <w:instrText xml:space="preserve"> PAGEREF _Toc366227361 \h </w:instrText>
        </w:r>
        <w:r>
          <w:rPr>
            <w:noProof/>
            <w:webHidden/>
          </w:rPr>
        </w:r>
        <w:r>
          <w:rPr>
            <w:noProof/>
            <w:webHidden/>
          </w:rPr>
          <w:fldChar w:fldCharType="separate"/>
        </w:r>
        <w:r w:rsidR="003E0F65">
          <w:rPr>
            <w:noProof/>
            <w:webHidden/>
          </w:rPr>
          <w:t>57</w:t>
        </w:r>
        <w:r>
          <w:rPr>
            <w:noProof/>
            <w:webHidden/>
          </w:rPr>
          <w:fldChar w:fldCharType="end"/>
        </w:r>
      </w:hyperlink>
    </w:p>
    <w:p w:rsidR="003D5C0C" w:rsidRDefault="003D5C0C">
      <w:pPr>
        <w:pStyle w:val="TableofFigures"/>
        <w:rPr>
          <w:rFonts w:asciiTheme="minorHAnsi" w:eastAsiaTheme="minorEastAsia" w:hAnsiTheme="minorHAnsi" w:cstheme="minorBidi"/>
          <w:noProof/>
          <w:color w:val="auto"/>
        </w:rPr>
      </w:pPr>
      <w:hyperlink w:anchor="_Toc366227362" w:history="1">
        <w:r w:rsidRPr="009B1774">
          <w:rPr>
            <w:rStyle w:val="Hyperlink"/>
            <w:noProof/>
          </w:rPr>
          <w:t>Figure 5</w:t>
        </w:r>
        <w:r w:rsidRPr="009B1774">
          <w:rPr>
            <w:rStyle w:val="Hyperlink"/>
            <w:noProof/>
          </w:rPr>
          <w:noBreakHyphen/>
          <w:t>25: Transport sector greenhouse gas emissions under the no carbon price and central policy scenarios</w:t>
        </w:r>
        <w:r>
          <w:rPr>
            <w:noProof/>
            <w:webHidden/>
          </w:rPr>
          <w:tab/>
        </w:r>
        <w:r>
          <w:rPr>
            <w:noProof/>
            <w:webHidden/>
          </w:rPr>
          <w:fldChar w:fldCharType="begin"/>
        </w:r>
        <w:r>
          <w:rPr>
            <w:noProof/>
            <w:webHidden/>
          </w:rPr>
          <w:instrText xml:space="preserve"> PAGEREF _Toc366227362 \h </w:instrText>
        </w:r>
        <w:r>
          <w:rPr>
            <w:noProof/>
            <w:webHidden/>
          </w:rPr>
        </w:r>
        <w:r>
          <w:rPr>
            <w:noProof/>
            <w:webHidden/>
          </w:rPr>
          <w:fldChar w:fldCharType="separate"/>
        </w:r>
        <w:r w:rsidR="003E0F65">
          <w:rPr>
            <w:noProof/>
            <w:webHidden/>
          </w:rPr>
          <w:t>58</w:t>
        </w:r>
        <w:r>
          <w:rPr>
            <w:noProof/>
            <w:webHidden/>
          </w:rPr>
          <w:fldChar w:fldCharType="end"/>
        </w:r>
      </w:hyperlink>
    </w:p>
    <w:p w:rsidR="003D5C0C" w:rsidRDefault="003D5C0C">
      <w:pPr>
        <w:pStyle w:val="TableofFigures"/>
        <w:rPr>
          <w:rFonts w:asciiTheme="minorHAnsi" w:eastAsiaTheme="minorEastAsia" w:hAnsiTheme="minorHAnsi" w:cstheme="minorBidi"/>
          <w:noProof/>
          <w:color w:val="auto"/>
        </w:rPr>
      </w:pPr>
      <w:hyperlink w:anchor="_Toc366227363" w:history="1">
        <w:r w:rsidRPr="009B1774">
          <w:rPr>
            <w:rStyle w:val="Hyperlink"/>
            <w:noProof/>
          </w:rPr>
          <w:t>Figure 6</w:t>
        </w:r>
        <w:r w:rsidRPr="009B1774">
          <w:rPr>
            <w:rStyle w:val="Hyperlink"/>
            <w:noProof/>
          </w:rPr>
          <w:noBreakHyphen/>
          <w:t>1: Engine type in road kilometres travelled, minimum efficiency sensitivity</w:t>
        </w:r>
        <w:r>
          <w:rPr>
            <w:noProof/>
            <w:webHidden/>
          </w:rPr>
          <w:tab/>
        </w:r>
        <w:r>
          <w:rPr>
            <w:noProof/>
            <w:webHidden/>
          </w:rPr>
          <w:fldChar w:fldCharType="begin"/>
        </w:r>
        <w:r>
          <w:rPr>
            <w:noProof/>
            <w:webHidden/>
          </w:rPr>
          <w:instrText xml:space="preserve"> PAGEREF _Toc366227363 \h </w:instrText>
        </w:r>
        <w:r>
          <w:rPr>
            <w:noProof/>
            <w:webHidden/>
          </w:rPr>
        </w:r>
        <w:r>
          <w:rPr>
            <w:noProof/>
            <w:webHidden/>
          </w:rPr>
          <w:fldChar w:fldCharType="separate"/>
        </w:r>
        <w:r w:rsidR="003E0F65">
          <w:rPr>
            <w:noProof/>
            <w:webHidden/>
          </w:rPr>
          <w:t>60</w:t>
        </w:r>
        <w:r>
          <w:rPr>
            <w:noProof/>
            <w:webHidden/>
          </w:rPr>
          <w:fldChar w:fldCharType="end"/>
        </w:r>
      </w:hyperlink>
    </w:p>
    <w:p w:rsidR="003D5C0C" w:rsidRDefault="003D5C0C">
      <w:pPr>
        <w:pStyle w:val="TableofFigures"/>
        <w:rPr>
          <w:rFonts w:asciiTheme="minorHAnsi" w:eastAsiaTheme="minorEastAsia" w:hAnsiTheme="minorHAnsi" w:cstheme="minorBidi"/>
          <w:noProof/>
          <w:color w:val="auto"/>
        </w:rPr>
      </w:pPr>
      <w:hyperlink w:anchor="_Toc366227364" w:history="1">
        <w:r w:rsidRPr="009B1774">
          <w:rPr>
            <w:rStyle w:val="Hyperlink"/>
            <w:noProof/>
          </w:rPr>
          <w:t>Figure 6</w:t>
        </w:r>
        <w:r w:rsidRPr="009B1774">
          <w:rPr>
            <w:rStyle w:val="Hyperlink"/>
            <w:noProof/>
          </w:rPr>
          <w:noBreakHyphen/>
          <w:t>2: Comparison share of alternative drivetrains, central policy scenario and minimum efficiency sensitivity</w:t>
        </w:r>
        <w:r>
          <w:rPr>
            <w:noProof/>
            <w:webHidden/>
          </w:rPr>
          <w:tab/>
        </w:r>
        <w:r>
          <w:rPr>
            <w:noProof/>
            <w:webHidden/>
          </w:rPr>
          <w:fldChar w:fldCharType="begin"/>
        </w:r>
        <w:r>
          <w:rPr>
            <w:noProof/>
            <w:webHidden/>
          </w:rPr>
          <w:instrText xml:space="preserve"> PAGEREF _Toc366227364 \h </w:instrText>
        </w:r>
        <w:r>
          <w:rPr>
            <w:noProof/>
            <w:webHidden/>
          </w:rPr>
        </w:r>
        <w:r>
          <w:rPr>
            <w:noProof/>
            <w:webHidden/>
          </w:rPr>
          <w:fldChar w:fldCharType="separate"/>
        </w:r>
        <w:r w:rsidR="003E0F65">
          <w:rPr>
            <w:noProof/>
            <w:webHidden/>
          </w:rPr>
          <w:t>61</w:t>
        </w:r>
        <w:r>
          <w:rPr>
            <w:noProof/>
            <w:webHidden/>
          </w:rPr>
          <w:fldChar w:fldCharType="end"/>
        </w:r>
      </w:hyperlink>
    </w:p>
    <w:p w:rsidR="003D5C0C" w:rsidRDefault="003D5C0C">
      <w:pPr>
        <w:pStyle w:val="TableofFigures"/>
        <w:rPr>
          <w:rFonts w:asciiTheme="minorHAnsi" w:eastAsiaTheme="minorEastAsia" w:hAnsiTheme="minorHAnsi" w:cstheme="minorBidi"/>
          <w:noProof/>
          <w:color w:val="auto"/>
        </w:rPr>
      </w:pPr>
      <w:hyperlink w:anchor="_Toc366227365" w:history="1">
        <w:r w:rsidRPr="009B1774">
          <w:rPr>
            <w:rStyle w:val="Hyperlink"/>
            <w:noProof/>
          </w:rPr>
          <w:t>Figure 6</w:t>
        </w:r>
        <w:r w:rsidRPr="009B1774">
          <w:rPr>
            <w:rStyle w:val="Hyperlink"/>
            <w:noProof/>
          </w:rPr>
          <w:noBreakHyphen/>
          <w:t>3: Road sector greenhouse gas emissions, central policy scenario and minimum efficiency sensitivity</w:t>
        </w:r>
        <w:r>
          <w:rPr>
            <w:noProof/>
            <w:webHidden/>
          </w:rPr>
          <w:tab/>
        </w:r>
        <w:r>
          <w:rPr>
            <w:noProof/>
            <w:webHidden/>
          </w:rPr>
          <w:fldChar w:fldCharType="begin"/>
        </w:r>
        <w:r>
          <w:rPr>
            <w:noProof/>
            <w:webHidden/>
          </w:rPr>
          <w:instrText xml:space="preserve"> PAGEREF _Toc366227365 \h </w:instrText>
        </w:r>
        <w:r>
          <w:rPr>
            <w:noProof/>
            <w:webHidden/>
          </w:rPr>
        </w:r>
        <w:r>
          <w:rPr>
            <w:noProof/>
            <w:webHidden/>
          </w:rPr>
          <w:fldChar w:fldCharType="separate"/>
        </w:r>
        <w:r w:rsidR="003E0F65">
          <w:rPr>
            <w:noProof/>
            <w:webHidden/>
          </w:rPr>
          <w:t>62</w:t>
        </w:r>
        <w:r>
          <w:rPr>
            <w:noProof/>
            <w:webHidden/>
          </w:rPr>
          <w:fldChar w:fldCharType="end"/>
        </w:r>
      </w:hyperlink>
    </w:p>
    <w:p w:rsidR="003D5C0C" w:rsidRDefault="003D5C0C">
      <w:pPr>
        <w:pStyle w:val="TableofFigures"/>
        <w:rPr>
          <w:rFonts w:asciiTheme="minorHAnsi" w:eastAsiaTheme="minorEastAsia" w:hAnsiTheme="minorHAnsi" w:cstheme="minorBidi"/>
          <w:noProof/>
          <w:color w:val="auto"/>
        </w:rPr>
      </w:pPr>
      <w:hyperlink w:anchor="_Toc366227366" w:history="1">
        <w:r w:rsidRPr="009B1774">
          <w:rPr>
            <w:rStyle w:val="Hyperlink"/>
            <w:noProof/>
          </w:rPr>
          <w:t>Figure 6</w:t>
        </w:r>
        <w:r w:rsidRPr="009B1774">
          <w:rPr>
            <w:rStyle w:val="Hyperlink"/>
            <w:noProof/>
          </w:rPr>
          <w:noBreakHyphen/>
          <w:t>4: Projected road transport fuel consumption by fuel under the no carbon price on heavy vehicles sensitivity</w:t>
        </w:r>
        <w:r>
          <w:rPr>
            <w:noProof/>
            <w:webHidden/>
          </w:rPr>
          <w:tab/>
        </w:r>
        <w:r>
          <w:rPr>
            <w:noProof/>
            <w:webHidden/>
          </w:rPr>
          <w:fldChar w:fldCharType="begin"/>
        </w:r>
        <w:r>
          <w:rPr>
            <w:noProof/>
            <w:webHidden/>
          </w:rPr>
          <w:instrText xml:space="preserve"> PAGEREF _Toc366227366 \h </w:instrText>
        </w:r>
        <w:r>
          <w:rPr>
            <w:noProof/>
            <w:webHidden/>
          </w:rPr>
        </w:r>
        <w:r>
          <w:rPr>
            <w:noProof/>
            <w:webHidden/>
          </w:rPr>
          <w:fldChar w:fldCharType="separate"/>
        </w:r>
        <w:r w:rsidR="003E0F65">
          <w:rPr>
            <w:noProof/>
            <w:webHidden/>
          </w:rPr>
          <w:t>63</w:t>
        </w:r>
        <w:r>
          <w:rPr>
            <w:noProof/>
            <w:webHidden/>
          </w:rPr>
          <w:fldChar w:fldCharType="end"/>
        </w:r>
      </w:hyperlink>
    </w:p>
    <w:p w:rsidR="003D5C0C" w:rsidRDefault="003D5C0C">
      <w:pPr>
        <w:pStyle w:val="TableofFigures"/>
        <w:rPr>
          <w:rFonts w:asciiTheme="minorHAnsi" w:eastAsiaTheme="minorEastAsia" w:hAnsiTheme="minorHAnsi" w:cstheme="minorBidi"/>
          <w:noProof/>
          <w:color w:val="auto"/>
        </w:rPr>
      </w:pPr>
      <w:hyperlink w:anchor="_Toc366227367" w:history="1">
        <w:r w:rsidRPr="009B1774">
          <w:rPr>
            <w:rStyle w:val="Hyperlink"/>
            <w:noProof/>
          </w:rPr>
          <w:t>Figure 6</w:t>
        </w:r>
        <w:r w:rsidRPr="009B1774">
          <w:rPr>
            <w:rStyle w:val="Hyperlink"/>
            <w:noProof/>
          </w:rPr>
          <w:noBreakHyphen/>
          <w:t>5: Comparison of low emission fuel use, central policy scenario and no carbon price on heavy vehicles sensitivity</w:t>
        </w:r>
        <w:r>
          <w:rPr>
            <w:noProof/>
            <w:webHidden/>
          </w:rPr>
          <w:tab/>
        </w:r>
        <w:r>
          <w:rPr>
            <w:noProof/>
            <w:webHidden/>
          </w:rPr>
          <w:fldChar w:fldCharType="begin"/>
        </w:r>
        <w:r>
          <w:rPr>
            <w:noProof/>
            <w:webHidden/>
          </w:rPr>
          <w:instrText xml:space="preserve"> PAGEREF _Toc366227367 \h </w:instrText>
        </w:r>
        <w:r>
          <w:rPr>
            <w:noProof/>
            <w:webHidden/>
          </w:rPr>
        </w:r>
        <w:r>
          <w:rPr>
            <w:noProof/>
            <w:webHidden/>
          </w:rPr>
          <w:fldChar w:fldCharType="separate"/>
        </w:r>
        <w:r w:rsidR="003E0F65">
          <w:rPr>
            <w:noProof/>
            <w:webHidden/>
          </w:rPr>
          <w:t>64</w:t>
        </w:r>
        <w:r>
          <w:rPr>
            <w:noProof/>
            <w:webHidden/>
          </w:rPr>
          <w:fldChar w:fldCharType="end"/>
        </w:r>
      </w:hyperlink>
    </w:p>
    <w:p w:rsidR="003D5C0C" w:rsidRDefault="003D5C0C">
      <w:pPr>
        <w:pStyle w:val="TableofFigures"/>
        <w:rPr>
          <w:rFonts w:asciiTheme="minorHAnsi" w:eastAsiaTheme="minorEastAsia" w:hAnsiTheme="minorHAnsi" w:cstheme="minorBidi"/>
          <w:noProof/>
          <w:color w:val="auto"/>
        </w:rPr>
      </w:pPr>
      <w:hyperlink w:anchor="_Toc366227368" w:history="1">
        <w:r w:rsidRPr="009B1774">
          <w:rPr>
            <w:rStyle w:val="Hyperlink"/>
            <w:noProof/>
          </w:rPr>
          <w:t>Figure 6</w:t>
        </w:r>
        <w:r w:rsidRPr="009B1774">
          <w:rPr>
            <w:rStyle w:val="Hyperlink"/>
            <w:noProof/>
          </w:rPr>
          <w:noBreakHyphen/>
          <w:t>6: Comparison of alternative drivetrain vehicle uptake, central policy scenario and no carbon price on heavy vehicles sensitivity</w:t>
        </w:r>
        <w:r>
          <w:rPr>
            <w:noProof/>
            <w:webHidden/>
          </w:rPr>
          <w:tab/>
        </w:r>
        <w:r>
          <w:rPr>
            <w:noProof/>
            <w:webHidden/>
          </w:rPr>
          <w:fldChar w:fldCharType="begin"/>
        </w:r>
        <w:r>
          <w:rPr>
            <w:noProof/>
            <w:webHidden/>
          </w:rPr>
          <w:instrText xml:space="preserve"> PAGEREF _Toc366227368 \h </w:instrText>
        </w:r>
        <w:r>
          <w:rPr>
            <w:noProof/>
            <w:webHidden/>
          </w:rPr>
        </w:r>
        <w:r>
          <w:rPr>
            <w:noProof/>
            <w:webHidden/>
          </w:rPr>
          <w:fldChar w:fldCharType="separate"/>
        </w:r>
        <w:r w:rsidR="003E0F65">
          <w:rPr>
            <w:noProof/>
            <w:webHidden/>
          </w:rPr>
          <w:t>65</w:t>
        </w:r>
        <w:r>
          <w:rPr>
            <w:noProof/>
            <w:webHidden/>
          </w:rPr>
          <w:fldChar w:fldCharType="end"/>
        </w:r>
      </w:hyperlink>
    </w:p>
    <w:p w:rsidR="003D5C0C" w:rsidRDefault="003D5C0C">
      <w:pPr>
        <w:pStyle w:val="TableofFigures"/>
        <w:rPr>
          <w:rFonts w:asciiTheme="minorHAnsi" w:eastAsiaTheme="minorEastAsia" w:hAnsiTheme="minorHAnsi" w:cstheme="minorBidi"/>
          <w:noProof/>
          <w:color w:val="auto"/>
        </w:rPr>
      </w:pPr>
      <w:hyperlink w:anchor="_Toc366227369" w:history="1">
        <w:r w:rsidRPr="009B1774">
          <w:rPr>
            <w:rStyle w:val="Hyperlink"/>
            <w:noProof/>
          </w:rPr>
          <w:t>Figure 6</w:t>
        </w:r>
        <w:r w:rsidRPr="009B1774">
          <w:rPr>
            <w:rStyle w:val="Hyperlink"/>
            <w:noProof/>
          </w:rPr>
          <w:noBreakHyphen/>
          <w:t>7: Road sector greenhouse gas emissions, central policy scenario and no carbon price on heavy vehicles sensitivity</w:t>
        </w:r>
        <w:r>
          <w:rPr>
            <w:noProof/>
            <w:webHidden/>
          </w:rPr>
          <w:tab/>
        </w:r>
        <w:r>
          <w:rPr>
            <w:noProof/>
            <w:webHidden/>
          </w:rPr>
          <w:fldChar w:fldCharType="begin"/>
        </w:r>
        <w:r>
          <w:rPr>
            <w:noProof/>
            <w:webHidden/>
          </w:rPr>
          <w:instrText xml:space="preserve"> PAGEREF _Toc366227369 \h </w:instrText>
        </w:r>
        <w:r>
          <w:rPr>
            <w:noProof/>
            <w:webHidden/>
          </w:rPr>
        </w:r>
        <w:r>
          <w:rPr>
            <w:noProof/>
            <w:webHidden/>
          </w:rPr>
          <w:fldChar w:fldCharType="separate"/>
        </w:r>
        <w:r w:rsidR="003E0F65">
          <w:rPr>
            <w:noProof/>
            <w:webHidden/>
          </w:rPr>
          <w:t>66</w:t>
        </w:r>
        <w:r>
          <w:rPr>
            <w:noProof/>
            <w:webHidden/>
          </w:rPr>
          <w:fldChar w:fldCharType="end"/>
        </w:r>
      </w:hyperlink>
    </w:p>
    <w:p w:rsidR="003D5C0C" w:rsidRDefault="003D5C0C">
      <w:pPr>
        <w:pStyle w:val="TableofFigures"/>
        <w:rPr>
          <w:rFonts w:asciiTheme="minorHAnsi" w:eastAsiaTheme="minorEastAsia" w:hAnsiTheme="minorHAnsi" w:cstheme="minorBidi"/>
          <w:noProof/>
          <w:color w:val="auto"/>
        </w:rPr>
      </w:pPr>
      <w:hyperlink w:anchor="_Toc366227370" w:history="1">
        <w:r w:rsidRPr="009B1774">
          <w:rPr>
            <w:rStyle w:val="Hyperlink"/>
            <w:noProof/>
          </w:rPr>
          <w:t>Figure 6</w:t>
        </w:r>
        <w:r w:rsidRPr="009B1774">
          <w:rPr>
            <w:rStyle w:val="Hyperlink"/>
            <w:noProof/>
          </w:rPr>
          <w:noBreakHyphen/>
          <w:t>8: Engine type in road kilometres travelled, high oil prices sensitivity</w:t>
        </w:r>
        <w:r>
          <w:rPr>
            <w:noProof/>
            <w:webHidden/>
          </w:rPr>
          <w:tab/>
        </w:r>
        <w:r>
          <w:rPr>
            <w:noProof/>
            <w:webHidden/>
          </w:rPr>
          <w:fldChar w:fldCharType="begin"/>
        </w:r>
        <w:r>
          <w:rPr>
            <w:noProof/>
            <w:webHidden/>
          </w:rPr>
          <w:instrText xml:space="preserve"> PAGEREF _Toc366227370 \h </w:instrText>
        </w:r>
        <w:r>
          <w:rPr>
            <w:noProof/>
            <w:webHidden/>
          </w:rPr>
        </w:r>
        <w:r>
          <w:rPr>
            <w:noProof/>
            <w:webHidden/>
          </w:rPr>
          <w:fldChar w:fldCharType="separate"/>
        </w:r>
        <w:r w:rsidR="003E0F65">
          <w:rPr>
            <w:noProof/>
            <w:webHidden/>
          </w:rPr>
          <w:t>67</w:t>
        </w:r>
        <w:r>
          <w:rPr>
            <w:noProof/>
            <w:webHidden/>
          </w:rPr>
          <w:fldChar w:fldCharType="end"/>
        </w:r>
      </w:hyperlink>
    </w:p>
    <w:p w:rsidR="003D5C0C" w:rsidRDefault="003D5C0C">
      <w:pPr>
        <w:pStyle w:val="TableofFigures"/>
        <w:rPr>
          <w:rFonts w:asciiTheme="minorHAnsi" w:eastAsiaTheme="minorEastAsia" w:hAnsiTheme="minorHAnsi" w:cstheme="minorBidi"/>
          <w:noProof/>
          <w:color w:val="auto"/>
        </w:rPr>
      </w:pPr>
      <w:hyperlink w:anchor="_Toc366227371" w:history="1">
        <w:r w:rsidRPr="009B1774">
          <w:rPr>
            <w:rStyle w:val="Hyperlink"/>
            <w:noProof/>
          </w:rPr>
          <w:t>Figure 6</w:t>
        </w:r>
        <w:r w:rsidRPr="009B1774">
          <w:rPr>
            <w:rStyle w:val="Hyperlink"/>
            <w:noProof/>
          </w:rPr>
          <w:noBreakHyphen/>
          <w:t>9: Comparison of alternative drivetrain vehicle uptake, central policy scenario and high oil prices sensitivity</w:t>
        </w:r>
        <w:r>
          <w:rPr>
            <w:noProof/>
            <w:webHidden/>
          </w:rPr>
          <w:tab/>
        </w:r>
        <w:r>
          <w:rPr>
            <w:noProof/>
            <w:webHidden/>
          </w:rPr>
          <w:fldChar w:fldCharType="begin"/>
        </w:r>
        <w:r>
          <w:rPr>
            <w:noProof/>
            <w:webHidden/>
          </w:rPr>
          <w:instrText xml:space="preserve"> PAGEREF _Toc366227371 \h </w:instrText>
        </w:r>
        <w:r>
          <w:rPr>
            <w:noProof/>
            <w:webHidden/>
          </w:rPr>
        </w:r>
        <w:r>
          <w:rPr>
            <w:noProof/>
            <w:webHidden/>
          </w:rPr>
          <w:fldChar w:fldCharType="separate"/>
        </w:r>
        <w:r w:rsidR="003E0F65">
          <w:rPr>
            <w:noProof/>
            <w:webHidden/>
          </w:rPr>
          <w:t>68</w:t>
        </w:r>
        <w:r>
          <w:rPr>
            <w:noProof/>
            <w:webHidden/>
          </w:rPr>
          <w:fldChar w:fldCharType="end"/>
        </w:r>
      </w:hyperlink>
    </w:p>
    <w:p w:rsidR="003D5C0C" w:rsidRDefault="003D5C0C">
      <w:pPr>
        <w:pStyle w:val="TableofFigures"/>
        <w:rPr>
          <w:rFonts w:asciiTheme="minorHAnsi" w:eastAsiaTheme="minorEastAsia" w:hAnsiTheme="minorHAnsi" w:cstheme="minorBidi"/>
          <w:noProof/>
          <w:color w:val="auto"/>
        </w:rPr>
      </w:pPr>
      <w:hyperlink w:anchor="_Toc366227372" w:history="1">
        <w:r w:rsidRPr="009B1774">
          <w:rPr>
            <w:rStyle w:val="Hyperlink"/>
            <w:noProof/>
          </w:rPr>
          <w:t>Figure 6</w:t>
        </w:r>
        <w:r w:rsidRPr="009B1774">
          <w:rPr>
            <w:rStyle w:val="Hyperlink"/>
            <w:noProof/>
          </w:rPr>
          <w:noBreakHyphen/>
          <w:t>10: Road sector greenhouse gas emissions, central policy scenario and high oil prices sensitivity</w:t>
        </w:r>
        <w:r>
          <w:rPr>
            <w:noProof/>
            <w:webHidden/>
          </w:rPr>
          <w:tab/>
        </w:r>
        <w:r>
          <w:rPr>
            <w:noProof/>
            <w:webHidden/>
          </w:rPr>
          <w:fldChar w:fldCharType="begin"/>
        </w:r>
        <w:r>
          <w:rPr>
            <w:noProof/>
            <w:webHidden/>
          </w:rPr>
          <w:instrText xml:space="preserve"> PAGEREF _Toc366227372 \h </w:instrText>
        </w:r>
        <w:r>
          <w:rPr>
            <w:noProof/>
            <w:webHidden/>
          </w:rPr>
        </w:r>
        <w:r>
          <w:rPr>
            <w:noProof/>
            <w:webHidden/>
          </w:rPr>
          <w:fldChar w:fldCharType="separate"/>
        </w:r>
        <w:r w:rsidR="003E0F65">
          <w:rPr>
            <w:noProof/>
            <w:webHidden/>
          </w:rPr>
          <w:t>69</w:t>
        </w:r>
        <w:r>
          <w:rPr>
            <w:noProof/>
            <w:webHidden/>
          </w:rPr>
          <w:fldChar w:fldCharType="end"/>
        </w:r>
      </w:hyperlink>
    </w:p>
    <w:p w:rsidR="003D5C0C" w:rsidRDefault="003D5C0C">
      <w:pPr>
        <w:pStyle w:val="TableofFigures"/>
        <w:rPr>
          <w:rFonts w:asciiTheme="minorHAnsi" w:eastAsiaTheme="minorEastAsia" w:hAnsiTheme="minorHAnsi" w:cstheme="minorBidi"/>
          <w:noProof/>
          <w:color w:val="auto"/>
        </w:rPr>
      </w:pPr>
      <w:hyperlink w:anchor="_Toc366227373" w:history="1">
        <w:r w:rsidRPr="009B1774">
          <w:rPr>
            <w:rStyle w:val="Hyperlink"/>
            <w:noProof/>
          </w:rPr>
          <w:t>Figure 6</w:t>
        </w:r>
        <w:r w:rsidRPr="009B1774">
          <w:rPr>
            <w:rStyle w:val="Hyperlink"/>
            <w:noProof/>
          </w:rPr>
          <w:noBreakHyphen/>
          <w:t>11: Engine type in road kilometres travelled, low oil prices sensitivity</w:t>
        </w:r>
        <w:r>
          <w:rPr>
            <w:noProof/>
            <w:webHidden/>
          </w:rPr>
          <w:tab/>
        </w:r>
        <w:r>
          <w:rPr>
            <w:noProof/>
            <w:webHidden/>
          </w:rPr>
          <w:fldChar w:fldCharType="begin"/>
        </w:r>
        <w:r>
          <w:rPr>
            <w:noProof/>
            <w:webHidden/>
          </w:rPr>
          <w:instrText xml:space="preserve"> PAGEREF _Toc366227373 \h </w:instrText>
        </w:r>
        <w:r>
          <w:rPr>
            <w:noProof/>
            <w:webHidden/>
          </w:rPr>
        </w:r>
        <w:r>
          <w:rPr>
            <w:noProof/>
            <w:webHidden/>
          </w:rPr>
          <w:fldChar w:fldCharType="separate"/>
        </w:r>
        <w:r w:rsidR="003E0F65">
          <w:rPr>
            <w:noProof/>
            <w:webHidden/>
          </w:rPr>
          <w:t>71</w:t>
        </w:r>
        <w:r>
          <w:rPr>
            <w:noProof/>
            <w:webHidden/>
          </w:rPr>
          <w:fldChar w:fldCharType="end"/>
        </w:r>
      </w:hyperlink>
    </w:p>
    <w:p w:rsidR="003D5C0C" w:rsidRDefault="003D5C0C">
      <w:pPr>
        <w:pStyle w:val="TableofFigures"/>
        <w:rPr>
          <w:rFonts w:asciiTheme="minorHAnsi" w:eastAsiaTheme="minorEastAsia" w:hAnsiTheme="minorHAnsi" w:cstheme="minorBidi"/>
          <w:noProof/>
          <w:color w:val="auto"/>
        </w:rPr>
      </w:pPr>
      <w:hyperlink w:anchor="_Toc366227374" w:history="1">
        <w:r w:rsidRPr="009B1774">
          <w:rPr>
            <w:rStyle w:val="Hyperlink"/>
            <w:noProof/>
          </w:rPr>
          <w:t>Figure 6</w:t>
        </w:r>
        <w:r w:rsidRPr="009B1774">
          <w:rPr>
            <w:rStyle w:val="Hyperlink"/>
            <w:noProof/>
          </w:rPr>
          <w:noBreakHyphen/>
          <w:t>12: Comparison of alternative drivetrain vehicle uptake, central policy scenario and low oil prices sensitivity</w:t>
        </w:r>
        <w:r>
          <w:rPr>
            <w:noProof/>
            <w:webHidden/>
          </w:rPr>
          <w:tab/>
        </w:r>
        <w:r>
          <w:rPr>
            <w:noProof/>
            <w:webHidden/>
          </w:rPr>
          <w:fldChar w:fldCharType="begin"/>
        </w:r>
        <w:r>
          <w:rPr>
            <w:noProof/>
            <w:webHidden/>
          </w:rPr>
          <w:instrText xml:space="preserve"> PAGEREF _Toc366227374 \h </w:instrText>
        </w:r>
        <w:r>
          <w:rPr>
            <w:noProof/>
            <w:webHidden/>
          </w:rPr>
        </w:r>
        <w:r>
          <w:rPr>
            <w:noProof/>
            <w:webHidden/>
          </w:rPr>
          <w:fldChar w:fldCharType="separate"/>
        </w:r>
        <w:r w:rsidR="003E0F65">
          <w:rPr>
            <w:noProof/>
            <w:webHidden/>
          </w:rPr>
          <w:t>71</w:t>
        </w:r>
        <w:r>
          <w:rPr>
            <w:noProof/>
            <w:webHidden/>
          </w:rPr>
          <w:fldChar w:fldCharType="end"/>
        </w:r>
      </w:hyperlink>
    </w:p>
    <w:p w:rsidR="003D5C0C" w:rsidRDefault="003D5C0C">
      <w:pPr>
        <w:pStyle w:val="TableofFigures"/>
        <w:rPr>
          <w:rFonts w:asciiTheme="minorHAnsi" w:eastAsiaTheme="minorEastAsia" w:hAnsiTheme="minorHAnsi" w:cstheme="minorBidi"/>
          <w:noProof/>
          <w:color w:val="auto"/>
        </w:rPr>
      </w:pPr>
      <w:hyperlink w:anchor="_Toc366227375" w:history="1">
        <w:r w:rsidRPr="009B1774">
          <w:rPr>
            <w:rStyle w:val="Hyperlink"/>
            <w:noProof/>
          </w:rPr>
          <w:t>Figure 6</w:t>
        </w:r>
        <w:r w:rsidRPr="009B1774">
          <w:rPr>
            <w:rStyle w:val="Hyperlink"/>
            <w:noProof/>
          </w:rPr>
          <w:noBreakHyphen/>
          <w:t>13: Road sector greenhouse gas emissions, central policy scenario and low oil prices sensitivity</w:t>
        </w:r>
        <w:r>
          <w:rPr>
            <w:noProof/>
            <w:webHidden/>
          </w:rPr>
          <w:tab/>
        </w:r>
        <w:r>
          <w:rPr>
            <w:noProof/>
            <w:webHidden/>
          </w:rPr>
          <w:fldChar w:fldCharType="begin"/>
        </w:r>
        <w:r>
          <w:rPr>
            <w:noProof/>
            <w:webHidden/>
          </w:rPr>
          <w:instrText xml:space="preserve"> PAGEREF _Toc366227375 \h </w:instrText>
        </w:r>
        <w:r>
          <w:rPr>
            <w:noProof/>
            <w:webHidden/>
          </w:rPr>
        </w:r>
        <w:r>
          <w:rPr>
            <w:noProof/>
            <w:webHidden/>
          </w:rPr>
          <w:fldChar w:fldCharType="separate"/>
        </w:r>
        <w:r w:rsidR="003E0F65">
          <w:rPr>
            <w:noProof/>
            <w:webHidden/>
          </w:rPr>
          <w:t>72</w:t>
        </w:r>
        <w:r>
          <w:rPr>
            <w:noProof/>
            <w:webHidden/>
          </w:rPr>
          <w:fldChar w:fldCharType="end"/>
        </w:r>
      </w:hyperlink>
    </w:p>
    <w:p w:rsidR="003D5C0C" w:rsidRDefault="003D5C0C">
      <w:pPr>
        <w:pStyle w:val="TableofFigures"/>
        <w:rPr>
          <w:rFonts w:asciiTheme="minorHAnsi" w:eastAsiaTheme="minorEastAsia" w:hAnsiTheme="minorHAnsi" w:cstheme="minorBidi"/>
          <w:noProof/>
          <w:color w:val="auto"/>
        </w:rPr>
      </w:pPr>
      <w:hyperlink w:anchor="_Toc366227376" w:history="1">
        <w:r w:rsidRPr="009B1774">
          <w:rPr>
            <w:rStyle w:val="Hyperlink"/>
            <w:noProof/>
          </w:rPr>
          <w:t>Figure 6</w:t>
        </w:r>
        <w:r w:rsidRPr="009B1774">
          <w:rPr>
            <w:rStyle w:val="Hyperlink"/>
            <w:noProof/>
          </w:rPr>
          <w:noBreakHyphen/>
          <w:t>14: Road sector greenhouse gas emissions, central policy scenario and ETS2015/16 sensitivity</w:t>
        </w:r>
        <w:r>
          <w:rPr>
            <w:noProof/>
            <w:webHidden/>
          </w:rPr>
          <w:tab/>
        </w:r>
        <w:r>
          <w:rPr>
            <w:noProof/>
            <w:webHidden/>
          </w:rPr>
          <w:fldChar w:fldCharType="begin"/>
        </w:r>
        <w:r>
          <w:rPr>
            <w:noProof/>
            <w:webHidden/>
          </w:rPr>
          <w:instrText xml:space="preserve"> PAGEREF _Toc366227376 \h </w:instrText>
        </w:r>
        <w:r>
          <w:rPr>
            <w:noProof/>
            <w:webHidden/>
          </w:rPr>
        </w:r>
        <w:r>
          <w:rPr>
            <w:noProof/>
            <w:webHidden/>
          </w:rPr>
          <w:fldChar w:fldCharType="separate"/>
        </w:r>
        <w:r w:rsidR="003E0F65">
          <w:rPr>
            <w:noProof/>
            <w:webHidden/>
          </w:rPr>
          <w:t>73</w:t>
        </w:r>
        <w:r>
          <w:rPr>
            <w:noProof/>
            <w:webHidden/>
          </w:rPr>
          <w:fldChar w:fldCharType="end"/>
        </w:r>
      </w:hyperlink>
    </w:p>
    <w:p w:rsidR="003A647C" w:rsidRDefault="00C14EF7" w:rsidP="00462182">
      <w:pPr>
        <w:pStyle w:val="TableofFigures"/>
        <w:rPr>
          <w:noProof/>
        </w:rPr>
      </w:pPr>
      <w:r>
        <w:fldChar w:fldCharType="end"/>
      </w:r>
      <w:r w:rsidRPr="00C14EF7">
        <w:fldChar w:fldCharType="begin"/>
      </w:r>
      <w:r w:rsidR="003053C7">
        <w:instrText xml:space="preserve"> TOC \h \z \c "Apx Figure" </w:instrText>
      </w:r>
      <w:r w:rsidRPr="00C14EF7">
        <w:fldChar w:fldCharType="separate"/>
      </w:r>
    </w:p>
    <w:p w:rsidR="006B4FE4" w:rsidRDefault="00C14EF7" w:rsidP="00064612">
      <w:pPr>
        <w:pStyle w:val="ListofFiguresandTablesTOCHeading"/>
      </w:pPr>
      <w:r>
        <w:fldChar w:fldCharType="end"/>
      </w:r>
    </w:p>
    <w:p w:rsidR="006B4FE4" w:rsidRDefault="006B4FE4">
      <w:pPr>
        <w:spacing w:after="0"/>
        <w:rPr>
          <w:rFonts w:eastAsiaTheme="majorEastAsia" w:cstheme="majorBidi"/>
          <w:b/>
          <w:color w:val="00A9CE" w:themeColor="accent1"/>
          <w:sz w:val="44"/>
          <w:szCs w:val="28"/>
        </w:rPr>
      </w:pPr>
      <w:r>
        <w:br w:type="page"/>
      </w:r>
    </w:p>
    <w:p w:rsidR="00A943B2" w:rsidRDefault="004D139E" w:rsidP="00064612">
      <w:pPr>
        <w:pStyle w:val="ListofFiguresandTablesTOCHeading"/>
      </w:pPr>
      <w:r>
        <w:lastRenderedPageBreak/>
        <w:t>T</w:t>
      </w:r>
      <w:r w:rsidR="00A943B2">
        <w:t>ables</w:t>
      </w:r>
    </w:p>
    <w:p w:rsidR="003D5C0C" w:rsidRDefault="00C14EF7">
      <w:pPr>
        <w:pStyle w:val="TableofFigures"/>
        <w:rPr>
          <w:rFonts w:asciiTheme="minorHAnsi" w:eastAsiaTheme="minorEastAsia" w:hAnsiTheme="minorHAnsi" w:cstheme="minorBidi"/>
          <w:noProof/>
          <w:color w:val="auto"/>
        </w:rPr>
      </w:pPr>
      <w:r>
        <w:fldChar w:fldCharType="begin"/>
      </w:r>
      <w:r w:rsidR="00A943B2">
        <w:instrText xml:space="preserve"> TOC \h \z \c "Table" </w:instrText>
      </w:r>
      <w:r>
        <w:fldChar w:fldCharType="separate"/>
      </w:r>
      <w:hyperlink w:anchor="_Toc366227377" w:history="1">
        <w:r w:rsidR="003D5C0C" w:rsidRPr="002D5F58">
          <w:rPr>
            <w:rStyle w:val="Hyperlink"/>
            <w:noProof/>
          </w:rPr>
          <w:t>Table 2</w:t>
        </w:r>
        <w:r w:rsidR="003D5C0C" w:rsidRPr="002D5F58">
          <w:rPr>
            <w:rStyle w:val="Hyperlink"/>
            <w:noProof/>
          </w:rPr>
          <w:noBreakHyphen/>
          <w:t>1: Global scenario context</w:t>
        </w:r>
        <w:r w:rsidR="003D5C0C">
          <w:rPr>
            <w:noProof/>
            <w:webHidden/>
          </w:rPr>
          <w:tab/>
        </w:r>
        <w:r w:rsidR="003D5C0C">
          <w:rPr>
            <w:noProof/>
            <w:webHidden/>
          </w:rPr>
          <w:fldChar w:fldCharType="begin"/>
        </w:r>
        <w:r w:rsidR="003D5C0C">
          <w:rPr>
            <w:noProof/>
            <w:webHidden/>
          </w:rPr>
          <w:instrText xml:space="preserve"> PAGEREF _Toc366227377 \h </w:instrText>
        </w:r>
        <w:r w:rsidR="003D5C0C">
          <w:rPr>
            <w:noProof/>
            <w:webHidden/>
          </w:rPr>
        </w:r>
        <w:r w:rsidR="003D5C0C">
          <w:rPr>
            <w:noProof/>
            <w:webHidden/>
          </w:rPr>
          <w:fldChar w:fldCharType="separate"/>
        </w:r>
        <w:r w:rsidR="003E0F65">
          <w:rPr>
            <w:noProof/>
            <w:webHidden/>
          </w:rPr>
          <w:t>3</w:t>
        </w:r>
        <w:r w:rsidR="003D5C0C">
          <w:rPr>
            <w:noProof/>
            <w:webHidden/>
          </w:rPr>
          <w:fldChar w:fldCharType="end"/>
        </w:r>
      </w:hyperlink>
    </w:p>
    <w:p w:rsidR="003D5C0C" w:rsidRDefault="003D5C0C">
      <w:pPr>
        <w:pStyle w:val="TableofFigures"/>
        <w:rPr>
          <w:rFonts w:asciiTheme="minorHAnsi" w:eastAsiaTheme="minorEastAsia" w:hAnsiTheme="minorHAnsi" w:cstheme="minorBidi"/>
          <w:noProof/>
          <w:color w:val="auto"/>
        </w:rPr>
      </w:pPr>
      <w:hyperlink w:anchor="_Toc366227378" w:history="1">
        <w:r w:rsidRPr="002D5F58">
          <w:rPr>
            <w:rStyle w:val="Hyperlink"/>
            <w:noProof/>
          </w:rPr>
          <w:t>Table 3</w:t>
        </w:r>
        <w:r w:rsidRPr="002D5F58">
          <w:rPr>
            <w:rStyle w:val="Hyperlink"/>
            <w:noProof/>
          </w:rPr>
          <w:noBreakHyphen/>
          <w:t>1: Allowable mode and fuel combinations</w:t>
        </w:r>
        <w:r>
          <w:rPr>
            <w:noProof/>
            <w:webHidden/>
          </w:rPr>
          <w:tab/>
        </w:r>
        <w:r>
          <w:rPr>
            <w:noProof/>
            <w:webHidden/>
          </w:rPr>
          <w:fldChar w:fldCharType="begin"/>
        </w:r>
        <w:r>
          <w:rPr>
            <w:noProof/>
            <w:webHidden/>
          </w:rPr>
          <w:instrText xml:space="preserve"> PAGEREF _Toc366227378 \h </w:instrText>
        </w:r>
        <w:r>
          <w:rPr>
            <w:noProof/>
            <w:webHidden/>
          </w:rPr>
        </w:r>
        <w:r>
          <w:rPr>
            <w:noProof/>
            <w:webHidden/>
          </w:rPr>
          <w:fldChar w:fldCharType="separate"/>
        </w:r>
        <w:r w:rsidR="003E0F65">
          <w:rPr>
            <w:noProof/>
            <w:webHidden/>
          </w:rPr>
          <w:t>9</w:t>
        </w:r>
        <w:r>
          <w:rPr>
            <w:noProof/>
            <w:webHidden/>
          </w:rPr>
          <w:fldChar w:fldCharType="end"/>
        </w:r>
      </w:hyperlink>
    </w:p>
    <w:p w:rsidR="003D5C0C" w:rsidRDefault="003D5C0C">
      <w:pPr>
        <w:pStyle w:val="TableofFigures"/>
        <w:rPr>
          <w:rFonts w:asciiTheme="minorHAnsi" w:eastAsiaTheme="minorEastAsia" w:hAnsiTheme="minorHAnsi" w:cstheme="minorBidi"/>
          <w:noProof/>
          <w:color w:val="auto"/>
        </w:rPr>
      </w:pPr>
      <w:hyperlink w:anchor="_Toc366227379" w:history="1">
        <w:r w:rsidRPr="002D5F58">
          <w:rPr>
            <w:rStyle w:val="Hyperlink"/>
            <w:noProof/>
          </w:rPr>
          <w:t>Table 4</w:t>
        </w:r>
        <w:r w:rsidRPr="002D5F58">
          <w:rPr>
            <w:rStyle w:val="Hyperlink"/>
            <w:noProof/>
          </w:rPr>
          <w:noBreakHyphen/>
          <w:t>1: Ranking of surveyed factors considered in buying a vehicle from ABS (2009)</w:t>
        </w:r>
        <w:r>
          <w:rPr>
            <w:noProof/>
            <w:webHidden/>
          </w:rPr>
          <w:tab/>
        </w:r>
        <w:r>
          <w:rPr>
            <w:noProof/>
            <w:webHidden/>
          </w:rPr>
          <w:fldChar w:fldCharType="begin"/>
        </w:r>
        <w:r>
          <w:rPr>
            <w:noProof/>
            <w:webHidden/>
          </w:rPr>
          <w:instrText xml:space="preserve"> PAGEREF _Toc366227379 \h </w:instrText>
        </w:r>
        <w:r>
          <w:rPr>
            <w:noProof/>
            <w:webHidden/>
          </w:rPr>
        </w:r>
        <w:r>
          <w:rPr>
            <w:noProof/>
            <w:webHidden/>
          </w:rPr>
          <w:fldChar w:fldCharType="separate"/>
        </w:r>
        <w:r w:rsidR="003E0F65">
          <w:rPr>
            <w:noProof/>
            <w:webHidden/>
          </w:rPr>
          <w:t>16</w:t>
        </w:r>
        <w:r>
          <w:rPr>
            <w:noProof/>
            <w:webHidden/>
          </w:rPr>
          <w:fldChar w:fldCharType="end"/>
        </w:r>
      </w:hyperlink>
    </w:p>
    <w:p w:rsidR="003D5C0C" w:rsidRDefault="003D5C0C">
      <w:pPr>
        <w:pStyle w:val="TableofFigures"/>
        <w:rPr>
          <w:rFonts w:asciiTheme="minorHAnsi" w:eastAsiaTheme="minorEastAsia" w:hAnsiTheme="minorHAnsi" w:cstheme="minorBidi"/>
          <w:noProof/>
          <w:color w:val="auto"/>
        </w:rPr>
      </w:pPr>
      <w:hyperlink w:anchor="_Toc366227380" w:history="1">
        <w:r w:rsidRPr="002D5F58">
          <w:rPr>
            <w:rStyle w:val="Hyperlink"/>
            <w:noProof/>
          </w:rPr>
          <w:t>Table 4</w:t>
        </w:r>
        <w:r w:rsidRPr="002D5F58">
          <w:rPr>
            <w:rStyle w:val="Hyperlink"/>
            <w:noProof/>
          </w:rPr>
          <w:noBreakHyphen/>
          <w:t>2: Table of current additional up-front road vehicle costs of alternative fuels in A$,000</w:t>
        </w:r>
        <w:r>
          <w:rPr>
            <w:noProof/>
            <w:webHidden/>
          </w:rPr>
          <w:tab/>
        </w:r>
        <w:r>
          <w:rPr>
            <w:noProof/>
            <w:webHidden/>
          </w:rPr>
          <w:fldChar w:fldCharType="begin"/>
        </w:r>
        <w:r>
          <w:rPr>
            <w:noProof/>
            <w:webHidden/>
          </w:rPr>
          <w:instrText xml:space="preserve"> PAGEREF _Toc366227380 \h </w:instrText>
        </w:r>
        <w:r>
          <w:rPr>
            <w:noProof/>
            <w:webHidden/>
          </w:rPr>
        </w:r>
        <w:r>
          <w:rPr>
            <w:noProof/>
            <w:webHidden/>
          </w:rPr>
          <w:fldChar w:fldCharType="separate"/>
        </w:r>
        <w:r w:rsidR="003E0F65">
          <w:rPr>
            <w:noProof/>
            <w:webHidden/>
          </w:rPr>
          <w:t>18</w:t>
        </w:r>
        <w:r>
          <w:rPr>
            <w:noProof/>
            <w:webHidden/>
          </w:rPr>
          <w:fldChar w:fldCharType="end"/>
        </w:r>
      </w:hyperlink>
    </w:p>
    <w:p w:rsidR="003D5C0C" w:rsidRDefault="003D5C0C">
      <w:pPr>
        <w:pStyle w:val="TableofFigures"/>
        <w:rPr>
          <w:rFonts w:asciiTheme="minorHAnsi" w:eastAsiaTheme="minorEastAsia" w:hAnsiTheme="minorHAnsi" w:cstheme="minorBidi"/>
          <w:noProof/>
          <w:color w:val="auto"/>
        </w:rPr>
      </w:pPr>
      <w:hyperlink w:anchor="_Toc366227381" w:history="1">
        <w:r w:rsidRPr="002D5F58">
          <w:rPr>
            <w:rStyle w:val="Hyperlink"/>
            <w:noProof/>
          </w:rPr>
          <w:t>Table 4</w:t>
        </w:r>
        <w:r w:rsidRPr="002D5F58">
          <w:rPr>
            <w:rStyle w:val="Hyperlink"/>
            <w:noProof/>
          </w:rPr>
          <w:noBreakHyphen/>
          <w:t>3: CSIRO average light vehicle fuel efficiency improvements inclusive of uptake of alternative vehicle drivetrains (percent per annum)</w:t>
        </w:r>
        <w:r>
          <w:rPr>
            <w:noProof/>
            <w:webHidden/>
          </w:rPr>
          <w:tab/>
        </w:r>
        <w:r>
          <w:rPr>
            <w:noProof/>
            <w:webHidden/>
          </w:rPr>
          <w:fldChar w:fldCharType="begin"/>
        </w:r>
        <w:r>
          <w:rPr>
            <w:noProof/>
            <w:webHidden/>
          </w:rPr>
          <w:instrText xml:space="preserve"> PAGEREF _Toc366227381 \h </w:instrText>
        </w:r>
        <w:r>
          <w:rPr>
            <w:noProof/>
            <w:webHidden/>
          </w:rPr>
        </w:r>
        <w:r>
          <w:rPr>
            <w:noProof/>
            <w:webHidden/>
          </w:rPr>
          <w:fldChar w:fldCharType="separate"/>
        </w:r>
        <w:r w:rsidR="003E0F65">
          <w:rPr>
            <w:noProof/>
            <w:webHidden/>
          </w:rPr>
          <w:t>19</w:t>
        </w:r>
        <w:r>
          <w:rPr>
            <w:noProof/>
            <w:webHidden/>
          </w:rPr>
          <w:fldChar w:fldCharType="end"/>
        </w:r>
      </w:hyperlink>
    </w:p>
    <w:p w:rsidR="003D5C0C" w:rsidRDefault="003D5C0C">
      <w:pPr>
        <w:pStyle w:val="TableofFigures"/>
        <w:rPr>
          <w:rFonts w:asciiTheme="minorHAnsi" w:eastAsiaTheme="minorEastAsia" w:hAnsiTheme="minorHAnsi" w:cstheme="minorBidi"/>
          <w:noProof/>
          <w:color w:val="auto"/>
        </w:rPr>
      </w:pPr>
      <w:hyperlink w:anchor="_Toc366227382" w:history="1">
        <w:r w:rsidRPr="002D5F58">
          <w:rPr>
            <w:rStyle w:val="Hyperlink"/>
            <w:noProof/>
          </w:rPr>
          <w:t>Table 4</w:t>
        </w:r>
        <w:r w:rsidRPr="002D5F58">
          <w:rPr>
            <w:rStyle w:val="Hyperlink"/>
            <w:noProof/>
          </w:rPr>
          <w:noBreakHyphen/>
          <w:t>4: Assumed shares of natural gas and biofuels in the fuel mix and fuel efficiency improvement by 2050</w:t>
        </w:r>
        <w:r>
          <w:rPr>
            <w:noProof/>
            <w:webHidden/>
          </w:rPr>
          <w:tab/>
        </w:r>
        <w:r>
          <w:rPr>
            <w:noProof/>
            <w:webHidden/>
          </w:rPr>
          <w:fldChar w:fldCharType="begin"/>
        </w:r>
        <w:r>
          <w:rPr>
            <w:noProof/>
            <w:webHidden/>
          </w:rPr>
          <w:instrText xml:space="preserve"> PAGEREF _Toc366227382 \h </w:instrText>
        </w:r>
        <w:r>
          <w:rPr>
            <w:noProof/>
            <w:webHidden/>
          </w:rPr>
        </w:r>
        <w:r>
          <w:rPr>
            <w:noProof/>
            <w:webHidden/>
          </w:rPr>
          <w:fldChar w:fldCharType="separate"/>
        </w:r>
        <w:r w:rsidR="003E0F65">
          <w:rPr>
            <w:noProof/>
            <w:webHidden/>
          </w:rPr>
          <w:t>22</w:t>
        </w:r>
        <w:r>
          <w:rPr>
            <w:noProof/>
            <w:webHidden/>
          </w:rPr>
          <w:fldChar w:fldCharType="end"/>
        </w:r>
      </w:hyperlink>
    </w:p>
    <w:p w:rsidR="003D5C0C" w:rsidRDefault="003D5C0C">
      <w:pPr>
        <w:pStyle w:val="TableofFigures"/>
        <w:rPr>
          <w:rFonts w:asciiTheme="minorHAnsi" w:eastAsiaTheme="minorEastAsia" w:hAnsiTheme="minorHAnsi" w:cstheme="minorBidi"/>
          <w:noProof/>
          <w:color w:val="auto"/>
        </w:rPr>
      </w:pPr>
      <w:hyperlink w:anchor="_Toc366227383" w:history="1">
        <w:r w:rsidRPr="002D5F58">
          <w:rPr>
            <w:rStyle w:val="Hyperlink"/>
            <w:noProof/>
          </w:rPr>
          <w:t>Table 4</w:t>
        </w:r>
        <w:r w:rsidRPr="002D5F58">
          <w:rPr>
            <w:rStyle w:val="Hyperlink"/>
            <w:noProof/>
          </w:rPr>
          <w:noBreakHyphen/>
          <w:t>5: CNG and LNG vehicle supply assumptions</w:t>
        </w:r>
        <w:r>
          <w:rPr>
            <w:noProof/>
            <w:webHidden/>
          </w:rPr>
          <w:tab/>
        </w:r>
        <w:r>
          <w:rPr>
            <w:noProof/>
            <w:webHidden/>
          </w:rPr>
          <w:fldChar w:fldCharType="begin"/>
        </w:r>
        <w:r>
          <w:rPr>
            <w:noProof/>
            <w:webHidden/>
          </w:rPr>
          <w:instrText xml:space="preserve"> PAGEREF _Toc366227383 \h </w:instrText>
        </w:r>
        <w:r>
          <w:rPr>
            <w:noProof/>
            <w:webHidden/>
          </w:rPr>
        </w:r>
        <w:r>
          <w:rPr>
            <w:noProof/>
            <w:webHidden/>
          </w:rPr>
          <w:fldChar w:fldCharType="separate"/>
        </w:r>
        <w:r w:rsidR="003E0F65">
          <w:rPr>
            <w:noProof/>
            <w:webHidden/>
          </w:rPr>
          <w:t>23</w:t>
        </w:r>
        <w:r>
          <w:rPr>
            <w:noProof/>
            <w:webHidden/>
          </w:rPr>
          <w:fldChar w:fldCharType="end"/>
        </w:r>
      </w:hyperlink>
    </w:p>
    <w:p w:rsidR="003D5C0C" w:rsidRDefault="003D5C0C">
      <w:pPr>
        <w:pStyle w:val="TableofFigures"/>
        <w:rPr>
          <w:rFonts w:asciiTheme="minorHAnsi" w:eastAsiaTheme="minorEastAsia" w:hAnsiTheme="minorHAnsi" w:cstheme="minorBidi"/>
          <w:noProof/>
          <w:color w:val="auto"/>
        </w:rPr>
      </w:pPr>
      <w:hyperlink w:anchor="_Toc366227384" w:history="1">
        <w:r w:rsidRPr="002D5F58">
          <w:rPr>
            <w:rStyle w:val="Hyperlink"/>
            <w:noProof/>
          </w:rPr>
          <w:t>Table 4</w:t>
        </w:r>
        <w:r w:rsidRPr="002D5F58">
          <w:rPr>
            <w:rStyle w:val="Hyperlink"/>
            <w:noProof/>
          </w:rPr>
          <w:noBreakHyphen/>
          <w:t>6: Advanced generation biofuel supply constraints by feedstock group</w:t>
        </w:r>
        <w:r>
          <w:rPr>
            <w:noProof/>
            <w:webHidden/>
          </w:rPr>
          <w:tab/>
        </w:r>
        <w:r>
          <w:rPr>
            <w:noProof/>
            <w:webHidden/>
          </w:rPr>
          <w:fldChar w:fldCharType="begin"/>
        </w:r>
        <w:r>
          <w:rPr>
            <w:noProof/>
            <w:webHidden/>
          </w:rPr>
          <w:instrText xml:space="preserve"> PAGEREF _Toc366227384 \h </w:instrText>
        </w:r>
        <w:r>
          <w:rPr>
            <w:noProof/>
            <w:webHidden/>
          </w:rPr>
        </w:r>
        <w:r>
          <w:rPr>
            <w:noProof/>
            <w:webHidden/>
          </w:rPr>
          <w:fldChar w:fldCharType="separate"/>
        </w:r>
        <w:r w:rsidR="003E0F65">
          <w:rPr>
            <w:noProof/>
            <w:webHidden/>
          </w:rPr>
          <w:t>24</w:t>
        </w:r>
        <w:r>
          <w:rPr>
            <w:noProof/>
            <w:webHidden/>
          </w:rPr>
          <w:fldChar w:fldCharType="end"/>
        </w:r>
      </w:hyperlink>
    </w:p>
    <w:p w:rsidR="003D5C0C" w:rsidRDefault="003D5C0C">
      <w:pPr>
        <w:pStyle w:val="TableofFigures"/>
        <w:rPr>
          <w:rFonts w:asciiTheme="minorHAnsi" w:eastAsiaTheme="minorEastAsia" w:hAnsiTheme="minorHAnsi" w:cstheme="minorBidi"/>
          <w:noProof/>
          <w:color w:val="auto"/>
        </w:rPr>
      </w:pPr>
      <w:hyperlink w:anchor="_Toc366227385" w:history="1">
        <w:r w:rsidRPr="002D5F58">
          <w:rPr>
            <w:rStyle w:val="Hyperlink"/>
            <w:noProof/>
          </w:rPr>
          <w:t>Table 4</w:t>
        </w:r>
        <w:r w:rsidRPr="002D5F58">
          <w:rPr>
            <w:rStyle w:val="Hyperlink"/>
            <w:noProof/>
          </w:rPr>
          <w:noBreakHyphen/>
          <w:t>7: Synthetic (STL, GTL and CTL) fuel refining construction constraints</w:t>
        </w:r>
        <w:r>
          <w:rPr>
            <w:noProof/>
            <w:webHidden/>
          </w:rPr>
          <w:tab/>
        </w:r>
        <w:r>
          <w:rPr>
            <w:noProof/>
            <w:webHidden/>
          </w:rPr>
          <w:fldChar w:fldCharType="begin"/>
        </w:r>
        <w:r>
          <w:rPr>
            <w:noProof/>
            <w:webHidden/>
          </w:rPr>
          <w:instrText xml:space="preserve"> PAGEREF _Toc366227385 \h </w:instrText>
        </w:r>
        <w:r>
          <w:rPr>
            <w:noProof/>
            <w:webHidden/>
          </w:rPr>
        </w:r>
        <w:r>
          <w:rPr>
            <w:noProof/>
            <w:webHidden/>
          </w:rPr>
          <w:fldChar w:fldCharType="separate"/>
        </w:r>
        <w:r w:rsidR="003E0F65">
          <w:rPr>
            <w:noProof/>
            <w:webHidden/>
          </w:rPr>
          <w:t>25</w:t>
        </w:r>
        <w:r>
          <w:rPr>
            <w:noProof/>
            <w:webHidden/>
          </w:rPr>
          <w:fldChar w:fldCharType="end"/>
        </w:r>
      </w:hyperlink>
    </w:p>
    <w:p w:rsidR="003D5C0C" w:rsidRDefault="003D5C0C">
      <w:pPr>
        <w:pStyle w:val="TableofFigures"/>
        <w:rPr>
          <w:rFonts w:asciiTheme="minorHAnsi" w:eastAsiaTheme="minorEastAsia" w:hAnsiTheme="minorHAnsi" w:cstheme="minorBidi"/>
          <w:noProof/>
          <w:color w:val="auto"/>
        </w:rPr>
      </w:pPr>
      <w:hyperlink w:anchor="_Toc366227386" w:history="1">
        <w:r w:rsidRPr="002D5F58">
          <w:rPr>
            <w:rStyle w:val="Hyperlink"/>
            <w:noProof/>
          </w:rPr>
          <w:t>Table 4</w:t>
        </w:r>
        <w:r w:rsidRPr="002D5F58">
          <w:rPr>
            <w:rStyle w:val="Hyperlink"/>
            <w:noProof/>
          </w:rPr>
          <w:noBreakHyphen/>
          <w:t>8: Assumed excise rates</w:t>
        </w:r>
        <w:r>
          <w:rPr>
            <w:noProof/>
            <w:webHidden/>
          </w:rPr>
          <w:tab/>
        </w:r>
        <w:r>
          <w:rPr>
            <w:noProof/>
            <w:webHidden/>
          </w:rPr>
          <w:fldChar w:fldCharType="begin"/>
        </w:r>
        <w:r>
          <w:rPr>
            <w:noProof/>
            <w:webHidden/>
          </w:rPr>
          <w:instrText xml:space="preserve"> PAGEREF _Toc366227386 \h </w:instrText>
        </w:r>
        <w:r>
          <w:rPr>
            <w:noProof/>
            <w:webHidden/>
          </w:rPr>
        </w:r>
        <w:r>
          <w:rPr>
            <w:noProof/>
            <w:webHidden/>
          </w:rPr>
          <w:fldChar w:fldCharType="separate"/>
        </w:r>
        <w:r w:rsidR="003E0F65">
          <w:rPr>
            <w:noProof/>
            <w:webHidden/>
          </w:rPr>
          <w:t>28</w:t>
        </w:r>
        <w:r>
          <w:rPr>
            <w:noProof/>
            <w:webHidden/>
          </w:rPr>
          <w:fldChar w:fldCharType="end"/>
        </w:r>
      </w:hyperlink>
    </w:p>
    <w:p w:rsidR="003D5C0C" w:rsidRDefault="003D5C0C">
      <w:pPr>
        <w:pStyle w:val="TableofFigures"/>
        <w:rPr>
          <w:rFonts w:asciiTheme="minorHAnsi" w:eastAsiaTheme="minorEastAsia" w:hAnsiTheme="minorHAnsi" w:cstheme="minorBidi"/>
          <w:noProof/>
          <w:color w:val="auto"/>
        </w:rPr>
      </w:pPr>
      <w:hyperlink w:anchor="_Toc366227387" w:history="1">
        <w:r w:rsidRPr="002D5F58">
          <w:rPr>
            <w:rStyle w:val="Hyperlink"/>
            <w:noProof/>
          </w:rPr>
          <w:t>Table A</w:t>
        </w:r>
        <w:r w:rsidRPr="002D5F58">
          <w:rPr>
            <w:rStyle w:val="Hyperlink"/>
            <w:noProof/>
          </w:rPr>
          <w:noBreakHyphen/>
          <w:t>1: Allowable road mode and fuel combinations</w:t>
        </w:r>
        <w:r>
          <w:rPr>
            <w:noProof/>
            <w:webHidden/>
          </w:rPr>
          <w:tab/>
        </w:r>
        <w:r>
          <w:rPr>
            <w:noProof/>
            <w:webHidden/>
          </w:rPr>
          <w:fldChar w:fldCharType="begin"/>
        </w:r>
        <w:r>
          <w:rPr>
            <w:noProof/>
            <w:webHidden/>
          </w:rPr>
          <w:instrText xml:space="preserve"> PAGEREF _Toc366227387 \h </w:instrText>
        </w:r>
        <w:r>
          <w:rPr>
            <w:noProof/>
            <w:webHidden/>
          </w:rPr>
        </w:r>
        <w:r>
          <w:rPr>
            <w:noProof/>
            <w:webHidden/>
          </w:rPr>
          <w:fldChar w:fldCharType="separate"/>
        </w:r>
        <w:r w:rsidR="003E0F65">
          <w:rPr>
            <w:noProof/>
            <w:webHidden/>
          </w:rPr>
          <w:t>82</w:t>
        </w:r>
        <w:r>
          <w:rPr>
            <w:noProof/>
            <w:webHidden/>
          </w:rPr>
          <w:fldChar w:fldCharType="end"/>
        </w:r>
      </w:hyperlink>
    </w:p>
    <w:p w:rsidR="003D5C0C" w:rsidRDefault="003D5C0C">
      <w:pPr>
        <w:pStyle w:val="TableofFigures"/>
        <w:rPr>
          <w:rFonts w:asciiTheme="minorHAnsi" w:eastAsiaTheme="minorEastAsia" w:hAnsiTheme="minorHAnsi" w:cstheme="minorBidi"/>
          <w:noProof/>
          <w:color w:val="auto"/>
        </w:rPr>
      </w:pPr>
      <w:hyperlink w:anchor="_Toc366227388" w:history="1">
        <w:r w:rsidRPr="002D5F58">
          <w:rPr>
            <w:rStyle w:val="Hyperlink"/>
            <w:noProof/>
          </w:rPr>
          <w:t>Table A</w:t>
        </w:r>
        <w:r w:rsidRPr="002D5F58">
          <w:rPr>
            <w:rStyle w:val="Hyperlink"/>
            <w:noProof/>
          </w:rPr>
          <w:noBreakHyphen/>
          <w:t>2: Allowable road mode and engine combinations</w:t>
        </w:r>
        <w:r>
          <w:rPr>
            <w:noProof/>
            <w:webHidden/>
          </w:rPr>
          <w:tab/>
        </w:r>
        <w:r>
          <w:rPr>
            <w:noProof/>
            <w:webHidden/>
          </w:rPr>
          <w:fldChar w:fldCharType="begin"/>
        </w:r>
        <w:r>
          <w:rPr>
            <w:noProof/>
            <w:webHidden/>
          </w:rPr>
          <w:instrText xml:space="preserve"> PAGEREF _Toc366227388 \h </w:instrText>
        </w:r>
        <w:r>
          <w:rPr>
            <w:noProof/>
            <w:webHidden/>
          </w:rPr>
        </w:r>
        <w:r>
          <w:rPr>
            <w:noProof/>
            <w:webHidden/>
          </w:rPr>
          <w:fldChar w:fldCharType="separate"/>
        </w:r>
        <w:r w:rsidR="003E0F65">
          <w:rPr>
            <w:noProof/>
            <w:webHidden/>
          </w:rPr>
          <w:t>83</w:t>
        </w:r>
        <w:r>
          <w:rPr>
            <w:noProof/>
            <w:webHidden/>
          </w:rPr>
          <w:fldChar w:fldCharType="end"/>
        </w:r>
      </w:hyperlink>
    </w:p>
    <w:p w:rsidR="003D5C0C" w:rsidRDefault="003D5C0C">
      <w:pPr>
        <w:pStyle w:val="TableofFigures"/>
        <w:rPr>
          <w:rFonts w:asciiTheme="minorHAnsi" w:eastAsiaTheme="minorEastAsia" w:hAnsiTheme="minorHAnsi" w:cstheme="minorBidi"/>
          <w:noProof/>
          <w:color w:val="auto"/>
        </w:rPr>
      </w:pPr>
      <w:hyperlink w:anchor="_Toc366227389" w:history="1">
        <w:r w:rsidRPr="002D5F58">
          <w:rPr>
            <w:rStyle w:val="Hyperlink"/>
            <w:noProof/>
          </w:rPr>
          <w:t>Table A</w:t>
        </w:r>
        <w:r w:rsidRPr="002D5F58">
          <w:rPr>
            <w:rStyle w:val="Hyperlink"/>
            <w:noProof/>
          </w:rPr>
          <w:noBreakHyphen/>
          <w:t>3: Non-fuel cost categories in total road travel cost</w:t>
        </w:r>
        <w:r>
          <w:rPr>
            <w:noProof/>
            <w:webHidden/>
          </w:rPr>
          <w:tab/>
        </w:r>
        <w:r>
          <w:rPr>
            <w:noProof/>
            <w:webHidden/>
          </w:rPr>
          <w:fldChar w:fldCharType="begin"/>
        </w:r>
        <w:r>
          <w:rPr>
            <w:noProof/>
            <w:webHidden/>
          </w:rPr>
          <w:instrText xml:space="preserve"> PAGEREF _Toc366227389 \h </w:instrText>
        </w:r>
        <w:r>
          <w:rPr>
            <w:noProof/>
            <w:webHidden/>
          </w:rPr>
        </w:r>
        <w:r>
          <w:rPr>
            <w:noProof/>
            <w:webHidden/>
          </w:rPr>
          <w:fldChar w:fldCharType="separate"/>
        </w:r>
        <w:r w:rsidR="003E0F65">
          <w:rPr>
            <w:noProof/>
            <w:webHidden/>
          </w:rPr>
          <w:t>84</w:t>
        </w:r>
        <w:r>
          <w:rPr>
            <w:noProof/>
            <w:webHidden/>
          </w:rPr>
          <w:fldChar w:fldCharType="end"/>
        </w:r>
      </w:hyperlink>
    </w:p>
    <w:p w:rsidR="003D5C0C" w:rsidRDefault="003D5C0C">
      <w:pPr>
        <w:pStyle w:val="TableofFigures"/>
        <w:rPr>
          <w:rFonts w:asciiTheme="minorHAnsi" w:eastAsiaTheme="minorEastAsia" w:hAnsiTheme="minorHAnsi" w:cstheme="minorBidi"/>
          <w:noProof/>
          <w:color w:val="auto"/>
        </w:rPr>
      </w:pPr>
      <w:hyperlink w:anchor="_Toc366227390" w:history="1">
        <w:r w:rsidRPr="002D5F58">
          <w:rPr>
            <w:rStyle w:val="Hyperlink"/>
            <w:noProof/>
          </w:rPr>
          <w:t>Table A</w:t>
        </w:r>
        <w:r w:rsidRPr="002D5F58">
          <w:rPr>
            <w:rStyle w:val="Hyperlink"/>
            <w:noProof/>
          </w:rPr>
          <w:noBreakHyphen/>
          <w:t>4: Comparison of whole of life transport cost estimates for Australian petrol passenger vehicles (c/km)</w:t>
        </w:r>
        <w:r>
          <w:rPr>
            <w:noProof/>
            <w:webHidden/>
          </w:rPr>
          <w:tab/>
        </w:r>
        <w:r>
          <w:rPr>
            <w:noProof/>
            <w:webHidden/>
          </w:rPr>
          <w:fldChar w:fldCharType="begin"/>
        </w:r>
        <w:r>
          <w:rPr>
            <w:noProof/>
            <w:webHidden/>
          </w:rPr>
          <w:instrText xml:space="preserve"> PAGEREF _Toc366227390 \h </w:instrText>
        </w:r>
        <w:r>
          <w:rPr>
            <w:noProof/>
            <w:webHidden/>
          </w:rPr>
        </w:r>
        <w:r>
          <w:rPr>
            <w:noProof/>
            <w:webHidden/>
          </w:rPr>
          <w:fldChar w:fldCharType="separate"/>
        </w:r>
        <w:r w:rsidR="003E0F65">
          <w:rPr>
            <w:noProof/>
            <w:webHidden/>
          </w:rPr>
          <w:t>85</w:t>
        </w:r>
        <w:r>
          <w:rPr>
            <w:noProof/>
            <w:webHidden/>
          </w:rPr>
          <w:fldChar w:fldCharType="end"/>
        </w:r>
      </w:hyperlink>
    </w:p>
    <w:p w:rsidR="003D5C0C" w:rsidRDefault="003D5C0C">
      <w:pPr>
        <w:pStyle w:val="TableofFigures"/>
        <w:rPr>
          <w:rFonts w:asciiTheme="minorHAnsi" w:eastAsiaTheme="minorEastAsia" w:hAnsiTheme="minorHAnsi" w:cstheme="minorBidi"/>
          <w:noProof/>
          <w:color w:val="auto"/>
        </w:rPr>
      </w:pPr>
      <w:hyperlink w:anchor="_Toc366227391" w:history="1">
        <w:r w:rsidRPr="002D5F58">
          <w:rPr>
            <w:rStyle w:val="Hyperlink"/>
            <w:noProof/>
          </w:rPr>
          <w:t>Table A</w:t>
        </w:r>
        <w:r w:rsidRPr="002D5F58">
          <w:rPr>
            <w:rStyle w:val="Hyperlink"/>
            <w:noProof/>
          </w:rPr>
          <w:noBreakHyphen/>
          <w:t>5: Assumed current and future representative vehicle costs, $,000</w:t>
        </w:r>
        <w:r>
          <w:rPr>
            <w:noProof/>
            <w:webHidden/>
          </w:rPr>
          <w:tab/>
        </w:r>
        <w:r>
          <w:rPr>
            <w:noProof/>
            <w:webHidden/>
          </w:rPr>
          <w:fldChar w:fldCharType="begin"/>
        </w:r>
        <w:r>
          <w:rPr>
            <w:noProof/>
            <w:webHidden/>
          </w:rPr>
          <w:instrText xml:space="preserve"> PAGEREF _Toc366227391 \h </w:instrText>
        </w:r>
        <w:r>
          <w:rPr>
            <w:noProof/>
            <w:webHidden/>
          </w:rPr>
        </w:r>
        <w:r>
          <w:rPr>
            <w:noProof/>
            <w:webHidden/>
          </w:rPr>
          <w:fldChar w:fldCharType="separate"/>
        </w:r>
        <w:r w:rsidR="003E0F65">
          <w:rPr>
            <w:noProof/>
            <w:webHidden/>
          </w:rPr>
          <w:t>87</w:t>
        </w:r>
        <w:r>
          <w:rPr>
            <w:noProof/>
            <w:webHidden/>
          </w:rPr>
          <w:fldChar w:fldCharType="end"/>
        </w:r>
      </w:hyperlink>
    </w:p>
    <w:p w:rsidR="003D5C0C" w:rsidRDefault="003D5C0C">
      <w:pPr>
        <w:pStyle w:val="TableofFigures"/>
        <w:rPr>
          <w:rFonts w:asciiTheme="minorHAnsi" w:eastAsiaTheme="minorEastAsia" w:hAnsiTheme="minorHAnsi" w:cstheme="minorBidi"/>
          <w:noProof/>
          <w:color w:val="auto"/>
        </w:rPr>
      </w:pPr>
      <w:hyperlink w:anchor="_Toc366227392" w:history="1">
        <w:r w:rsidRPr="002D5F58">
          <w:rPr>
            <w:rStyle w:val="Hyperlink"/>
            <w:noProof/>
          </w:rPr>
          <w:t>Table A</w:t>
        </w:r>
        <w:r w:rsidRPr="002D5F58">
          <w:rPr>
            <w:rStyle w:val="Hyperlink"/>
            <w:noProof/>
          </w:rPr>
          <w:noBreakHyphen/>
          <w:t>6: Properties of selected fuels (/L, or /m</w:t>
        </w:r>
        <w:r w:rsidRPr="002D5F58">
          <w:rPr>
            <w:rStyle w:val="Hyperlink"/>
            <w:noProof/>
            <w:vertAlign w:val="superscript"/>
          </w:rPr>
          <w:t>3</w:t>
        </w:r>
        <w:r w:rsidRPr="002D5F58">
          <w:rPr>
            <w:rStyle w:val="Hyperlink"/>
            <w:noProof/>
          </w:rPr>
          <w:t xml:space="preserve"> for CNG and H</w:t>
        </w:r>
        <w:r w:rsidRPr="002D5F58">
          <w:rPr>
            <w:rStyle w:val="Hyperlink"/>
            <w:noProof/>
            <w:vertAlign w:val="subscript"/>
          </w:rPr>
          <w:t>2</w:t>
        </w:r>
        <w:r w:rsidRPr="002D5F58">
          <w:rPr>
            <w:rStyle w:val="Hyperlink"/>
            <w:noProof/>
          </w:rPr>
          <w:t>)</w:t>
        </w:r>
        <w:r>
          <w:rPr>
            <w:noProof/>
            <w:webHidden/>
          </w:rPr>
          <w:tab/>
        </w:r>
        <w:r>
          <w:rPr>
            <w:noProof/>
            <w:webHidden/>
          </w:rPr>
          <w:fldChar w:fldCharType="begin"/>
        </w:r>
        <w:r>
          <w:rPr>
            <w:noProof/>
            <w:webHidden/>
          </w:rPr>
          <w:instrText xml:space="preserve"> PAGEREF _Toc366227392 \h </w:instrText>
        </w:r>
        <w:r>
          <w:rPr>
            <w:noProof/>
            <w:webHidden/>
          </w:rPr>
        </w:r>
        <w:r>
          <w:rPr>
            <w:noProof/>
            <w:webHidden/>
          </w:rPr>
          <w:fldChar w:fldCharType="separate"/>
        </w:r>
        <w:r w:rsidR="003E0F65">
          <w:rPr>
            <w:noProof/>
            <w:webHidden/>
          </w:rPr>
          <w:t>91</w:t>
        </w:r>
        <w:r>
          <w:rPr>
            <w:noProof/>
            <w:webHidden/>
          </w:rPr>
          <w:fldChar w:fldCharType="end"/>
        </w:r>
      </w:hyperlink>
    </w:p>
    <w:p w:rsidR="003D5C0C" w:rsidRDefault="003D5C0C">
      <w:pPr>
        <w:pStyle w:val="TableofFigures"/>
        <w:rPr>
          <w:rFonts w:asciiTheme="minorHAnsi" w:eastAsiaTheme="minorEastAsia" w:hAnsiTheme="minorHAnsi" w:cstheme="minorBidi"/>
          <w:noProof/>
          <w:color w:val="auto"/>
        </w:rPr>
      </w:pPr>
      <w:hyperlink w:anchor="_Toc366227393" w:history="1">
        <w:r w:rsidRPr="002D5F58">
          <w:rPr>
            <w:rStyle w:val="Hyperlink"/>
            <w:noProof/>
          </w:rPr>
          <w:t>Table A</w:t>
        </w:r>
        <w:r w:rsidRPr="002D5F58">
          <w:rPr>
            <w:rStyle w:val="Hyperlink"/>
            <w:noProof/>
          </w:rPr>
          <w:noBreakHyphen/>
          <w:t>7: Combustion process according to fuel</w:t>
        </w:r>
        <w:r>
          <w:rPr>
            <w:noProof/>
            <w:webHidden/>
          </w:rPr>
          <w:tab/>
        </w:r>
        <w:r>
          <w:rPr>
            <w:noProof/>
            <w:webHidden/>
          </w:rPr>
          <w:fldChar w:fldCharType="begin"/>
        </w:r>
        <w:r>
          <w:rPr>
            <w:noProof/>
            <w:webHidden/>
          </w:rPr>
          <w:instrText xml:space="preserve"> PAGEREF _Toc366227393 \h </w:instrText>
        </w:r>
        <w:r>
          <w:rPr>
            <w:noProof/>
            <w:webHidden/>
          </w:rPr>
        </w:r>
        <w:r>
          <w:rPr>
            <w:noProof/>
            <w:webHidden/>
          </w:rPr>
          <w:fldChar w:fldCharType="separate"/>
        </w:r>
        <w:r w:rsidR="003E0F65">
          <w:rPr>
            <w:noProof/>
            <w:webHidden/>
          </w:rPr>
          <w:t>92</w:t>
        </w:r>
        <w:r>
          <w:rPr>
            <w:noProof/>
            <w:webHidden/>
          </w:rPr>
          <w:fldChar w:fldCharType="end"/>
        </w:r>
      </w:hyperlink>
    </w:p>
    <w:p w:rsidR="003D5C0C" w:rsidRDefault="003D5C0C">
      <w:pPr>
        <w:pStyle w:val="TableofFigures"/>
        <w:rPr>
          <w:rFonts w:asciiTheme="minorHAnsi" w:eastAsiaTheme="minorEastAsia" w:hAnsiTheme="minorHAnsi" w:cstheme="minorBidi"/>
          <w:noProof/>
          <w:color w:val="auto"/>
        </w:rPr>
      </w:pPr>
      <w:hyperlink w:anchor="_Toc366227394" w:history="1">
        <w:r w:rsidRPr="002D5F58">
          <w:rPr>
            <w:rStyle w:val="Hyperlink"/>
            <w:noProof/>
          </w:rPr>
          <w:t>Table A</w:t>
        </w:r>
        <w:r w:rsidRPr="002D5F58">
          <w:rPr>
            <w:rStyle w:val="Hyperlink"/>
            <w:noProof/>
          </w:rPr>
          <w:noBreakHyphen/>
          <w:t>9: Assumed fleet average fuel efficiency by engine type (L/100km), conventional vehicles</w:t>
        </w:r>
        <w:r>
          <w:rPr>
            <w:noProof/>
            <w:webHidden/>
          </w:rPr>
          <w:tab/>
        </w:r>
        <w:r>
          <w:rPr>
            <w:noProof/>
            <w:webHidden/>
          </w:rPr>
          <w:fldChar w:fldCharType="begin"/>
        </w:r>
        <w:r>
          <w:rPr>
            <w:noProof/>
            <w:webHidden/>
          </w:rPr>
          <w:instrText xml:space="preserve"> PAGEREF _Toc366227394 \h </w:instrText>
        </w:r>
        <w:r>
          <w:rPr>
            <w:noProof/>
            <w:webHidden/>
          </w:rPr>
        </w:r>
        <w:r>
          <w:rPr>
            <w:noProof/>
            <w:webHidden/>
          </w:rPr>
          <w:fldChar w:fldCharType="separate"/>
        </w:r>
        <w:r w:rsidR="003E0F65">
          <w:rPr>
            <w:noProof/>
            <w:webHidden/>
          </w:rPr>
          <w:t>95</w:t>
        </w:r>
        <w:r>
          <w:rPr>
            <w:noProof/>
            <w:webHidden/>
          </w:rPr>
          <w:fldChar w:fldCharType="end"/>
        </w:r>
      </w:hyperlink>
    </w:p>
    <w:p w:rsidR="00EA567D" w:rsidRDefault="00C14EF7">
      <w:pPr>
        <w:pStyle w:val="TableofFigures"/>
      </w:pPr>
      <w:r>
        <w:fldChar w:fldCharType="end"/>
      </w:r>
    </w:p>
    <w:p w:rsidR="00A943B2" w:rsidRDefault="00A943B2" w:rsidP="001D36DC">
      <w:pPr>
        <w:pStyle w:val="Heading1notnumbered"/>
      </w:pPr>
      <w:bookmarkStart w:id="0" w:name="_Toc315694429"/>
      <w:bookmarkStart w:id="1" w:name="_Toc366228026"/>
      <w:r w:rsidRPr="008D5E56">
        <w:lastRenderedPageBreak/>
        <w:t>Acknowledgments</w:t>
      </w:r>
      <w:bookmarkEnd w:id="0"/>
      <w:bookmarkEnd w:id="1"/>
    </w:p>
    <w:p w:rsidR="00A943B2" w:rsidRPr="008E36EC" w:rsidRDefault="0076343C" w:rsidP="008E36EC">
      <w:r>
        <w:t>CSIRO would like to acknowledge the input of staff at the Department of</w:t>
      </w:r>
      <w:r w:rsidRPr="0076343C">
        <w:t xml:space="preserve"> Industry, Innovation, Climate Change, Science, Research and Tertiary Education</w:t>
      </w:r>
      <w:r w:rsidR="00930F39">
        <w:t>,</w:t>
      </w:r>
      <w:r w:rsidRPr="0076343C">
        <w:t xml:space="preserve"> the Climate Change Authority</w:t>
      </w:r>
      <w:r w:rsidR="00930F39">
        <w:t xml:space="preserve">, the Treasury </w:t>
      </w:r>
      <w:r>
        <w:t>and an internal referee in developing this report. However, any remaining errors remain the responsibility of the authors.</w:t>
      </w:r>
    </w:p>
    <w:p w:rsidR="00A943B2" w:rsidRDefault="00A943B2">
      <w:pPr>
        <w:spacing w:after="200"/>
      </w:pPr>
    </w:p>
    <w:p w:rsidR="00A943B2" w:rsidRDefault="00A943B2" w:rsidP="001D36DC">
      <w:pPr>
        <w:pStyle w:val="Heading1notnumbered"/>
      </w:pPr>
      <w:bookmarkStart w:id="2" w:name="_Toc315694430"/>
      <w:bookmarkStart w:id="3" w:name="_Toc366228027"/>
      <w:r>
        <w:lastRenderedPageBreak/>
        <w:t>Executive summary</w:t>
      </w:r>
      <w:bookmarkEnd w:id="2"/>
      <w:bookmarkEnd w:id="3"/>
    </w:p>
    <w:p w:rsidR="00FE2272" w:rsidRDefault="00FE2272" w:rsidP="00FE2272">
      <w:pPr>
        <w:rPr>
          <w:rFonts w:asciiTheme="minorHAnsi" w:hAnsiTheme="minorHAnsi"/>
        </w:rPr>
      </w:pPr>
      <w:r w:rsidRPr="002451A8">
        <w:t xml:space="preserve">The </w:t>
      </w:r>
      <w:r>
        <w:t xml:space="preserve">CSIRO was commissioned by the Department </w:t>
      </w:r>
      <w:r w:rsidRPr="000B4ED7">
        <w:t xml:space="preserve">Industry, Innovation, Climate Change, Science, Research and Tertiary Education </w:t>
      </w:r>
      <w:r w:rsidR="00D76486">
        <w:t xml:space="preserve">(the Department) </w:t>
      </w:r>
      <w:r>
        <w:t>to provide a</w:t>
      </w:r>
      <w:r w:rsidRPr="002451A8">
        <w:rPr>
          <w:rFonts w:asciiTheme="minorHAnsi" w:hAnsiTheme="minorHAnsi"/>
        </w:rPr>
        <w:t>nnual projections of emissions and activity for the transport sector highlighting total emissions fro</w:t>
      </w:r>
      <w:r>
        <w:rPr>
          <w:rFonts w:asciiTheme="minorHAnsi" w:hAnsiTheme="minorHAnsi"/>
        </w:rPr>
        <w:t>m 2009-10 to 2049-50.</w:t>
      </w:r>
    </w:p>
    <w:p w:rsidR="00FE2272" w:rsidRDefault="00FE2272" w:rsidP="00FE2272">
      <w:pPr>
        <w:rPr>
          <w:rFonts w:asciiTheme="minorHAnsi" w:hAnsiTheme="minorHAnsi"/>
        </w:rPr>
      </w:pPr>
      <w:r>
        <w:rPr>
          <w:rFonts w:asciiTheme="minorHAnsi" w:hAnsiTheme="minorHAnsi"/>
        </w:rPr>
        <w:t>The modelling is conducted using</w:t>
      </w:r>
      <w:r w:rsidRPr="000B4ED7">
        <w:rPr>
          <w:rFonts w:asciiTheme="minorHAnsi" w:hAnsiTheme="minorHAnsi"/>
        </w:rPr>
        <w:t xml:space="preserve"> a </w:t>
      </w:r>
      <w:r>
        <w:rPr>
          <w:rFonts w:asciiTheme="minorHAnsi" w:hAnsiTheme="minorHAnsi"/>
        </w:rPr>
        <w:t xml:space="preserve">combination of top town approaches in the case of rail and marine transport and a </w:t>
      </w:r>
      <w:r w:rsidRPr="000B4ED7">
        <w:rPr>
          <w:rFonts w:asciiTheme="minorHAnsi" w:hAnsiTheme="minorHAnsi"/>
        </w:rPr>
        <w:t>partial equilibrium model</w:t>
      </w:r>
      <w:r>
        <w:rPr>
          <w:rFonts w:asciiTheme="minorHAnsi" w:hAnsiTheme="minorHAnsi"/>
        </w:rPr>
        <w:t xml:space="preserve"> covering road and aviation. The partial equilibrium model is called</w:t>
      </w:r>
      <w:r w:rsidRPr="000B4ED7">
        <w:rPr>
          <w:rFonts w:asciiTheme="minorHAnsi" w:hAnsiTheme="minorHAnsi"/>
        </w:rPr>
        <w:t xml:space="preserve"> the Energy Sector Model (ESM) </w:t>
      </w:r>
      <w:r w:rsidR="00F82AD5">
        <w:rPr>
          <w:rFonts w:asciiTheme="minorHAnsi" w:hAnsiTheme="minorHAnsi"/>
        </w:rPr>
        <w:t>and covers</w:t>
      </w:r>
      <w:r w:rsidR="00F82AD5" w:rsidRPr="000B4ED7">
        <w:rPr>
          <w:rFonts w:asciiTheme="minorHAnsi" w:hAnsiTheme="minorHAnsi"/>
        </w:rPr>
        <w:t xml:space="preserve"> </w:t>
      </w:r>
      <w:r w:rsidRPr="000B4ED7">
        <w:rPr>
          <w:rFonts w:asciiTheme="minorHAnsi" w:hAnsiTheme="minorHAnsi"/>
        </w:rPr>
        <w:t>the Australian energy sector. The ESM contains nine road vehicle categories including buses, trucks and passenger vehicles. The ESM was developed by CSIRO and ABARE in 2006. Since that time CSIRO has continued to develop ESM. The model has an economic decision-making framework based around the cost of alt</w:t>
      </w:r>
      <w:r>
        <w:rPr>
          <w:rFonts w:asciiTheme="minorHAnsi" w:hAnsiTheme="minorHAnsi"/>
        </w:rPr>
        <w:t xml:space="preserve">ernative fuels and technologies. </w:t>
      </w:r>
    </w:p>
    <w:p w:rsidR="00FE2272" w:rsidRDefault="00FE2272" w:rsidP="00FE2272">
      <w:pPr>
        <w:rPr>
          <w:rFonts w:asciiTheme="minorHAnsi" w:hAnsiTheme="minorHAnsi"/>
        </w:rPr>
      </w:pPr>
      <w:r>
        <w:rPr>
          <w:rFonts w:asciiTheme="minorHAnsi" w:hAnsiTheme="minorHAnsi"/>
        </w:rPr>
        <w:t>D</w:t>
      </w:r>
      <w:r w:rsidRPr="000B4ED7">
        <w:rPr>
          <w:rFonts w:asciiTheme="minorHAnsi" w:hAnsiTheme="minorHAnsi"/>
        </w:rPr>
        <w:t xml:space="preserve">emand for transport activities </w:t>
      </w:r>
      <w:r>
        <w:rPr>
          <w:rFonts w:asciiTheme="minorHAnsi" w:hAnsiTheme="minorHAnsi"/>
        </w:rPr>
        <w:t>were develop</w:t>
      </w:r>
      <w:r w:rsidR="00F82AD5">
        <w:rPr>
          <w:rFonts w:asciiTheme="minorHAnsi" w:hAnsiTheme="minorHAnsi"/>
        </w:rPr>
        <w:t>ed</w:t>
      </w:r>
      <w:r>
        <w:rPr>
          <w:rFonts w:asciiTheme="minorHAnsi" w:hAnsiTheme="minorHAnsi"/>
        </w:rPr>
        <w:t xml:space="preserve"> </w:t>
      </w:r>
      <w:r w:rsidRPr="000B4ED7">
        <w:rPr>
          <w:rFonts w:asciiTheme="minorHAnsi" w:hAnsiTheme="minorHAnsi"/>
        </w:rPr>
        <w:t xml:space="preserve">from MMRF </w:t>
      </w:r>
      <w:r>
        <w:rPr>
          <w:rFonts w:asciiTheme="minorHAnsi" w:hAnsiTheme="minorHAnsi"/>
        </w:rPr>
        <w:t>which is a</w:t>
      </w:r>
      <w:r w:rsidR="00DE3865">
        <w:rPr>
          <w:rFonts w:asciiTheme="minorHAnsi" w:hAnsiTheme="minorHAnsi"/>
        </w:rPr>
        <w:t xml:space="preserve"> </w:t>
      </w:r>
      <w:r>
        <w:rPr>
          <w:rFonts w:asciiTheme="minorHAnsi" w:hAnsiTheme="minorHAnsi"/>
        </w:rPr>
        <w:t xml:space="preserve">general equilibrium model used by the Department of </w:t>
      </w:r>
      <w:r w:rsidR="00F82AD5">
        <w:rPr>
          <w:rFonts w:asciiTheme="minorHAnsi" w:hAnsiTheme="minorHAnsi"/>
        </w:rPr>
        <w:t xml:space="preserve">the </w:t>
      </w:r>
      <w:r>
        <w:rPr>
          <w:rFonts w:asciiTheme="minorHAnsi" w:hAnsiTheme="minorHAnsi"/>
        </w:rPr>
        <w:t>Treasury</w:t>
      </w:r>
      <w:r w:rsidR="00F82AD5">
        <w:rPr>
          <w:rFonts w:asciiTheme="minorHAnsi" w:hAnsiTheme="minorHAnsi"/>
        </w:rPr>
        <w:t xml:space="preserve"> (the Treasury)</w:t>
      </w:r>
      <w:r>
        <w:rPr>
          <w:rFonts w:asciiTheme="minorHAnsi" w:hAnsiTheme="minorHAnsi"/>
        </w:rPr>
        <w:t xml:space="preserve">. </w:t>
      </w:r>
      <w:r w:rsidRPr="000B4ED7">
        <w:rPr>
          <w:rFonts w:asciiTheme="minorHAnsi" w:hAnsiTheme="minorHAnsi"/>
        </w:rPr>
        <w:t>The outputs from CSIRO’s models were used as an input back into MMRF. The iteration process continued until dem</w:t>
      </w:r>
      <w:r>
        <w:rPr>
          <w:rFonts w:asciiTheme="minorHAnsi" w:hAnsiTheme="minorHAnsi"/>
        </w:rPr>
        <w:t>and and supply broadly converge</w:t>
      </w:r>
      <w:r w:rsidR="00F82AD5">
        <w:rPr>
          <w:rFonts w:asciiTheme="minorHAnsi" w:hAnsiTheme="minorHAnsi"/>
        </w:rPr>
        <w:t>d</w:t>
      </w:r>
      <w:r w:rsidRPr="000B4ED7">
        <w:rPr>
          <w:rFonts w:asciiTheme="minorHAnsi" w:hAnsiTheme="minorHAnsi"/>
        </w:rPr>
        <w:t>.</w:t>
      </w:r>
    </w:p>
    <w:p w:rsidR="009C77A5" w:rsidRPr="009C77A5" w:rsidRDefault="00FE2272" w:rsidP="009C77A5">
      <w:r>
        <w:t>The scenarios examined in this modelling process were:</w:t>
      </w:r>
    </w:p>
    <w:p w:rsidR="00FE2272" w:rsidRPr="007776A3" w:rsidRDefault="00FE2272" w:rsidP="00E5753E">
      <w:pPr>
        <w:pStyle w:val="Bullet"/>
        <w:numPr>
          <w:ilvl w:val="0"/>
          <w:numId w:val="20"/>
        </w:numPr>
        <w:rPr>
          <w:rFonts w:ascii="Calibri" w:hAnsi="Calibri"/>
          <w:color w:val="auto"/>
        </w:rPr>
      </w:pPr>
      <w:r w:rsidRPr="007776A3">
        <w:rPr>
          <w:rFonts w:ascii="Calibri" w:hAnsi="Calibri"/>
          <w:b/>
          <w:color w:val="auto"/>
        </w:rPr>
        <w:t>Central policy scenario</w:t>
      </w:r>
      <w:r w:rsidRPr="007776A3">
        <w:rPr>
          <w:rFonts w:ascii="Calibri" w:hAnsi="Calibri"/>
          <w:color w:val="auto"/>
        </w:rPr>
        <w:t xml:space="preserve"> — Assumes a world with a 550 ppm stabilisation target and an Au</w:t>
      </w:r>
      <w:r>
        <w:rPr>
          <w:rFonts w:ascii="Calibri" w:hAnsi="Calibri"/>
          <w:color w:val="auto"/>
        </w:rPr>
        <w:t xml:space="preserve">stralian emission target of a 5 per </w:t>
      </w:r>
      <w:r w:rsidRPr="007776A3">
        <w:rPr>
          <w:rFonts w:ascii="Calibri" w:hAnsi="Calibri"/>
          <w:color w:val="auto"/>
        </w:rPr>
        <w:t>cent reduction on 2000 lev</w:t>
      </w:r>
      <w:r>
        <w:rPr>
          <w:rFonts w:ascii="Calibri" w:hAnsi="Calibri"/>
          <w:color w:val="auto"/>
        </w:rPr>
        <w:t xml:space="preserve">els by 2020 and an 80 per </w:t>
      </w:r>
      <w:r w:rsidRPr="007776A3">
        <w:rPr>
          <w:rFonts w:ascii="Calibri" w:hAnsi="Calibri"/>
          <w:color w:val="auto"/>
        </w:rPr>
        <w:t>cent reduction by 2050</w:t>
      </w:r>
    </w:p>
    <w:p w:rsidR="00FE2272" w:rsidRPr="007776A3" w:rsidRDefault="00FE2272" w:rsidP="00E5753E">
      <w:pPr>
        <w:pStyle w:val="Bullet"/>
        <w:numPr>
          <w:ilvl w:val="0"/>
          <w:numId w:val="20"/>
        </w:numPr>
        <w:rPr>
          <w:rFonts w:ascii="Calibri" w:hAnsi="Calibri"/>
          <w:color w:val="auto"/>
        </w:rPr>
      </w:pPr>
      <w:r w:rsidRPr="007776A3">
        <w:rPr>
          <w:rFonts w:ascii="Calibri" w:hAnsi="Calibri"/>
          <w:b/>
          <w:color w:val="auto"/>
        </w:rPr>
        <w:t>Low price scenario</w:t>
      </w:r>
      <w:r w:rsidRPr="007776A3">
        <w:rPr>
          <w:rFonts w:ascii="Calibri" w:hAnsi="Calibri"/>
          <w:color w:val="auto"/>
        </w:rPr>
        <w:t xml:space="preserve"> — </w:t>
      </w:r>
      <w:r>
        <w:rPr>
          <w:rFonts w:ascii="Calibri" w:hAnsi="Calibri"/>
          <w:color w:val="auto"/>
        </w:rPr>
        <w:t>The same as the central scenario except that the stabilisation target is reached at a later date such that the carbon price is initially lower but converges by 2030</w:t>
      </w:r>
    </w:p>
    <w:p w:rsidR="00FE2272" w:rsidRPr="007776A3" w:rsidRDefault="00FE2272" w:rsidP="00E5753E">
      <w:pPr>
        <w:pStyle w:val="Bullet"/>
        <w:numPr>
          <w:ilvl w:val="0"/>
          <w:numId w:val="20"/>
        </w:numPr>
        <w:rPr>
          <w:rFonts w:ascii="Calibri" w:hAnsi="Calibri"/>
          <w:color w:val="auto"/>
        </w:rPr>
      </w:pPr>
      <w:r w:rsidRPr="007776A3">
        <w:rPr>
          <w:rFonts w:ascii="Calibri" w:hAnsi="Calibri"/>
          <w:b/>
          <w:color w:val="auto"/>
        </w:rPr>
        <w:t>High price scenario</w:t>
      </w:r>
      <w:r w:rsidRPr="007776A3">
        <w:rPr>
          <w:rFonts w:ascii="Calibri" w:hAnsi="Calibri"/>
          <w:color w:val="auto"/>
        </w:rPr>
        <w:t xml:space="preserve"> — Assumes a world with more ambitious global action and an Australian emission target of a 25</w:t>
      </w:r>
      <w:r>
        <w:rPr>
          <w:rFonts w:ascii="Calibri" w:hAnsi="Calibri"/>
          <w:color w:val="auto"/>
        </w:rPr>
        <w:t xml:space="preserve"> </w:t>
      </w:r>
      <w:r w:rsidRPr="007776A3">
        <w:rPr>
          <w:rFonts w:ascii="Calibri" w:hAnsi="Calibri"/>
          <w:color w:val="auto"/>
        </w:rPr>
        <w:t>per</w:t>
      </w:r>
      <w:r>
        <w:rPr>
          <w:rFonts w:ascii="Calibri" w:hAnsi="Calibri"/>
          <w:color w:val="auto"/>
        </w:rPr>
        <w:t xml:space="preserve"> </w:t>
      </w:r>
      <w:r w:rsidRPr="007776A3">
        <w:rPr>
          <w:rFonts w:ascii="Calibri" w:hAnsi="Calibri"/>
          <w:color w:val="auto"/>
        </w:rPr>
        <w:t>cent reduction on 2000 levels by 2020 and an 80</w:t>
      </w:r>
      <w:r>
        <w:rPr>
          <w:rFonts w:ascii="Calibri" w:hAnsi="Calibri"/>
          <w:color w:val="auto"/>
        </w:rPr>
        <w:t xml:space="preserve"> </w:t>
      </w:r>
      <w:r w:rsidRPr="007776A3">
        <w:rPr>
          <w:rFonts w:ascii="Calibri" w:hAnsi="Calibri"/>
          <w:color w:val="auto"/>
        </w:rPr>
        <w:t>per</w:t>
      </w:r>
      <w:r>
        <w:rPr>
          <w:rFonts w:ascii="Calibri" w:hAnsi="Calibri"/>
          <w:color w:val="auto"/>
        </w:rPr>
        <w:t xml:space="preserve"> </w:t>
      </w:r>
      <w:r w:rsidRPr="007776A3">
        <w:rPr>
          <w:rFonts w:ascii="Calibri" w:hAnsi="Calibri"/>
          <w:color w:val="auto"/>
        </w:rPr>
        <w:t>cent reduction</w:t>
      </w:r>
      <w:r>
        <w:rPr>
          <w:rFonts w:ascii="Calibri" w:hAnsi="Calibri"/>
          <w:color w:val="auto"/>
        </w:rPr>
        <w:t xml:space="preserve"> by 2050</w:t>
      </w:r>
      <w:r w:rsidRPr="007776A3">
        <w:rPr>
          <w:rFonts w:ascii="Calibri" w:hAnsi="Calibri"/>
          <w:color w:val="auto"/>
        </w:rPr>
        <w:t xml:space="preserve"> </w:t>
      </w:r>
    </w:p>
    <w:p w:rsidR="00FE2272" w:rsidRPr="007776A3" w:rsidRDefault="00FE2272" w:rsidP="00E5753E">
      <w:pPr>
        <w:pStyle w:val="Bullet"/>
        <w:numPr>
          <w:ilvl w:val="0"/>
          <w:numId w:val="20"/>
        </w:numPr>
        <w:rPr>
          <w:rFonts w:ascii="Calibri" w:hAnsi="Calibri"/>
          <w:color w:val="auto"/>
        </w:rPr>
      </w:pPr>
      <w:r w:rsidRPr="007776A3">
        <w:rPr>
          <w:rFonts w:ascii="Calibri" w:hAnsi="Calibri"/>
          <w:b/>
          <w:color w:val="auto"/>
        </w:rPr>
        <w:t>No carbon price scenario</w:t>
      </w:r>
      <w:r w:rsidRPr="007776A3">
        <w:rPr>
          <w:rFonts w:ascii="Calibri" w:hAnsi="Calibri"/>
          <w:color w:val="auto"/>
        </w:rPr>
        <w:t xml:space="preserve"> – </w:t>
      </w:r>
      <w:r>
        <w:rPr>
          <w:rFonts w:ascii="Calibri" w:hAnsi="Calibri"/>
          <w:color w:val="auto"/>
        </w:rPr>
        <w:t xml:space="preserve">the same global context as the central scenario except that Australia does not participate and there is </w:t>
      </w:r>
      <w:r w:rsidRPr="007776A3">
        <w:rPr>
          <w:rFonts w:ascii="Calibri" w:hAnsi="Calibri"/>
          <w:color w:val="auto"/>
        </w:rPr>
        <w:t xml:space="preserve">no </w:t>
      </w:r>
      <w:r>
        <w:rPr>
          <w:rFonts w:ascii="Calibri" w:hAnsi="Calibri"/>
          <w:color w:val="auto"/>
        </w:rPr>
        <w:t xml:space="preserve">domestic </w:t>
      </w:r>
      <w:r w:rsidRPr="007776A3">
        <w:rPr>
          <w:rFonts w:ascii="Calibri" w:hAnsi="Calibri"/>
          <w:color w:val="auto"/>
        </w:rPr>
        <w:t>carbon price</w:t>
      </w:r>
      <w:r>
        <w:rPr>
          <w:rFonts w:ascii="Calibri" w:hAnsi="Calibri"/>
          <w:color w:val="auto"/>
        </w:rPr>
        <w:t>.</w:t>
      </w:r>
    </w:p>
    <w:p w:rsidR="009C77A5" w:rsidRDefault="00E011B7" w:rsidP="009C77A5">
      <w:r>
        <w:t>The modelling indicates that the transport sector ha</w:t>
      </w:r>
      <w:r w:rsidR="001E107A">
        <w:t>s</w:t>
      </w:r>
      <w:r>
        <w:t xml:space="preserve"> significant capacity to reduce </w:t>
      </w:r>
      <w:r w:rsidR="001E107A">
        <w:t>their</w:t>
      </w:r>
      <w:r>
        <w:t xml:space="preserve"> emission intensity in the period to 2050 through higher fuel and task efficiency and adoption of lower greenhouse gas emission intensive fuels. However, </w:t>
      </w:r>
      <w:r w:rsidR="00CA4C49">
        <w:t>the measures are generally not sufficient to offset the</w:t>
      </w:r>
      <w:r>
        <w:t xml:space="preserve"> growth in passenger and freight demand of around </w:t>
      </w:r>
      <w:r w:rsidR="00CA4C49">
        <w:t>150 to 250 per</w:t>
      </w:r>
      <w:r w:rsidR="00F82AD5">
        <w:t xml:space="preserve"> </w:t>
      </w:r>
      <w:r w:rsidR="00CA4C49">
        <w:t>cent, varying by S</w:t>
      </w:r>
      <w:r>
        <w:t>tate and transport</w:t>
      </w:r>
      <w:r w:rsidR="00CA4C49">
        <w:t xml:space="preserve"> mode</w:t>
      </w:r>
      <w:r w:rsidR="001E107A">
        <w:t xml:space="preserve">. Consequently transport sector </w:t>
      </w:r>
      <w:proofErr w:type="gramStart"/>
      <w:r w:rsidR="001E107A">
        <w:t>emission are</w:t>
      </w:r>
      <w:proofErr w:type="gramEnd"/>
      <w:r w:rsidR="001E107A">
        <w:t xml:space="preserve"> flat to higher by 2050 under all scenarios (</w:t>
      </w:r>
      <w:r w:rsidR="00C14EF7">
        <w:fldChar w:fldCharType="begin"/>
      </w:r>
      <w:r w:rsidR="001E107A">
        <w:instrText xml:space="preserve"> REF _Ref365657485 \h </w:instrText>
      </w:r>
      <w:r w:rsidR="00C14EF7">
        <w:fldChar w:fldCharType="separate"/>
      </w:r>
      <w:r w:rsidR="003E0F65">
        <w:t xml:space="preserve">Figure </w:t>
      </w:r>
      <w:r w:rsidR="003E0F65">
        <w:rPr>
          <w:noProof/>
        </w:rPr>
        <w:t>1</w:t>
      </w:r>
      <w:r w:rsidR="003E0F65">
        <w:noBreakHyphen/>
      </w:r>
      <w:r w:rsidR="003E0F65">
        <w:rPr>
          <w:noProof/>
        </w:rPr>
        <w:t>1</w:t>
      </w:r>
      <w:r w:rsidR="00C14EF7">
        <w:fldChar w:fldCharType="end"/>
      </w:r>
      <w:r w:rsidR="001E107A">
        <w:t>)</w:t>
      </w:r>
      <w:r w:rsidR="00CA4C49">
        <w:t>.</w:t>
      </w:r>
    </w:p>
    <w:p w:rsidR="00533019" w:rsidRDefault="00533019" w:rsidP="009C77A5">
      <w:r>
        <w:t>Additional modelling of s</w:t>
      </w:r>
      <w:r w:rsidR="00CA4C49">
        <w:t xml:space="preserve">ensitivity </w:t>
      </w:r>
      <w:r>
        <w:t>cases</w:t>
      </w:r>
      <w:r w:rsidR="00CA4C49">
        <w:t xml:space="preserve"> fin</w:t>
      </w:r>
      <w:r w:rsidR="001E107A">
        <w:t>d</w:t>
      </w:r>
      <w:r>
        <w:t>s that:</w:t>
      </w:r>
    </w:p>
    <w:p w:rsidR="00533019" w:rsidRDefault="00533019" w:rsidP="00E5753E">
      <w:pPr>
        <w:pStyle w:val="ListParagraph"/>
        <w:numPr>
          <w:ilvl w:val="0"/>
          <w:numId w:val="25"/>
        </w:numPr>
        <w:rPr>
          <w:rFonts w:asciiTheme="minorHAnsi" w:hAnsiTheme="minorHAnsi"/>
        </w:rPr>
      </w:pPr>
      <w:r w:rsidRPr="008A4EB2">
        <w:rPr>
          <w:rFonts w:asciiTheme="minorHAnsi" w:hAnsiTheme="minorHAnsi"/>
        </w:rPr>
        <w:t>M</w:t>
      </w:r>
      <w:r w:rsidR="00CA4C49" w:rsidRPr="008A4EB2">
        <w:rPr>
          <w:rFonts w:asciiTheme="minorHAnsi" w:hAnsiTheme="minorHAnsi"/>
        </w:rPr>
        <w:t>andatory efficiency standards could increase abatement in the central policy scenario by 3MtCO</w:t>
      </w:r>
      <w:r w:rsidR="00CA4C49" w:rsidRPr="008A4EB2">
        <w:rPr>
          <w:rFonts w:asciiTheme="minorHAnsi" w:hAnsiTheme="minorHAnsi"/>
          <w:vertAlign w:val="subscript"/>
        </w:rPr>
        <w:t>2</w:t>
      </w:r>
      <w:r w:rsidRPr="008A4EB2">
        <w:rPr>
          <w:rFonts w:asciiTheme="minorHAnsi" w:hAnsiTheme="minorHAnsi"/>
        </w:rPr>
        <w:t>e by 2020</w:t>
      </w:r>
      <w:r w:rsidR="00F82AD5">
        <w:rPr>
          <w:rFonts w:asciiTheme="minorHAnsi" w:hAnsiTheme="minorHAnsi"/>
        </w:rPr>
        <w:t>;</w:t>
      </w:r>
    </w:p>
    <w:p w:rsidR="008A4EB2" w:rsidRPr="008A4EB2" w:rsidRDefault="008A4EB2" w:rsidP="008A4EB2">
      <w:pPr>
        <w:pStyle w:val="ListParagraph"/>
        <w:rPr>
          <w:rFonts w:asciiTheme="minorHAnsi" w:hAnsiTheme="minorHAnsi"/>
        </w:rPr>
      </w:pPr>
    </w:p>
    <w:p w:rsidR="00533019" w:rsidRDefault="001E107A" w:rsidP="00E5753E">
      <w:pPr>
        <w:pStyle w:val="ListParagraph"/>
        <w:numPr>
          <w:ilvl w:val="0"/>
          <w:numId w:val="25"/>
        </w:numPr>
        <w:rPr>
          <w:rFonts w:asciiTheme="minorHAnsi" w:hAnsiTheme="minorHAnsi"/>
        </w:rPr>
      </w:pPr>
      <w:r w:rsidRPr="008A4EB2">
        <w:rPr>
          <w:rFonts w:asciiTheme="minorHAnsi" w:hAnsiTheme="minorHAnsi"/>
        </w:rPr>
        <w:t>Higher or low oil prices would also have a significant impact on projected greenhouse gas emissions</w:t>
      </w:r>
      <w:r w:rsidR="00F82AD5">
        <w:rPr>
          <w:rFonts w:asciiTheme="minorHAnsi" w:hAnsiTheme="minorHAnsi"/>
        </w:rPr>
        <w:t>;</w:t>
      </w:r>
    </w:p>
    <w:p w:rsidR="008A4EB2" w:rsidRPr="008A4EB2" w:rsidRDefault="008A4EB2" w:rsidP="008A4EB2">
      <w:pPr>
        <w:pStyle w:val="ListParagraph"/>
        <w:rPr>
          <w:rFonts w:asciiTheme="minorHAnsi" w:hAnsiTheme="minorHAnsi"/>
        </w:rPr>
      </w:pPr>
    </w:p>
    <w:p w:rsidR="00533019" w:rsidRDefault="00533019" w:rsidP="00E5753E">
      <w:pPr>
        <w:pStyle w:val="ListParagraph"/>
        <w:numPr>
          <w:ilvl w:val="0"/>
          <w:numId w:val="25"/>
        </w:numPr>
        <w:rPr>
          <w:rFonts w:asciiTheme="minorHAnsi" w:hAnsiTheme="minorHAnsi"/>
        </w:rPr>
      </w:pPr>
      <w:r w:rsidRPr="008A4EB2">
        <w:rPr>
          <w:rFonts w:asciiTheme="minorHAnsi" w:hAnsiTheme="minorHAnsi"/>
        </w:rPr>
        <w:t>Bringing forward the timing of the shift to an emission trading scheme has negligible impact on transport sector greenhouse gas emissions</w:t>
      </w:r>
      <w:r w:rsidR="00F82AD5">
        <w:rPr>
          <w:rFonts w:asciiTheme="minorHAnsi" w:hAnsiTheme="minorHAnsi"/>
        </w:rPr>
        <w:t>; and</w:t>
      </w:r>
    </w:p>
    <w:p w:rsidR="008A4EB2" w:rsidRPr="008A4EB2" w:rsidRDefault="008A4EB2" w:rsidP="008A4EB2">
      <w:pPr>
        <w:pStyle w:val="ListParagraph"/>
        <w:rPr>
          <w:rFonts w:asciiTheme="minorHAnsi" w:hAnsiTheme="minorHAnsi"/>
        </w:rPr>
      </w:pPr>
    </w:p>
    <w:p w:rsidR="00CA4C49" w:rsidRPr="008A4EB2" w:rsidRDefault="00F82AD5" w:rsidP="00E5753E">
      <w:pPr>
        <w:pStyle w:val="ListParagraph"/>
        <w:numPr>
          <w:ilvl w:val="0"/>
          <w:numId w:val="25"/>
        </w:numPr>
        <w:rPr>
          <w:rFonts w:asciiTheme="minorHAnsi" w:hAnsiTheme="minorHAnsi"/>
        </w:rPr>
      </w:pPr>
      <w:r>
        <w:rPr>
          <w:rFonts w:asciiTheme="minorHAnsi" w:hAnsiTheme="minorHAnsi"/>
        </w:rPr>
        <w:t>E</w:t>
      </w:r>
      <w:r w:rsidR="00533019" w:rsidRPr="008A4EB2">
        <w:rPr>
          <w:rFonts w:asciiTheme="minorHAnsi" w:hAnsiTheme="minorHAnsi"/>
        </w:rPr>
        <w:t xml:space="preserve">xcluding the heavy road sector from carbon pricing </w:t>
      </w:r>
      <w:r w:rsidR="008A4EB2" w:rsidRPr="008A4EB2">
        <w:rPr>
          <w:rFonts w:asciiTheme="minorHAnsi" w:hAnsiTheme="minorHAnsi"/>
        </w:rPr>
        <w:t>is projected to result in transport sector emission being 14.5 percent or 12 MtCO</w:t>
      </w:r>
      <w:r w:rsidR="008A4EB2" w:rsidRPr="008A4EB2">
        <w:rPr>
          <w:rFonts w:asciiTheme="minorHAnsi" w:hAnsiTheme="minorHAnsi"/>
          <w:vertAlign w:val="subscript"/>
        </w:rPr>
        <w:t>2</w:t>
      </w:r>
      <w:r w:rsidR="008A4EB2" w:rsidRPr="008A4EB2">
        <w:rPr>
          <w:rFonts w:asciiTheme="minorHAnsi" w:hAnsiTheme="minorHAnsi"/>
        </w:rPr>
        <w:t>e higher</w:t>
      </w:r>
      <w:r w:rsidR="000C53C7">
        <w:rPr>
          <w:rFonts w:asciiTheme="minorHAnsi" w:hAnsiTheme="minorHAnsi"/>
        </w:rPr>
        <w:t xml:space="preserve"> by 2050</w:t>
      </w:r>
      <w:r w:rsidR="008A4EB2" w:rsidRPr="008A4EB2">
        <w:rPr>
          <w:rFonts w:asciiTheme="minorHAnsi" w:hAnsiTheme="minorHAnsi"/>
        </w:rPr>
        <w:t>.</w:t>
      </w:r>
    </w:p>
    <w:p w:rsidR="00DE3865" w:rsidRDefault="00975C0B" w:rsidP="009C77A5">
      <w:r w:rsidRPr="00975C0B">
        <w:rPr>
          <w:noProof/>
        </w:rPr>
        <w:lastRenderedPageBreak/>
        <w:drawing>
          <wp:inline distT="0" distB="0" distL="0" distR="0">
            <wp:extent cx="6120130" cy="4007820"/>
            <wp:effectExtent l="0" t="0" r="0" b="0"/>
            <wp:docPr id="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6120130" cy="4007820"/>
                    </a:xfrm>
                    <a:prstGeom prst="rect">
                      <a:avLst/>
                    </a:prstGeom>
                    <a:noFill/>
                    <a:ln w="9525">
                      <a:noFill/>
                      <a:miter lim="800000"/>
                      <a:headEnd/>
                      <a:tailEnd/>
                    </a:ln>
                  </pic:spPr>
                </pic:pic>
              </a:graphicData>
            </a:graphic>
          </wp:inline>
        </w:drawing>
      </w:r>
    </w:p>
    <w:p w:rsidR="00DE3865" w:rsidRPr="009C77A5" w:rsidRDefault="00DE3865" w:rsidP="00DE3865">
      <w:pPr>
        <w:pStyle w:val="Caption"/>
      </w:pPr>
      <w:bookmarkStart w:id="4" w:name="_Ref365657485"/>
      <w:bookmarkStart w:id="5" w:name="_Toc366227327"/>
      <w:r>
        <w:t xml:space="preserve">Figure </w:t>
      </w:r>
      <w:r w:rsidR="00C14EF7">
        <w:fldChar w:fldCharType="begin"/>
      </w:r>
      <w:r w:rsidR="005B253B">
        <w:instrText xml:space="preserve"> STYLEREF 1 \s </w:instrText>
      </w:r>
      <w:r w:rsidR="00C14EF7">
        <w:fldChar w:fldCharType="separate"/>
      </w:r>
      <w:r w:rsidR="003E0F65">
        <w:rPr>
          <w:noProof/>
        </w:rPr>
        <w:t>1</w:t>
      </w:r>
      <w:r w:rsidR="00C14EF7">
        <w:fldChar w:fldCharType="end"/>
      </w:r>
      <w:r w:rsidR="005B253B">
        <w:noBreakHyphen/>
      </w:r>
      <w:r w:rsidR="00C14EF7">
        <w:fldChar w:fldCharType="begin"/>
      </w:r>
      <w:r w:rsidR="005B253B">
        <w:instrText xml:space="preserve"> SEQ Figure \* ARABIC \s 1 </w:instrText>
      </w:r>
      <w:r w:rsidR="00C14EF7">
        <w:fldChar w:fldCharType="separate"/>
      </w:r>
      <w:r w:rsidR="003E0F65">
        <w:rPr>
          <w:noProof/>
        </w:rPr>
        <w:t>1</w:t>
      </w:r>
      <w:r w:rsidR="00C14EF7">
        <w:fldChar w:fldCharType="end"/>
      </w:r>
      <w:bookmarkEnd w:id="4"/>
      <w:r>
        <w:t xml:space="preserve">: Projected transport sector </w:t>
      </w:r>
      <w:r w:rsidR="00655FB6">
        <w:t xml:space="preserve">greenhouse gas </w:t>
      </w:r>
      <w:r>
        <w:t>emissions by scenario</w:t>
      </w:r>
      <w:bookmarkEnd w:id="5"/>
    </w:p>
    <w:p w:rsidR="00224254" w:rsidRDefault="00224254" w:rsidP="008E36EC"/>
    <w:p w:rsidR="00A943B2" w:rsidRDefault="00A943B2" w:rsidP="00F91888"/>
    <w:p w:rsidR="00B34418" w:rsidRDefault="00B34418" w:rsidP="00F91888">
      <w:pPr>
        <w:sectPr w:rsidR="00B34418" w:rsidSect="00880DE8">
          <w:headerReference w:type="even" r:id="rId11"/>
          <w:headerReference w:type="default" r:id="rId12"/>
          <w:footerReference w:type="even" r:id="rId13"/>
          <w:footerReference w:type="default" r:id="rId14"/>
          <w:type w:val="oddPage"/>
          <w:pgSz w:w="11906" w:h="16838" w:code="9"/>
          <w:pgMar w:top="1134" w:right="1134" w:bottom="1134" w:left="1134" w:header="510" w:footer="624" w:gutter="0"/>
          <w:pgNumType w:fmt="lowerRoman" w:start="1"/>
          <w:cols w:space="284"/>
          <w:docGrid w:linePitch="360"/>
        </w:sectPr>
      </w:pPr>
    </w:p>
    <w:p w:rsidR="001A6556" w:rsidRPr="009A20E5" w:rsidRDefault="001A6556" w:rsidP="001A6556">
      <w:pPr>
        <w:pStyle w:val="Heading1"/>
      </w:pPr>
      <w:bookmarkStart w:id="6" w:name="_Toc366228028"/>
      <w:r w:rsidRPr="009A20E5">
        <w:lastRenderedPageBreak/>
        <w:t>Introductio</w:t>
      </w:r>
      <w:r>
        <w:t>n</w:t>
      </w:r>
      <w:bookmarkEnd w:id="6"/>
    </w:p>
    <w:p w:rsidR="001A6556" w:rsidRDefault="001A6556" w:rsidP="001A6556">
      <w:pPr>
        <w:rPr>
          <w:rFonts w:asciiTheme="minorHAnsi" w:hAnsiTheme="minorHAnsi"/>
        </w:rPr>
      </w:pPr>
      <w:r w:rsidRPr="002451A8">
        <w:t xml:space="preserve">The </w:t>
      </w:r>
      <w:r>
        <w:t xml:space="preserve">CSIRO was commissioned by the Department </w:t>
      </w:r>
      <w:r w:rsidRPr="000B4ED7">
        <w:t xml:space="preserve">Industry, Innovation, Climate Change, Science, Research and Tertiary Education </w:t>
      </w:r>
      <w:r>
        <w:t>to provide a</w:t>
      </w:r>
      <w:r w:rsidRPr="002451A8">
        <w:rPr>
          <w:rFonts w:asciiTheme="minorHAnsi" w:hAnsiTheme="minorHAnsi"/>
        </w:rPr>
        <w:t>nnual projections of emissions and activity for the transport sector highlighting total emissions fro</w:t>
      </w:r>
      <w:r>
        <w:rPr>
          <w:rFonts w:asciiTheme="minorHAnsi" w:hAnsiTheme="minorHAnsi"/>
        </w:rPr>
        <w:t>m 2009-10 to 2049-50.</w:t>
      </w:r>
    </w:p>
    <w:p w:rsidR="001A6556" w:rsidRPr="000B4ED7" w:rsidRDefault="001A6556" w:rsidP="001A6556">
      <w:pPr>
        <w:rPr>
          <w:rFonts w:asciiTheme="minorHAnsi" w:hAnsiTheme="minorHAnsi"/>
        </w:rPr>
      </w:pPr>
      <w:r>
        <w:rPr>
          <w:rFonts w:asciiTheme="minorHAnsi" w:hAnsiTheme="minorHAnsi"/>
        </w:rPr>
        <w:t>The modelling is conducted using</w:t>
      </w:r>
      <w:r w:rsidRPr="000B4ED7">
        <w:rPr>
          <w:rFonts w:asciiTheme="minorHAnsi" w:hAnsiTheme="minorHAnsi"/>
        </w:rPr>
        <w:t xml:space="preserve"> a </w:t>
      </w:r>
      <w:r>
        <w:rPr>
          <w:rFonts w:asciiTheme="minorHAnsi" w:hAnsiTheme="minorHAnsi"/>
        </w:rPr>
        <w:t xml:space="preserve">combination of top town approaches in the case of rail and marine transport and a </w:t>
      </w:r>
      <w:r w:rsidRPr="000B4ED7">
        <w:rPr>
          <w:rFonts w:asciiTheme="minorHAnsi" w:hAnsiTheme="minorHAnsi"/>
        </w:rPr>
        <w:t>partial equilibrium model</w:t>
      </w:r>
      <w:r>
        <w:rPr>
          <w:rFonts w:asciiTheme="minorHAnsi" w:hAnsiTheme="minorHAnsi"/>
        </w:rPr>
        <w:t xml:space="preserve"> covering road and aviation. The partial equilibrium model is called</w:t>
      </w:r>
      <w:r w:rsidRPr="000B4ED7">
        <w:rPr>
          <w:rFonts w:asciiTheme="minorHAnsi" w:hAnsiTheme="minorHAnsi"/>
        </w:rPr>
        <w:t xml:space="preserve"> the Energy Sector Model (ESM) </w:t>
      </w:r>
      <w:r w:rsidR="00F82AD5">
        <w:rPr>
          <w:rFonts w:asciiTheme="minorHAnsi" w:hAnsiTheme="minorHAnsi"/>
        </w:rPr>
        <w:t>and covers</w:t>
      </w:r>
      <w:r w:rsidR="00F82AD5" w:rsidRPr="000B4ED7">
        <w:rPr>
          <w:rFonts w:asciiTheme="minorHAnsi" w:hAnsiTheme="minorHAnsi"/>
        </w:rPr>
        <w:t xml:space="preserve"> </w:t>
      </w:r>
      <w:r w:rsidRPr="000B4ED7">
        <w:rPr>
          <w:rFonts w:asciiTheme="minorHAnsi" w:hAnsiTheme="minorHAnsi"/>
        </w:rPr>
        <w:t>the Australian energy sector. The ESM contains nine road vehicle categories including buses, trucks and passenger vehicles. The ESM was developed by CSIRO and ABARE in 2006. Since that time CSIRO has continued to develop ESM. The model has an economic decision-making framework based around the cost of alt</w:t>
      </w:r>
      <w:r>
        <w:rPr>
          <w:rFonts w:asciiTheme="minorHAnsi" w:hAnsiTheme="minorHAnsi"/>
        </w:rPr>
        <w:t xml:space="preserve">ernative fuels and technologies. Making choices about alternative fuel and technology uptake in the road and aviation sectors is the main task of ESM. Alternative </w:t>
      </w:r>
      <w:r w:rsidRPr="000B4ED7">
        <w:rPr>
          <w:rFonts w:asciiTheme="minorHAnsi" w:hAnsiTheme="minorHAnsi"/>
        </w:rPr>
        <w:t>fuel uptake in the marine and rail sector was imposed rather than modelled.</w:t>
      </w:r>
    </w:p>
    <w:p w:rsidR="001A6556" w:rsidRPr="000B4ED7" w:rsidRDefault="001A6556" w:rsidP="001A6556">
      <w:pPr>
        <w:rPr>
          <w:rFonts w:asciiTheme="minorHAnsi" w:hAnsiTheme="minorHAnsi"/>
        </w:rPr>
      </w:pPr>
      <w:r>
        <w:rPr>
          <w:rFonts w:asciiTheme="minorHAnsi" w:hAnsiTheme="minorHAnsi"/>
        </w:rPr>
        <w:t xml:space="preserve">Total fuel </w:t>
      </w:r>
      <w:r w:rsidRPr="000B4ED7">
        <w:rPr>
          <w:rFonts w:asciiTheme="minorHAnsi" w:hAnsiTheme="minorHAnsi"/>
        </w:rPr>
        <w:t xml:space="preserve">demand </w:t>
      </w:r>
      <w:r>
        <w:rPr>
          <w:rFonts w:asciiTheme="minorHAnsi" w:hAnsiTheme="minorHAnsi"/>
        </w:rPr>
        <w:t>is projected via</w:t>
      </w:r>
      <w:r w:rsidRPr="000B4ED7">
        <w:rPr>
          <w:rFonts w:asciiTheme="minorHAnsi" w:hAnsiTheme="minorHAnsi"/>
        </w:rPr>
        <w:t xml:space="preserve"> applying </w:t>
      </w:r>
      <w:r>
        <w:rPr>
          <w:rFonts w:asciiTheme="minorHAnsi" w:hAnsiTheme="minorHAnsi"/>
        </w:rPr>
        <w:t>fuel energy and task efficiency</w:t>
      </w:r>
      <w:r w:rsidRPr="000B4ED7">
        <w:rPr>
          <w:rFonts w:asciiTheme="minorHAnsi" w:hAnsiTheme="minorHAnsi"/>
        </w:rPr>
        <w:t xml:space="preserve"> improvement rate</w:t>
      </w:r>
      <w:r>
        <w:rPr>
          <w:rFonts w:asciiTheme="minorHAnsi" w:hAnsiTheme="minorHAnsi"/>
        </w:rPr>
        <w:t>s</w:t>
      </w:r>
      <w:r w:rsidRPr="000B4ED7">
        <w:rPr>
          <w:rFonts w:asciiTheme="minorHAnsi" w:hAnsiTheme="minorHAnsi"/>
        </w:rPr>
        <w:t xml:space="preserve"> to the projected growth in transport activity demand </w:t>
      </w:r>
      <w:r>
        <w:rPr>
          <w:rFonts w:asciiTheme="minorHAnsi" w:hAnsiTheme="minorHAnsi"/>
        </w:rPr>
        <w:t xml:space="preserve">in kilometres or tonnes of freight. </w:t>
      </w:r>
      <w:r w:rsidRPr="000B4ED7">
        <w:rPr>
          <w:rFonts w:asciiTheme="minorHAnsi" w:hAnsiTheme="minorHAnsi"/>
        </w:rPr>
        <w:t xml:space="preserve">Future fuel efficiency estimates were taken from the literature and imposed for each scenario. </w:t>
      </w:r>
    </w:p>
    <w:p w:rsidR="001A6556" w:rsidRDefault="001A6556" w:rsidP="001A6556">
      <w:pPr>
        <w:rPr>
          <w:rFonts w:asciiTheme="minorHAnsi" w:hAnsiTheme="minorHAnsi"/>
        </w:rPr>
      </w:pPr>
      <w:r w:rsidRPr="000B4ED7">
        <w:rPr>
          <w:rFonts w:asciiTheme="minorHAnsi" w:hAnsiTheme="minorHAnsi"/>
        </w:rPr>
        <w:t xml:space="preserve">The demand for transport was determined </w:t>
      </w:r>
      <w:r>
        <w:rPr>
          <w:rFonts w:asciiTheme="minorHAnsi" w:hAnsiTheme="minorHAnsi"/>
        </w:rPr>
        <w:t>by the Department of Treasury using MMRF which</w:t>
      </w:r>
      <w:r w:rsidRPr="000B4ED7">
        <w:rPr>
          <w:rFonts w:asciiTheme="minorHAnsi" w:hAnsiTheme="minorHAnsi"/>
        </w:rPr>
        <w:t xml:space="preserve"> </w:t>
      </w:r>
      <w:r>
        <w:rPr>
          <w:rFonts w:asciiTheme="minorHAnsi" w:hAnsiTheme="minorHAnsi"/>
        </w:rPr>
        <w:t xml:space="preserve">is a </w:t>
      </w:r>
      <w:r w:rsidR="00F82AD5">
        <w:rPr>
          <w:rFonts w:asciiTheme="minorHAnsi" w:hAnsiTheme="minorHAnsi"/>
        </w:rPr>
        <w:t xml:space="preserve">computable </w:t>
      </w:r>
      <w:r>
        <w:rPr>
          <w:rFonts w:asciiTheme="minorHAnsi" w:hAnsiTheme="minorHAnsi"/>
        </w:rPr>
        <w:t xml:space="preserve">general equilibrium model of the Australian economy and </w:t>
      </w:r>
      <w:r w:rsidRPr="000B4ED7">
        <w:rPr>
          <w:rFonts w:asciiTheme="minorHAnsi" w:hAnsiTheme="minorHAnsi"/>
        </w:rPr>
        <w:t>tak</w:t>
      </w:r>
      <w:r>
        <w:rPr>
          <w:rFonts w:asciiTheme="minorHAnsi" w:hAnsiTheme="minorHAnsi"/>
        </w:rPr>
        <w:t>es</w:t>
      </w:r>
      <w:r w:rsidRPr="000B4ED7">
        <w:rPr>
          <w:rFonts w:asciiTheme="minorHAnsi" w:hAnsiTheme="minorHAnsi"/>
        </w:rPr>
        <w:t xml:space="preserve"> into account population growth, the projected output of industries and changes in the </w:t>
      </w:r>
      <w:r>
        <w:rPr>
          <w:rFonts w:asciiTheme="minorHAnsi" w:hAnsiTheme="minorHAnsi"/>
        </w:rPr>
        <w:t>cost structure of transport. A</w:t>
      </w:r>
      <w:r w:rsidRPr="000B4ED7">
        <w:rPr>
          <w:rFonts w:asciiTheme="minorHAnsi" w:hAnsiTheme="minorHAnsi"/>
        </w:rPr>
        <w:t xml:space="preserve"> central scenario for passenger transport growth was calibrated </w:t>
      </w:r>
      <w:r>
        <w:rPr>
          <w:rFonts w:asciiTheme="minorHAnsi" w:hAnsiTheme="minorHAnsi"/>
        </w:rPr>
        <w:t xml:space="preserve">within MMRF </w:t>
      </w:r>
      <w:r w:rsidRPr="000B4ED7">
        <w:rPr>
          <w:rFonts w:asciiTheme="minorHAnsi" w:hAnsiTheme="minorHAnsi"/>
        </w:rPr>
        <w:t>based on data provided by the Bureau of Infrastructure, Transport and Regional Economics (2010).</w:t>
      </w:r>
      <w:r>
        <w:rPr>
          <w:rFonts w:asciiTheme="minorHAnsi" w:hAnsiTheme="minorHAnsi"/>
        </w:rPr>
        <w:t xml:space="preserve"> From this starting point various other scenarios are able to project changes in demand based on how the economy is impacted by the scenario assumptions.</w:t>
      </w:r>
    </w:p>
    <w:p w:rsidR="001A6556" w:rsidRDefault="001A6556" w:rsidP="001A6556">
      <w:pPr>
        <w:rPr>
          <w:rFonts w:asciiTheme="minorHAnsi" w:hAnsiTheme="minorHAnsi"/>
        </w:rPr>
      </w:pPr>
      <w:r w:rsidRPr="000B4ED7">
        <w:rPr>
          <w:rFonts w:asciiTheme="minorHAnsi" w:hAnsiTheme="minorHAnsi"/>
        </w:rPr>
        <w:t>With demand for transport activities from MMRF as an input, demand for individual fuels and vehicle types was determined using CSIRO’s modelling. The outputs from CSIRO’s models were then used as an input back into MMRF. The iteration process continued until dem</w:t>
      </w:r>
      <w:r>
        <w:rPr>
          <w:rFonts w:asciiTheme="minorHAnsi" w:hAnsiTheme="minorHAnsi"/>
        </w:rPr>
        <w:t>and and supply broadly converge</w:t>
      </w:r>
      <w:r w:rsidR="00F82AD5">
        <w:rPr>
          <w:rFonts w:asciiTheme="minorHAnsi" w:hAnsiTheme="minorHAnsi"/>
        </w:rPr>
        <w:t>d</w:t>
      </w:r>
      <w:r w:rsidRPr="000B4ED7">
        <w:rPr>
          <w:rFonts w:asciiTheme="minorHAnsi" w:hAnsiTheme="minorHAnsi"/>
        </w:rPr>
        <w:t>.</w:t>
      </w:r>
    </w:p>
    <w:p w:rsidR="001A6556" w:rsidRDefault="001A6556" w:rsidP="001A6556">
      <w:pPr>
        <w:rPr>
          <w:rFonts w:asciiTheme="minorHAnsi" w:hAnsiTheme="minorHAnsi"/>
        </w:rPr>
      </w:pPr>
      <w:r>
        <w:rPr>
          <w:rFonts w:asciiTheme="minorHAnsi" w:hAnsiTheme="minorHAnsi"/>
        </w:rPr>
        <w:t xml:space="preserve">This report is set out in </w:t>
      </w:r>
      <w:r w:rsidR="00CB12BF">
        <w:rPr>
          <w:rFonts w:asciiTheme="minorHAnsi" w:hAnsiTheme="minorHAnsi"/>
        </w:rPr>
        <w:t>six</w:t>
      </w:r>
      <w:r>
        <w:rPr>
          <w:rFonts w:asciiTheme="minorHAnsi" w:hAnsiTheme="minorHAnsi"/>
        </w:rPr>
        <w:t xml:space="preserve"> parts</w:t>
      </w:r>
      <w:r w:rsidR="00CB12BF">
        <w:rPr>
          <w:rFonts w:asciiTheme="minorHAnsi" w:hAnsiTheme="minorHAnsi"/>
        </w:rPr>
        <w:t xml:space="preserve"> including this introduction</w:t>
      </w:r>
      <w:r>
        <w:rPr>
          <w:rFonts w:asciiTheme="minorHAnsi" w:hAnsiTheme="minorHAnsi"/>
        </w:rPr>
        <w:t xml:space="preserve">. The </w:t>
      </w:r>
      <w:r w:rsidR="00CB12BF">
        <w:rPr>
          <w:rFonts w:asciiTheme="minorHAnsi" w:hAnsiTheme="minorHAnsi"/>
        </w:rPr>
        <w:t>second, third and fourth</w:t>
      </w:r>
      <w:r>
        <w:rPr>
          <w:rFonts w:asciiTheme="minorHAnsi" w:hAnsiTheme="minorHAnsi"/>
        </w:rPr>
        <w:t xml:space="preserve"> part</w:t>
      </w:r>
      <w:r w:rsidR="00CB12BF">
        <w:rPr>
          <w:rFonts w:asciiTheme="minorHAnsi" w:hAnsiTheme="minorHAnsi"/>
        </w:rPr>
        <w:t>s</w:t>
      </w:r>
      <w:r>
        <w:rPr>
          <w:rFonts w:asciiTheme="minorHAnsi" w:hAnsiTheme="minorHAnsi"/>
        </w:rPr>
        <w:t xml:space="preserve"> describe the scenarios, the modelling methodology and assumptions in detail. The </w:t>
      </w:r>
      <w:r w:rsidR="00CB12BF">
        <w:rPr>
          <w:rFonts w:asciiTheme="minorHAnsi" w:hAnsiTheme="minorHAnsi"/>
        </w:rPr>
        <w:t>fifth and sixth parts describe</w:t>
      </w:r>
      <w:r>
        <w:rPr>
          <w:rFonts w:asciiTheme="minorHAnsi" w:hAnsiTheme="minorHAnsi"/>
        </w:rPr>
        <w:t xml:space="preserve"> </w:t>
      </w:r>
      <w:r w:rsidR="00CB12BF">
        <w:rPr>
          <w:rFonts w:asciiTheme="minorHAnsi" w:hAnsiTheme="minorHAnsi"/>
        </w:rPr>
        <w:t xml:space="preserve">the </w:t>
      </w:r>
      <w:r>
        <w:rPr>
          <w:rFonts w:asciiTheme="minorHAnsi" w:hAnsiTheme="minorHAnsi"/>
        </w:rPr>
        <w:t xml:space="preserve">scenario </w:t>
      </w:r>
      <w:r w:rsidR="00CB12BF">
        <w:rPr>
          <w:rFonts w:asciiTheme="minorHAnsi" w:hAnsiTheme="minorHAnsi"/>
        </w:rPr>
        <w:t xml:space="preserve">and sensitivity </w:t>
      </w:r>
      <w:r>
        <w:rPr>
          <w:rFonts w:asciiTheme="minorHAnsi" w:hAnsiTheme="minorHAnsi"/>
        </w:rPr>
        <w:t>modelling results.</w:t>
      </w:r>
    </w:p>
    <w:p w:rsidR="001A6556" w:rsidRDefault="001A6556" w:rsidP="001A6556"/>
    <w:p w:rsidR="001A6556" w:rsidRPr="001D36DC" w:rsidRDefault="001A6556" w:rsidP="001A6556">
      <w:pPr>
        <w:pStyle w:val="Heading1"/>
      </w:pPr>
      <w:bookmarkStart w:id="7" w:name="_Toc366228029"/>
      <w:r>
        <w:lastRenderedPageBreak/>
        <w:t>Modelling overview</w:t>
      </w:r>
      <w:bookmarkEnd w:id="7"/>
    </w:p>
    <w:p w:rsidR="001A6556" w:rsidRPr="001D36DC" w:rsidRDefault="001A6556" w:rsidP="001A6556">
      <w:pPr>
        <w:pStyle w:val="Heading2"/>
      </w:pPr>
      <w:bookmarkStart w:id="8" w:name="_Toc366228030"/>
      <w:r>
        <w:t>Introduction to the modelling exercise</w:t>
      </w:r>
      <w:bookmarkEnd w:id="8"/>
    </w:p>
    <w:p w:rsidR="001A6556" w:rsidRDefault="001A6556" w:rsidP="001A6556">
      <w:r>
        <w:t>The scenarios modelled in this report are primarily concerned with understanding how the transport sector will respond to a carbon price mechanism that provides a financial incentive for actors within that sector to make choices which result in lower greenhouse gas emissions. In this section we provide a description of the scenarios which set the strength and timing of the price signal and the transport sector modelling assumptions which determine how the sector is likely to the respond to those signals including the relative costs of alternative fuel and engine technologies and sources of inertia such as infrastructure constraints and demand growth.</w:t>
      </w:r>
    </w:p>
    <w:p w:rsidR="001A6556" w:rsidRDefault="00161C61" w:rsidP="001A6556">
      <w:pPr>
        <w:pStyle w:val="Heading3"/>
      </w:pPr>
      <w:r>
        <w:t>Scena</w:t>
      </w:r>
      <w:r w:rsidR="001A6556">
        <w:t>rio versus prediction: Treatment of uncertainty</w:t>
      </w:r>
    </w:p>
    <w:p w:rsidR="001A6556" w:rsidRDefault="001A6556" w:rsidP="001A6556">
      <w:r>
        <w:t>It is important to understand the distinction between scenario analysis and prediction. Scenario analysis is concerned with projecting what could happen given a specific set of circumstances that are defined in the scenario assumptions. Prediction is concerned with what is likely to happen given all future drivers.</w:t>
      </w:r>
    </w:p>
    <w:p w:rsidR="001A6556" w:rsidRDefault="001A6556" w:rsidP="001A6556">
      <w:r>
        <w:t>This distinction is particularly important when we consider large transport sector investments such as alternative fuel feedstock development and refining. Within a given scenario where we are confident that a certain carbon</w:t>
      </w:r>
      <w:r w:rsidR="00F82AD5">
        <w:t xml:space="preserve"> price</w:t>
      </w:r>
      <w:r>
        <w:t xml:space="preserve">, oil price, technology development will occur, infrastructure investment can be justified if they are profitable under those circumstances. However, in reality, if we were trying to predict investment then we would have to employ a different approach which takes account of all of the uncertainties in the relevant economic drivers and would likely conclude that investment would not proceed at the same pace. This reflects the long standing rule in finance that a high degree of uncertainty in the key economic drivers of largely irreversible infrastructure investment project tends to lead to investment delay in order to allow time to narrow the uncertainty </w:t>
      </w:r>
      <w:r w:rsidRPr="00A65ED0">
        <w:t>range (</w:t>
      </w:r>
      <w:r w:rsidR="00A65ED0" w:rsidRPr="00A65ED0">
        <w:t>Dixit and Pindyck, 1994</w:t>
      </w:r>
      <w:r w:rsidRPr="00A65ED0">
        <w:t>).</w:t>
      </w:r>
    </w:p>
    <w:p w:rsidR="001A6556" w:rsidRDefault="001A6556" w:rsidP="001A6556">
      <w:r>
        <w:t>To partially take account of investment uncertainty, the model assumptions generally impose some delay in investments such that they only proceed several years after being theoretically profitable. However, the modelling is still overly optimistic about the amount of certain knowledge that investors would have in reality. Therefore the scenario results should be interpreted as only being indicative of what developments might emerge if the scenario assumptions occur such that most policy, technological and market uncertainty is resolved.</w:t>
      </w:r>
    </w:p>
    <w:p w:rsidR="001A6556" w:rsidRDefault="001A6556" w:rsidP="001A6556">
      <w:pPr>
        <w:pStyle w:val="Heading2"/>
      </w:pPr>
      <w:bookmarkStart w:id="9" w:name="_Toc366228031"/>
      <w:r>
        <w:t>Scenario overview</w:t>
      </w:r>
      <w:bookmarkEnd w:id="9"/>
    </w:p>
    <w:p w:rsidR="001A6556" w:rsidRDefault="001A6556" w:rsidP="001A6556">
      <w:r>
        <w:t xml:space="preserve">The Australian carbon pricing scenarios are developed with reference to two global greenhouse gas abatement scenarios as defined by world greenhouse gas concentration stabilisation targets – 550ppm and 450 ppm. Australian Central, low and no carbon price scenarios are defined using the 550pm global stabilisation target context and an Australian </w:t>
      </w:r>
      <w:r>
        <w:lastRenderedPageBreak/>
        <w:t>high price scenario uses the 450ppm background. For the purposes of this report the global context has two direct impacts:</w:t>
      </w:r>
    </w:p>
    <w:p w:rsidR="001A6556" w:rsidRDefault="001A6556" w:rsidP="00E5753E">
      <w:pPr>
        <w:pStyle w:val="ListParagraph"/>
        <w:numPr>
          <w:ilvl w:val="0"/>
          <w:numId w:val="22"/>
        </w:numPr>
        <w:rPr>
          <w:rFonts w:asciiTheme="minorHAnsi" w:hAnsiTheme="minorHAnsi"/>
        </w:rPr>
      </w:pPr>
      <w:r w:rsidRPr="00E5284C">
        <w:rPr>
          <w:rFonts w:asciiTheme="minorHAnsi" w:hAnsiTheme="minorHAnsi"/>
        </w:rPr>
        <w:t xml:space="preserve">The price of international </w:t>
      </w:r>
      <w:r>
        <w:rPr>
          <w:rFonts w:asciiTheme="minorHAnsi" w:hAnsiTheme="minorHAnsi"/>
        </w:rPr>
        <w:t>carbon price permits which, through trade, impact on the domestic price of carbon</w:t>
      </w:r>
    </w:p>
    <w:p w:rsidR="001A6556" w:rsidRDefault="001A6556" w:rsidP="00E5753E">
      <w:pPr>
        <w:pStyle w:val="ListParagraph"/>
        <w:numPr>
          <w:ilvl w:val="0"/>
          <w:numId w:val="22"/>
        </w:numPr>
        <w:rPr>
          <w:rFonts w:asciiTheme="minorHAnsi" w:hAnsiTheme="minorHAnsi"/>
        </w:rPr>
      </w:pPr>
      <w:r>
        <w:rPr>
          <w:rFonts w:asciiTheme="minorHAnsi" w:hAnsiTheme="minorHAnsi"/>
        </w:rPr>
        <w:t>The amount of technological change that is being driven by global greenhouse gas abatement efforts</w:t>
      </w:r>
    </w:p>
    <w:p w:rsidR="001A6556" w:rsidRDefault="001A6556" w:rsidP="001A6556"/>
    <w:p w:rsidR="001A6556" w:rsidRDefault="001A6556" w:rsidP="001A6556">
      <w:r>
        <w:t xml:space="preserve">Indirectly the global carbon </w:t>
      </w:r>
      <w:proofErr w:type="gramStart"/>
      <w:r>
        <w:t>price shapes the national economy and therefore transport</w:t>
      </w:r>
      <w:proofErr w:type="gramEnd"/>
      <w:r>
        <w:t xml:space="preserve"> demand.</w:t>
      </w:r>
    </w:p>
    <w:p w:rsidR="001A6556" w:rsidRPr="00E5284C" w:rsidRDefault="001A6556" w:rsidP="001A6556">
      <w:r>
        <w:t xml:space="preserve">Another feature of the scenario architecture is the coverage of the carbon pricing policy. In particular, passenger and light commercial road transport is excluded from carbon pricing indefinitely. The heavy road sector is included but has </w:t>
      </w:r>
      <w:r w:rsidR="00A87F78">
        <w:t>a brief exclusion period to 2013-14</w:t>
      </w:r>
      <w:r>
        <w:t xml:space="preserve">. </w:t>
      </w:r>
      <w:r w:rsidR="00C14EF7">
        <w:fldChar w:fldCharType="begin"/>
      </w:r>
      <w:r w:rsidR="00AB35C1">
        <w:instrText xml:space="preserve"> REF _Ref365655548 \h </w:instrText>
      </w:r>
      <w:r w:rsidR="00C14EF7">
        <w:fldChar w:fldCharType="separate"/>
      </w:r>
      <w:r w:rsidR="003E0F65">
        <w:t xml:space="preserve">Table </w:t>
      </w:r>
      <w:r w:rsidR="003E0F65">
        <w:rPr>
          <w:noProof/>
        </w:rPr>
        <w:t>2</w:t>
      </w:r>
      <w:r w:rsidR="003E0F65">
        <w:noBreakHyphen/>
      </w:r>
      <w:r w:rsidR="003E0F65">
        <w:rPr>
          <w:noProof/>
        </w:rPr>
        <w:t>1</w:t>
      </w:r>
      <w:r w:rsidR="00C14EF7">
        <w:fldChar w:fldCharType="end"/>
      </w:r>
      <w:r w:rsidR="00AB35C1">
        <w:t xml:space="preserve"> </w:t>
      </w:r>
      <w:r>
        <w:t>describes the global scenario context and carbon policy coverage</w:t>
      </w:r>
    </w:p>
    <w:p w:rsidR="001A6556" w:rsidRDefault="001A6556" w:rsidP="001A6556"/>
    <w:p w:rsidR="001A6556" w:rsidRDefault="00AB35C1" w:rsidP="00AB35C1">
      <w:pPr>
        <w:pStyle w:val="Caption"/>
      </w:pPr>
      <w:bookmarkStart w:id="10" w:name="_Ref365655548"/>
      <w:bookmarkStart w:id="11" w:name="_Toc366227377"/>
      <w:r>
        <w:t xml:space="preserve">Table </w:t>
      </w:r>
      <w:r w:rsidR="00C14EF7">
        <w:fldChar w:fldCharType="begin"/>
      </w:r>
      <w:r w:rsidR="00970F7D">
        <w:instrText xml:space="preserve"> STYLEREF 1 \s </w:instrText>
      </w:r>
      <w:r w:rsidR="00C14EF7">
        <w:fldChar w:fldCharType="separate"/>
      </w:r>
      <w:r w:rsidR="003E0F65">
        <w:rPr>
          <w:noProof/>
        </w:rPr>
        <w:t>2</w:t>
      </w:r>
      <w:r w:rsidR="00C14EF7">
        <w:rPr>
          <w:noProof/>
        </w:rPr>
        <w:fldChar w:fldCharType="end"/>
      </w:r>
      <w:r>
        <w:noBreakHyphen/>
      </w:r>
      <w:r w:rsidR="00C14EF7">
        <w:fldChar w:fldCharType="begin"/>
      </w:r>
      <w:r w:rsidR="00970F7D">
        <w:instrText xml:space="preserve"> SEQ Table \* ARABIC \s 1 </w:instrText>
      </w:r>
      <w:r w:rsidR="00C14EF7">
        <w:fldChar w:fldCharType="separate"/>
      </w:r>
      <w:r w:rsidR="003E0F65">
        <w:rPr>
          <w:noProof/>
        </w:rPr>
        <w:t>1</w:t>
      </w:r>
      <w:r w:rsidR="00C14EF7">
        <w:rPr>
          <w:noProof/>
        </w:rPr>
        <w:fldChar w:fldCharType="end"/>
      </w:r>
      <w:bookmarkEnd w:id="10"/>
      <w:r w:rsidR="001A6556">
        <w:t>: Global scenario context</w:t>
      </w:r>
      <w:bookmarkEnd w:id="11"/>
    </w:p>
    <w:tbl>
      <w:tblPr>
        <w:tblStyle w:val="LightList-Accent5"/>
        <w:tblW w:w="4962" w:type="pct"/>
        <w:tblLook w:val="01E0"/>
      </w:tblPr>
      <w:tblGrid>
        <w:gridCol w:w="732"/>
        <w:gridCol w:w="802"/>
        <w:gridCol w:w="3556"/>
        <w:gridCol w:w="3557"/>
      </w:tblGrid>
      <w:tr w:rsidR="001A6556" w:rsidRPr="00580BC8" w:rsidTr="00E011B7">
        <w:trPr>
          <w:cnfStyle w:val="100000000000"/>
          <w:trHeight w:val="270"/>
        </w:trPr>
        <w:tc>
          <w:tcPr>
            <w:cnfStyle w:val="001000000000"/>
            <w:tcW w:w="423" w:type="pct"/>
            <w:shd w:val="clear" w:color="auto" w:fill="85E9FF" w:themeFill="accent1" w:themeFillTint="66"/>
          </w:tcPr>
          <w:p w:rsidR="001A6556" w:rsidRPr="00580BC8" w:rsidRDefault="001A6556" w:rsidP="00E011B7">
            <w:pPr>
              <w:pStyle w:val="TableColumnHeadingLeft"/>
            </w:pPr>
          </w:p>
        </w:tc>
        <w:tc>
          <w:tcPr>
            <w:cnfStyle w:val="000010000000"/>
            <w:tcW w:w="464" w:type="pct"/>
            <w:shd w:val="clear" w:color="auto" w:fill="85E9FF" w:themeFill="accent1" w:themeFillTint="66"/>
          </w:tcPr>
          <w:p w:rsidR="001A6556" w:rsidRPr="00580BC8" w:rsidRDefault="001A6556" w:rsidP="00E011B7">
            <w:pPr>
              <w:pStyle w:val="TableColumnHeadingLeft"/>
            </w:pPr>
          </w:p>
        </w:tc>
        <w:tc>
          <w:tcPr>
            <w:tcW w:w="2056" w:type="pct"/>
            <w:shd w:val="clear" w:color="auto" w:fill="85E9FF" w:themeFill="accent1" w:themeFillTint="66"/>
          </w:tcPr>
          <w:p w:rsidR="001A6556" w:rsidRPr="00580BC8" w:rsidRDefault="001A6556" w:rsidP="00E011B7">
            <w:pPr>
              <w:pStyle w:val="TableColumnHeadingLeft"/>
              <w:cnfStyle w:val="100000000000"/>
            </w:pPr>
            <w:r w:rsidRPr="00580BC8">
              <w:t>Central and low price scenarios</w:t>
            </w:r>
          </w:p>
        </w:tc>
        <w:tc>
          <w:tcPr>
            <w:cnfStyle w:val="000100000000"/>
            <w:tcW w:w="2057" w:type="pct"/>
            <w:shd w:val="clear" w:color="auto" w:fill="85E9FF" w:themeFill="accent1" w:themeFillTint="66"/>
          </w:tcPr>
          <w:p w:rsidR="001A6556" w:rsidRPr="00580BC8" w:rsidRDefault="001A6556" w:rsidP="00E011B7">
            <w:pPr>
              <w:pStyle w:val="TableColumnHeadingLeft"/>
            </w:pPr>
            <w:r w:rsidRPr="00580BC8">
              <w:t>High price scenario</w:t>
            </w:r>
          </w:p>
        </w:tc>
      </w:tr>
      <w:tr w:rsidR="001A6556" w:rsidRPr="00580BC8" w:rsidTr="00E011B7">
        <w:trPr>
          <w:cnfStyle w:val="000000100000"/>
          <w:trHeight w:val="270"/>
        </w:trPr>
        <w:tc>
          <w:tcPr>
            <w:cnfStyle w:val="001000000000"/>
            <w:tcW w:w="887" w:type="pct"/>
            <w:gridSpan w:val="2"/>
          </w:tcPr>
          <w:p w:rsidR="001A6556" w:rsidRPr="00580BC8" w:rsidRDefault="001A6556" w:rsidP="00E011B7">
            <w:pPr>
              <w:pStyle w:val="TableTextLeft"/>
            </w:pPr>
            <w:r w:rsidRPr="00580BC8">
              <w:t>World stabilisation target</w:t>
            </w:r>
          </w:p>
          <w:p w:rsidR="001A6556" w:rsidRPr="00580BC8" w:rsidRDefault="001A6556" w:rsidP="00E011B7">
            <w:pPr>
              <w:pStyle w:val="TableTextLeft"/>
            </w:pPr>
          </w:p>
        </w:tc>
        <w:tc>
          <w:tcPr>
            <w:cnfStyle w:val="000010000000"/>
            <w:tcW w:w="2056" w:type="pct"/>
          </w:tcPr>
          <w:p w:rsidR="001A6556" w:rsidRPr="00C41C94" w:rsidRDefault="001A6556" w:rsidP="00E011B7">
            <w:pPr>
              <w:pStyle w:val="TableTextLeft"/>
            </w:pPr>
            <w:r w:rsidRPr="00C41C94">
              <w:t>550 ppm</w:t>
            </w:r>
          </w:p>
        </w:tc>
        <w:tc>
          <w:tcPr>
            <w:cnfStyle w:val="000100000000"/>
            <w:tcW w:w="2057" w:type="pct"/>
          </w:tcPr>
          <w:p w:rsidR="001A6556" w:rsidRPr="00C41C94" w:rsidRDefault="001A6556" w:rsidP="00E011B7">
            <w:pPr>
              <w:pStyle w:val="TableTextLeft"/>
              <w:rPr>
                <w:b w:val="0"/>
              </w:rPr>
            </w:pPr>
            <w:r w:rsidRPr="00C41C94">
              <w:rPr>
                <w:b w:val="0"/>
              </w:rPr>
              <w:t xml:space="preserve">450 ppm </w:t>
            </w:r>
          </w:p>
        </w:tc>
      </w:tr>
      <w:tr w:rsidR="001A6556" w:rsidRPr="00580BC8" w:rsidTr="00E011B7">
        <w:trPr>
          <w:trHeight w:val="270"/>
        </w:trPr>
        <w:tc>
          <w:tcPr>
            <w:cnfStyle w:val="001000000000"/>
            <w:tcW w:w="887" w:type="pct"/>
            <w:gridSpan w:val="2"/>
          </w:tcPr>
          <w:p w:rsidR="001A6556" w:rsidRPr="00580BC8" w:rsidRDefault="001A6556" w:rsidP="00E011B7">
            <w:pPr>
              <w:pStyle w:val="TableTextLeft"/>
            </w:pPr>
            <w:r w:rsidRPr="00580BC8">
              <w:t>Australian emission reduction target</w:t>
            </w:r>
          </w:p>
        </w:tc>
        <w:tc>
          <w:tcPr>
            <w:cnfStyle w:val="000010000000"/>
            <w:tcW w:w="2056" w:type="pct"/>
          </w:tcPr>
          <w:p w:rsidR="001A6556" w:rsidRPr="00C41C94" w:rsidRDefault="001A6556" w:rsidP="00E011B7">
            <w:pPr>
              <w:pStyle w:val="TableTextLeft"/>
            </w:pPr>
            <w:r w:rsidRPr="00C41C94">
              <w:t>5 per cent below 2000 levels by 2020; 80 per cent below 2000 levels by 2050</w:t>
            </w:r>
          </w:p>
        </w:tc>
        <w:tc>
          <w:tcPr>
            <w:cnfStyle w:val="000100000000"/>
            <w:tcW w:w="2057" w:type="pct"/>
          </w:tcPr>
          <w:p w:rsidR="001A6556" w:rsidRPr="00C41C94" w:rsidRDefault="001A6556" w:rsidP="00E011B7">
            <w:pPr>
              <w:pStyle w:val="TableTextLeft"/>
              <w:rPr>
                <w:b w:val="0"/>
              </w:rPr>
            </w:pPr>
            <w:r w:rsidRPr="00C41C94">
              <w:rPr>
                <w:b w:val="0"/>
              </w:rPr>
              <w:t>25 per cent below 2000 levels by 2020; 80 per cent below 2000 levels by 2050</w:t>
            </w:r>
          </w:p>
        </w:tc>
      </w:tr>
      <w:tr w:rsidR="001A6556" w:rsidRPr="00580BC8" w:rsidTr="00E011B7">
        <w:trPr>
          <w:cnfStyle w:val="000000100000"/>
          <w:trHeight w:val="270"/>
        </w:trPr>
        <w:tc>
          <w:tcPr>
            <w:cnfStyle w:val="001000000000"/>
            <w:tcW w:w="887" w:type="pct"/>
            <w:gridSpan w:val="2"/>
          </w:tcPr>
          <w:p w:rsidR="001A6556" w:rsidRPr="00580BC8" w:rsidRDefault="001A6556" w:rsidP="00E011B7">
            <w:pPr>
              <w:pStyle w:val="TableTextLeft"/>
            </w:pPr>
            <w:r w:rsidRPr="00580BC8">
              <w:t>Allocation</w:t>
            </w:r>
          </w:p>
        </w:tc>
        <w:tc>
          <w:tcPr>
            <w:cnfStyle w:val="000010000000"/>
            <w:tcW w:w="2056" w:type="pct"/>
          </w:tcPr>
          <w:p w:rsidR="001A6556" w:rsidRPr="00C41C94" w:rsidRDefault="001A6556" w:rsidP="00486868">
            <w:pPr>
              <w:pStyle w:val="TableTextLeft"/>
            </w:pPr>
            <w:r w:rsidRPr="00C41C94">
              <w:t xml:space="preserve">Taken as Australia’s Quantified Emission Limitation or Reduction Objective trajectory as described in Australia’s submission under the Kyoto protocol; and from 2020 as a straight line to </w:t>
            </w:r>
            <w:proofErr w:type="gramStart"/>
            <w:r w:rsidRPr="00C41C94">
              <w:t>achieve  the</w:t>
            </w:r>
            <w:proofErr w:type="gramEnd"/>
            <w:r w:rsidRPr="00C41C94">
              <w:t xml:space="preserve"> 2050 target.</w:t>
            </w:r>
          </w:p>
        </w:tc>
        <w:tc>
          <w:tcPr>
            <w:cnfStyle w:val="000100000000"/>
            <w:tcW w:w="2057" w:type="pct"/>
          </w:tcPr>
          <w:p w:rsidR="001A6556" w:rsidRPr="00C41C94" w:rsidRDefault="001A6556" w:rsidP="00E011B7">
            <w:pPr>
              <w:pStyle w:val="TableTextLeft"/>
              <w:rPr>
                <w:b w:val="0"/>
              </w:rPr>
            </w:pPr>
            <w:r w:rsidRPr="00C41C94">
              <w:rPr>
                <w:b w:val="0"/>
              </w:rPr>
              <w:t>Set as a straight line reduction: from the end of the Kyoto commitment period (2008-2012) to achieve the 2020 target; and from 2020 to achieve the 2050 target.</w:t>
            </w:r>
          </w:p>
        </w:tc>
      </w:tr>
      <w:tr w:rsidR="001A6556" w:rsidRPr="00580BC8" w:rsidTr="00E011B7">
        <w:trPr>
          <w:trHeight w:val="270"/>
        </w:trPr>
        <w:tc>
          <w:tcPr>
            <w:cnfStyle w:val="001000000000"/>
            <w:tcW w:w="887" w:type="pct"/>
            <w:gridSpan w:val="2"/>
          </w:tcPr>
          <w:p w:rsidR="001A6556" w:rsidRPr="00580BC8" w:rsidRDefault="001A6556" w:rsidP="00E011B7">
            <w:pPr>
              <w:pStyle w:val="TableTextLeft"/>
            </w:pPr>
            <w:r w:rsidRPr="00580BC8">
              <w:t xml:space="preserve">International linking </w:t>
            </w:r>
          </w:p>
        </w:tc>
        <w:tc>
          <w:tcPr>
            <w:cnfStyle w:val="000100000000"/>
            <w:tcW w:w="4113" w:type="pct"/>
            <w:gridSpan w:val="2"/>
          </w:tcPr>
          <w:p w:rsidR="001A6556" w:rsidRPr="00A87F78" w:rsidRDefault="00A87F78" w:rsidP="00E011B7">
            <w:pPr>
              <w:pStyle w:val="TableTextLeft"/>
              <w:rPr>
                <w:b w:val="0"/>
              </w:rPr>
            </w:pPr>
            <w:r w:rsidRPr="00A87F78">
              <w:rPr>
                <w:b w:val="0"/>
              </w:rPr>
              <w:t>No international linking</w:t>
            </w:r>
            <w:r>
              <w:rPr>
                <w:b w:val="0"/>
              </w:rPr>
              <w:t xml:space="preserve"> during the fixed price period.</w:t>
            </w:r>
            <w:r w:rsidRPr="00A87F78">
              <w:rPr>
                <w:b w:val="0"/>
              </w:rPr>
              <w:t xml:space="preserve"> Linkage to the EU ETS (initially as a one-way link) from 2015 to 2020 with quantitative restrictions to ensure liable parties meet at least 50 per cent of their annual liability from domestic permits and credits until 2020, and no more than 6.25 per cent through CERs in 2015 and 12.5 per cent in other years</w:t>
            </w:r>
            <w:r>
              <w:rPr>
                <w:b w:val="0"/>
              </w:rPr>
              <w:t xml:space="preserve">. </w:t>
            </w:r>
            <w:r w:rsidRPr="00A87F78">
              <w:rPr>
                <w:b w:val="0"/>
              </w:rPr>
              <w:t>Transition to a common international price from 2021</w:t>
            </w:r>
            <w:r w:rsidR="001A6556" w:rsidRPr="00A87F78">
              <w:rPr>
                <w:b w:val="0"/>
              </w:rPr>
              <w:t xml:space="preserve"> </w:t>
            </w:r>
          </w:p>
        </w:tc>
      </w:tr>
      <w:tr w:rsidR="001A6556" w:rsidRPr="00580BC8" w:rsidTr="00E011B7">
        <w:trPr>
          <w:cnfStyle w:val="000000100000"/>
          <w:trHeight w:val="270"/>
        </w:trPr>
        <w:tc>
          <w:tcPr>
            <w:cnfStyle w:val="001000000000"/>
            <w:tcW w:w="887" w:type="pct"/>
            <w:gridSpan w:val="2"/>
          </w:tcPr>
          <w:p w:rsidR="001A6556" w:rsidRPr="00580BC8" w:rsidRDefault="001A6556" w:rsidP="00E011B7">
            <w:pPr>
              <w:pStyle w:val="TableTextLeft"/>
            </w:pPr>
            <w:r w:rsidRPr="00580BC8">
              <w:t>Coverage</w:t>
            </w:r>
          </w:p>
        </w:tc>
        <w:tc>
          <w:tcPr>
            <w:cnfStyle w:val="000100000000"/>
            <w:tcW w:w="4113" w:type="pct"/>
            <w:gridSpan w:val="2"/>
          </w:tcPr>
          <w:p w:rsidR="001A6556" w:rsidRPr="00C41C94" w:rsidRDefault="001A6556" w:rsidP="00E011B7">
            <w:pPr>
              <w:pStyle w:val="TableTextLeft"/>
              <w:spacing w:line="276" w:lineRule="auto"/>
              <w:rPr>
                <w:b w:val="0"/>
              </w:rPr>
            </w:pPr>
            <w:r w:rsidRPr="00C41C94">
              <w:rPr>
                <w:b w:val="0"/>
              </w:rPr>
              <w:t>All emission sources are covered, except:</w:t>
            </w:r>
          </w:p>
          <w:p w:rsidR="001A6556" w:rsidRPr="00C41C94" w:rsidRDefault="001A6556" w:rsidP="00E011B7">
            <w:pPr>
              <w:pStyle w:val="TableTextLeft"/>
              <w:tabs>
                <w:tab w:val="left" w:pos="333"/>
              </w:tabs>
              <w:spacing w:line="276" w:lineRule="auto"/>
              <w:ind w:left="333" w:hanging="333"/>
              <w:rPr>
                <w:b w:val="0"/>
              </w:rPr>
            </w:pPr>
            <w:r w:rsidRPr="00C41C94">
              <w:rPr>
                <w:b w:val="0"/>
              </w:rPr>
              <w:t>* activity emissions from agriculture and forestry;</w:t>
            </w:r>
          </w:p>
          <w:p w:rsidR="001A6556" w:rsidRPr="00C41C94" w:rsidRDefault="001A6556" w:rsidP="00E011B7">
            <w:pPr>
              <w:pStyle w:val="TableTextLeft"/>
              <w:tabs>
                <w:tab w:val="left" w:pos="333"/>
              </w:tabs>
              <w:spacing w:line="276" w:lineRule="auto"/>
              <w:ind w:left="333" w:hanging="333"/>
              <w:rPr>
                <w:b w:val="0"/>
              </w:rPr>
            </w:pPr>
            <w:r w:rsidRPr="00C41C94">
              <w:rPr>
                <w:b w:val="0"/>
              </w:rPr>
              <w:t>* combustion emissions from agriculture, forestry and fishing;</w:t>
            </w:r>
          </w:p>
          <w:p w:rsidR="001A6556" w:rsidRPr="00C41C94" w:rsidRDefault="001A6556" w:rsidP="00E011B7">
            <w:pPr>
              <w:pStyle w:val="TableTextLeft"/>
              <w:tabs>
                <w:tab w:val="left" w:pos="333"/>
              </w:tabs>
              <w:spacing w:line="276" w:lineRule="auto"/>
              <w:ind w:left="333" w:hanging="333"/>
              <w:rPr>
                <w:b w:val="0"/>
              </w:rPr>
            </w:pPr>
            <w:r w:rsidRPr="00C41C94">
              <w:rPr>
                <w:b w:val="0"/>
              </w:rPr>
              <w:t>* on-road combustion of liquid fuels by light vehicles and gaseous fuels;</w:t>
            </w:r>
          </w:p>
          <w:p w:rsidR="001A6556" w:rsidRPr="00C41C94" w:rsidRDefault="001A6556" w:rsidP="00E011B7">
            <w:pPr>
              <w:pStyle w:val="TableTextLeft"/>
              <w:tabs>
                <w:tab w:val="left" w:pos="333"/>
              </w:tabs>
              <w:spacing w:line="276" w:lineRule="auto"/>
              <w:ind w:left="333" w:hanging="333"/>
              <w:rPr>
                <w:b w:val="0"/>
              </w:rPr>
            </w:pPr>
            <w:r w:rsidRPr="00C41C94">
              <w:rPr>
                <w:b w:val="0"/>
              </w:rPr>
              <w:t>* on-road combustion of liquid fuels by heavy vehicles in 2012-13 and 2013-14;</w:t>
            </w:r>
          </w:p>
          <w:p w:rsidR="001A6556" w:rsidRPr="00C41C94" w:rsidRDefault="001A6556" w:rsidP="00E011B7">
            <w:pPr>
              <w:pStyle w:val="TableTextLeft"/>
              <w:spacing w:line="276" w:lineRule="auto"/>
              <w:rPr>
                <w:b w:val="0"/>
              </w:rPr>
            </w:pPr>
            <w:r w:rsidRPr="00C41C94">
              <w:rPr>
                <w:b w:val="0"/>
              </w:rPr>
              <w:t>* decommissioned mines;</w:t>
            </w:r>
          </w:p>
          <w:p w:rsidR="001A6556" w:rsidRPr="00C41C94" w:rsidRDefault="001A6556" w:rsidP="00E011B7">
            <w:pPr>
              <w:pStyle w:val="TableTextLeft"/>
              <w:spacing w:line="276" w:lineRule="auto"/>
              <w:rPr>
                <w:b w:val="0"/>
              </w:rPr>
            </w:pPr>
            <w:r w:rsidRPr="00C41C94">
              <w:rPr>
                <w:b w:val="0"/>
              </w:rPr>
              <w:t>* land-use change;</w:t>
            </w:r>
          </w:p>
          <w:p w:rsidR="001A6556" w:rsidRPr="00C41C94" w:rsidRDefault="001A6556" w:rsidP="00E011B7">
            <w:pPr>
              <w:pStyle w:val="TableTextLeft"/>
              <w:spacing w:line="276" w:lineRule="auto"/>
              <w:rPr>
                <w:b w:val="0"/>
              </w:rPr>
            </w:pPr>
            <w:r w:rsidRPr="00C41C94">
              <w:rPr>
                <w:b w:val="0"/>
              </w:rPr>
              <w:t>* legacy waste; and</w:t>
            </w:r>
          </w:p>
          <w:p w:rsidR="001A6556" w:rsidRPr="00C41C94" w:rsidRDefault="001A6556" w:rsidP="00E011B7">
            <w:pPr>
              <w:pStyle w:val="TableTextLeft"/>
              <w:spacing w:line="276" w:lineRule="auto"/>
              <w:rPr>
                <w:b w:val="0"/>
              </w:rPr>
            </w:pPr>
            <w:r w:rsidRPr="00C41C94">
              <w:rPr>
                <w:b w:val="0"/>
              </w:rPr>
              <w:t xml:space="preserve">* </w:t>
            </w:r>
            <w:proofErr w:type="gramStart"/>
            <w:r w:rsidRPr="00C41C94">
              <w:rPr>
                <w:b w:val="0"/>
              </w:rPr>
              <w:t>existing</w:t>
            </w:r>
            <w:proofErr w:type="gramEnd"/>
            <w:r w:rsidRPr="00C41C94">
              <w:rPr>
                <w:b w:val="0"/>
              </w:rPr>
              <w:t xml:space="preserve"> synthetic gases.</w:t>
            </w:r>
          </w:p>
        </w:tc>
      </w:tr>
      <w:tr w:rsidR="001A6556" w:rsidRPr="00580BC8" w:rsidTr="00E011B7">
        <w:trPr>
          <w:trHeight w:val="270"/>
        </w:trPr>
        <w:tc>
          <w:tcPr>
            <w:cnfStyle w:val="001000000000"/>
            <w:tcW w:w="887" w:type="pct"/>
            <w:gridSpan w:val="2"/>
          </w:tcPr>
          <w:p w:rsidR="001A6556" w:rsidRPr="00580BC8" w:rsidRDefault="001A6556" w:rsidP="00E011B7">
            <w:pPr>
              <w:pStyle w:val="TableTextLeft"/>
            </w:pPr>
            <w:r w:rsidRPr="00580BC8">
              <w:t>Emission-intensive trade-exposed activities (EITE)</w:t>
            </w:r>
          </w:p>
        </w:tc>
        <w:tc>
          <w:tcPr>
            <w:cnfStyle w:val="000100000000"/>
            <w:tcW w:w="4113" w:type="pct"/>
            <w:gridSpan w:val="2"/>
          </w:tcPr>
          <w:p w:rsidR="001A6556" w:rsidRPr="00C41C94" w:rsidRDefault="001A6556" w:rsidP="00E011B7">
            <w:pPr>
              <w:pStyle w:val="TableTextLeft"/>
              <w:rPr>
                <w:b w:val="0"/>
              </w:rPr>
            </w:pPr>
            <w:r w:rsidRPr="00C41C94">
              <w:rPr>
                <w:b w:val="0"/>
              </w:rPr>
              <w:t>Assistance to activities start</w:t>
            </w:r>
            <w:r>
              <w:rPr>
                <w:b w:val="0"/>
              </w:rPr>
              <w:t xml:space="preserve">s at 94.5 per cent or 66 per </w:t>
            </w:r>
            <w:r w:rsidRPr="00C41C94">
              <w:rPr>
                <w:b w:val="0"/>
              </w:rPr>
              <w:t>cent, depending on intensity. LNG facilities receive assistance of a minimum 50 per cent of emissions. The steel industry receives a 10 per cent increase in permit allocations from 2016</w:t>
            </w:r>
            <w:r w:rsidRPr="00C41C94">
              <w:rPr>
                <w:b w:val="0"/>
              </w:rPr>
              <w:noBreakHyphen/>
              <w:t>17.  Assistance declines at an annual rat</w:t>
            </w:r>
            <w:r>
              <w:rPr>
                <w:b w:val="0"/>
              </w:rPr>
              <w:t xml:space="preserve">e of 1.3 per </w:t>
            </w:r>
            <w:r w:rsidRPr="00C41C94">
              <w:rPr>
                <w:b w:val="0"/>
              </w:rPr>
              <w:t xml:space="preserve">cent per year before being assumed to phase out in five steps beginning in 2022. </w:t>
            </w:r>
          </w:p>
          <w:p w:rsidR="001A6556" w:rsidRPr="00C41C94" w:rsidRDefault="001A6556" w:rsidP="00E011B7">
            <w:pPr>
              <w:pStyle w:val="TableTextLeft"/>
              <w:rPr>
                <w:b w:val="0"/>
              </w:rPr>
            </w:pPr>
            <w:r w:rsidRPr="00C41C94">
              <w:rPr>
                <w:b w:val="0"/>
              </w:rPr>
              <w:t>Estimates of activity level assistance for 2012</w:t>
            </w:r>
            <w:r w:rsidRPr="00C41C94">
              <w:rPr>
                <w:b w:val="0"/>
              </w:rPr>
              <w:noBreakHyphen/>
              <w:t>13 are allocated to MMRF industries based on currently approved activities and scaled with industry gross output in subsequent years.</w:t>
            </w:r>
          </w:p>
        </w:tc>
      </w:tr>
      <w:tr w:rsidR="001A6556" w:rsidRPr="00580BC8" w:rsidTr="00E011B7">
        <w:trPr>
          <w:cnfStyle w:val="010000000000"/>
          <w:trHeight w:val="270"/>
        </w:trPr>
        <w:tc>
          <w:tcPr>
            <w:cnfStyle w:val="001000000000"/>
            <w:tcW w:w="887" w:type="pct"/>
            <w:gridSpan w:val="2"/>
          </w:tcPr>
          <w:p w:rsidR="001A6556" w:rsidRPr="00580BC8" w:rsidRDefault="001A6556" w:rsidP="00E011B7">
            <w:pPr>
              <w:pStyle w:val="TableTextLeft"/>
            </w:pPr>
            <w:r w:rsidRPr="00580BC8">
              <w:t>Fuel</w:t>
            </w:r>
          </w:p>
        </w:tc>
        <w:tc>
          <w:tcPr>
            <w:cnfStyle w:val="000100000000"/>
            <w:tcW w:w="4113" w:type="pct"/>
            <w:gridSpan w:val="2"/>
          </w:tcPr>
          <w:p w:rsidR="001A6556" w:rsidRPr="00C41C94" w:rsidRDefault="001A6556" w:rsidP="00E011B7">
            <w:pPr>
              <w:pStyle w:val="TableTextLeft"/>
              <w:rPr>
                <w:b w:val="0"/>
              </w:rPr>
            </w:pPr>
            <w:r w:rsidRPr="00C41C94">
              <w:rPr>
                <w:b w:val="0"/>
              </w:rPr>
              <w:t>An effective carbon price is applied to: businesses’ combustion of liquid fuels from 2012-13 (except light vehicles, agriculture, forestry and fishing) and heavy on</w:t>
            </w:r>
            <w:r w:rsidRPr="00C41C94">
              <w:rPr>
                <w:b w:val="0"/>
              </w:rPr>
              <w:noBreakHyphen/>
              <w:t>road vehicles from 2014-15, through the fuel tax credit system; and aviation fuel from 2012</w:t>
            </w:r>
            <w:r w:rsidRPr="00C41C94">
              <w:rPr>
                <w:b w:val="0"/>
              </w:rPr>
              <w:noBreakHyphen/>
              <w:t>13 through the domestic aviation excise system. Private passenger cars are excluded.</w:t>
            </w:r>
          </w:p>
        </w:tc>
      </w:tr>
    </w:tbl>
    <w:p w:rsidR="001A6556" w:rsidRDefault="001A6556" w:rsidP="001A6556"/>
    <w:p w:rsidR="001A6556" w:rsidRDefault="001A6556" w:rsidP="001A6556">
      <w:pPr>
        <w:pStyle w:val="Heading3"/>
      </w:pPr>
      <w:r>
        <w:t>Scenarios defined</w:t>
      </w:r>
    </w:p>
    <w:p w:rsidR="001A6556" w:rsidRDefault="001A6556" w:rsidP="001A6556">
      <w:r>
        <w:t>With this background the four scenarios modelled in this report are as follows:</w:t>
      </w:r>
    </w:p>
    <w:p w:rsidR="001A6556" w:rsidRPr="007776A3" w:rsidRDefault="001A6556" w:rsidP="00E5753E">
      <w:pPr>
        <w:pStyle w:val="Bullet"/>
        <w:numPr>
          <w:ilvl w:val="0"/>
          <w:numId w:val="20"/>
        </w:numPr>
        <w:rPr>
          <w:rFonts w:ascii="Calibri" w:hAnsi="Calibri"/>
          <w:color w:val="auto"/>
        </w:rPr>
      </w:pPr>
      <w:r w:rsidRPr="007776A3">
        <w:rPr>
          <w:rFonts w:ascii="Calibri" w:hAnsi="Calibri"/>
          <w:b/>
          <w:color w:val="auto"/>
        </w:rPr>
        <w:t>Central policy scenario</w:t>
      </w:r>
      <w:r w:rsidRPr="007776A3">
        <w:rPr>
          <w:rFonts w:ascii="Calibri" w:hAnsi="Calibri"/>
          <w:color w:val="auto"/>
        </w:rPr>
        <w:t xml:space="preserve"> — Assumes a world with a 550 ppm stabilisation target and an Au</w:t>
      </w:r>
      <w:r>
        <w:rPr>
          <w:rFonts w:ascii="Calibri" w:hAnsi="Calibri"/>
          <w:color w:val="auto"/>
        </w:rPr>
        <w:t xml:space="preserve">stralian emission target of a 5 per </w:t>
      </w:r>
      <w:r w:rsidRPr="007776A3">
        <w:rPr>
          <w:rFonts w:ascii="Calibri" w:hAnsi="Calibri"/>
          <w:color w:val="auto"/>
        </w:rPr>
        <w:t>cent reduction on 2000 lev</w:t>
      </w:r>
      <w:r>
        <w:rPr>
          <w:rFonts w:ascii="Calibri" w:hAnsi="Calibri"/>
          <w:color w:val="auto"/>
        </w:rPr>
        <w:t xml:space="preserve">els by 2020 and an 80 per </w:t>
      </w:r>
      <w:r w:rsidRPr="007776A3">
        <w:rPr>
          <w:rFonts w:ascii="Calibri" w:hAnsi="Calibri"/>
          <w:color w:val="auto"/>
        </w:rPr>
        <w:t>cent reduction by 2050</w:t>
      </w:r>
    </w:p>
    <w:p w:rsidR="001A6556" w:rsidRPr="007776A3" w:rsidRDefault="001A6556" w:rsidP="00E5753E">
      <w:pPr>
        <w:pStyle w:val="Bullet"/>
        <w:numPr>
          <w:ilvl w:val="0"/>
          <w:numId w:val="20"/>
        </w:numPr>
        <w:rPr>
          <w:rFonts w:ascii="Calibri" w:hAnsi="Calibri"/>
          <w:color w:val="auto"/>
        </w:rPr>
      </w:pPr>
      <w:r w:rsidRPr="007776A3">
        <w:rPr>
          <w:rFonts w:ascii="Calibri" w:hAnsi="Calibri"/>
          <w:b/>
          <w:color w:val="auto"/>
        </w:rPr>
        <w:t>Low price scenario</w:t>
      </w:r>
      <w:r w:rsidRPr="007776A3">
        <w:rPr>
          <w:rFonts w:ascii="Calibri" w:hAnsi="Calibri"/>
          <w:color w:val="auto"/>
        </w:rPr>
        <w:t xml:space="preserve"> — </w:t>
      </w:r>
      <w:r w:rsidR="00FE2272">
        <w:rPr>
          <w:rFonts w:ascii="Calibri" w:hAnsi="Calibri"/>
          <w:color w:val="auto"/>
        </w:rPr>
        <w:t>The same as the central scenario except that the stabilisation target is reached at a later date such that the carbon price is initially lower but converges by 2030</w:t>
      </w:r>
    </w:p>
    <w:p w:rsidR="001A6556" w:rsidRPr="007776A3" w:rsidRDefault="001A6556" w:rsidP="00E5753E">
      <w:pPr>
        <w:pStyle w:val="Bullet"/>
        <w:numPr>
          <w:ilvl w:val="0"/>
          <w:numId w:val="20"/>
        </w:numPr>
        <w:rPr>
          <w:rFonts w:ascii="Calibri" w:hAnsi="Calibri"/>
          <w:color w:val="auto"/>
        </w:rPr>
      </w:pPr>
      <w:r w:rsidRPr="007776A3">
        <w:rPr>
          <w:rFonts w:ascii="Calibri" w:hAnsi="Calibri"/>
          <w:b/>
          <w:color w:val="auto"/>
        </w:rPr>
        <w:t>High price scenario</w:t>
      </w:r>
      <w:r w:rsidRPr="007776A3">
        <w:rPr>
          <w:rFonts w:ascii="Calibri" w:hAnsi="Calibri"/>
          <w:color w:val="auto"/>
        </w:rPr>
        <w:t xml:space="preserve"> — Assumes a world with more ambitious global action and an Australian emission target of a 25</w:t>
      </w:r>
      <w:r>
        <w:rPr>
          <w:rFonts w:ascii="Calibri" w:hAnsi="Calibri"/>
          <w:color w:val="auto"/>
        </w:rPr>
        <w:t xml:space="preserve"> </w:t>
      </w:r>
      <w:r w:rsidRPr="007776A3">
        <w:rPr>
          <w:rFonts w:ascii="Calibri" w:hAnsi="Calibri"/>
          <w:color w:val="auto"/>
        </w:rPr>
        <w:t>per</w:t>
      </w:r>
      <w:r>
        <w:rPr>
          <w:rFonts w:ascii="Calibri" w:hAnsi="Calibri"/>
          <w:color w:val="auto"/>
        </w:rPr>
        <w:t xml:space="preserve"> </w:t>
      </w:r>
      <w:r w:rsidRPr="007776A3">
        <w:rPr>
          <w:rFonts w:ascii="Calibri" w:hAnsi="Calibri"/>
          <w:color w:val="auto"/>
        </w:rPr>
        <w:t>cent reduction on 2000 levels by 2020 and an 80</w:t>
      </w:r>
      <w:r>
        <w:rPr>
          <w:rFonts w:ascii="Calibri" w:hAnsi="Calibri"/>
          <w:color w:val="auto"/>
        </w:rPr>
        <w:t xml:space="preserve"> </w:t>
      </w:r>
      <w:r w:rsidRPr="007776A3">
        <w:rPr>
          <w:rFonts w:ascii="Calibri" w:hAnsi="Calibri"/>
          <w:color w:val="auto"/>
        </w:rPr>
        <w:t>per</w:t>
      </w:r>
      <w:r>
        <w:rPr>
          <w:rFonts w:ascii="Calibri" w:hAnsi="Calibri"/>
          <w:color w:val="auto"/>
        </w:rPr>
        <w:t xml:space="preserve"> </w:t>
      </w:r>
      <w:r w:rsidRPr="007776A3">
        <w:rPr>
          <w:rFonts w:ascii="Calibri" w:hAnsi="Calibri"/>
          <w:color w:val="auto"/>
        </w:rPr>
        <w:t>cent reduction</w:t>
      </w:r>
      <w:r>
        <w:rPr>
          <w:rFonts w:ascii="Calibri" w:hAnsi="Calibri"/>
          <w:color w:val="auto"/>
        </w:rPr>
        <w:t xml:space="preserve"> by 2050</w:t>
      </w:r>
      <w:r w:rsidRPr="007776A3">
        <w:rPr>
          <w:rFonts w:ascii="Calibri" w:hAnsi="Calibri"/>
          <w:color w:val="auto"/>
        </w:rPr>
        <w:t xml:space="preserve"> </w:t>
      </w:r>
    </w:p>
    <w:p w:rsidR="001A6556" w:rsidRPr="007776A3" w:rsidRDefault="001A6556" w:rsidP="00E5753E">
      <w:pPr>
        <w:pStyle w:val="Bullet"/>
        <w:numPr>
          <w:ilvl w:val="0"/>
          <w:numId w:val="20"/>
        </w:numPr>
        <w:rPr>
          <w:rFonts w:ascii="Calibri" w:hAnsi="Calibri"/>
          <w:color w:val="auto"/>
        </w:rPr>
      </w:pPr>
      <w:r w:rsidRPr="007776A3">
        <w:rPr>
          <w:rFonts w:ascii="Calibri" w:hAnsi="Calibri"/>
          <w:b/>
          <w:color w:val="auto"/>
        </w:rPr>
        <w:t>No carbon price scenario</w:t>
      </w:r>
      <w:r w:rsidRPr="007776A3">
        <w:rPr>
          <w:rFonts w:ascii="Calibri" w:hAnsi="Calibri"/>
          <w:color w:val="auto"/>
        </w:rPr>
        <w:t xml:space="preserve"> – </w:t>
      </w:r>
      <w:r>
        <w:rPr>
          <w:rFonts w:ascii="Calibri" w:hAnsi="Calibri"/>
          <w:color w:val="auto"/>
        </w:rPr>
        <w:t xml:space="preserve">the same global context as the central scenario except that Australia does not participate and there is </w:t>
      </w:r>
      <w:r w:rsidRPr="007776A3">
        <w:rPr>
          <w:rFonts w:ascii="Calibri" w:hAnsi="Calibri"/>
          <w:color w:val="auto"/>
        </w:rPr>
        <w:t xml:space="preserve">no </w:t>
      </w:r>
      <w:r>
        <w:rPr>
          <w:rFonts w:ascii="Calibri" w:hAnsi="Calibri"/>
          <w:color w:val="auto"/>
        </w:rPr>
        <w:t xml:space="preserve">domestic </w:t>
      </w:r>
      <w:r w:rsidRPr="007776A3">
        <w:rPr>
          <w:rFonts w:ascii="Calibri" w:hAnsi="Calibri"/>
          <w:color w:val="auto"/>
        </w:rPr>
        <w:t>carbon price</w:t>
      </w:r>
      <w:r>
        <w:rPr>
          <w:rFonts w:ascii="Calibri" w:hAnsi="Calibri"/>
          <w:color w:val="auto"/>
        </w:rPr>
        <w:t>.</w:t>
      </w:r>
    </w:p>
    <w:p w:rsidR="00B44725" w:rsidRDefault="001A6556" w:rsidP="001A6556">
      <w:r>
        <w:t xml:space="preserve">The carbon prices associated with these policies are shown in </w:t>
      </w:r>
      <w:r w:rsidR="00C14EF7">
        <w:fldChar w:fldCharType="begin"/>
      </w:r>
      <w:r w:rsidR="00B44725">
        <w:instrText xml:space="preserve"> REF _Ref366059068 \h </w:instrText>
      </w:r>
      <w:r w:rsidR="00C14EF7">
        <w:fldChar w:fldCharType="separate"/>
      </w:r>
      <w:r w:rsidR="003E0F65">
        <w:t xml:space="preserve">Figure </w:t>
      </w:r>
      <w:r w:rsidR="003E0F65">
        <w:rPr>
          <w:noProof/>
        </w:rPr>
        <w:t>2</w:t>
      </w:r>
      <w:r w:rsidR="003E0F65">
        <w:noBreakHyphen/>
      </w:r>
      <w:r w:rsidR="003E0F65">
        <w:rPr>
          <w:noProof/>
        </w:rPr>
        <w:t>1</w:t>
      </w:r>
      <w:r w:rsidR="00C14EF7">
        <w:fldChar w:fldCharType="end"/>
      </w:r>
      <w:r w:rsidR="00B44725">
        <w:t>.</w:t>
      </w:r>
    </w:p>
    <w:p w:rsidR="00B44725" w:rsidRDefault="00B44725" w:rsidP="001A6556"/>
    <w:p w:rsidR="00B44725" w:rsidRDefault="00B44725" w:rsidP="001A6556"/>
    <w:p w:rsidR="001A6556" w:rsidRDefault="001A6556" w:rsidP="001A6556"/>
    <w:p w:rsidR="001A6556" w:rsidRDefault="001A6556" w:rsidP="001A6556">
      <w:r w:rsidRPr="007F069B">
        <w:rPr>
          <w:noProof/>
        </w:rPr>
        <w:lastRenderedPageBreak/>
        <w:drawing>
          <wp:inline distT="0" distB="0" distL="0" distR="0">
            <wp:extent cx="6120130" cy="3996675"/>
            <wp:effectExtent l="19050" t="0" r="0" b="0"/>
            <wp:docPr id="4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srcRect/>
                    <a:stretch>
                      <a:fillRect/>
                    </a:stretch>
                  </pic:blipFill>
                  <pic:spPr bwMode="auto">
                    <a:xfrm>
                      <a:off x="0" y="0"/>
                      <a:ext cx="6120130" cy="3996675"/>
                    </a:xfrm>
                    <a:prstGeom prst="rect">
                      <a:avLst/>
                    </a:prstGeom>
                    <a:noFill/>
                    <a:ln w="9525">
                      <a:noFill/>
                      <a:miter lim="800000"/>
                      <a:headEnd/>
                      <a:tailEnd/>
                    </a:ln>
                  </pic:spPr>
                </pic:pic>
              </a:graphicData>
            </a:graphic>
          </wp:inline>
        </w:drawing>
      </w:r>
    </w:p>
    <w:p w:rsidR="001A6556" w:rsidRDefault="00AB35C1" w:rsidP="00AB35C1">
      <w:pPr>
        <w:pStyle w:val="Caption"/>
      </w:pPr>
      <w:bookmarkStart w:id="12" w:name="_Ref366059068"/>
      <w:bookmarkStart w:id="13" w:name="_Toc366227328"/>
      <w:r>
        <w:t xml:space="preserve">Figure </w:t>
      </w:r>
      <w:r w:rsidR="00C14EF7">
        <w:fldChar w:fldCharType="begin"/>
      </w:r>
      <w:r w:rsidR="005B253B">
        <w:instrText xml:space="preserve"> STYLEREF 1 \s </w:instrText>
      </w:r>
      <w:r w:rsidR="00C14EF7">
        <w:fldChar w:fldCharType="separate"/>
      </w:r>
      <w:r w:rsidR="003E0F65">
        <w:rPr>
          <w:noProof/>
        </w:rPr>
        <w:t>2</w:t>
      </w:r>
      <w:r w:rsidR="00C14EF7">
        <w:fldChar w:fldCharType="end"/>
      </w:r>
      <w:r w:rsidR="005B253B">
        <w:noBreakHyphen/>
      </w:r>
      <w:r w:rsidR="00C14EF7">
        <w:fldChar w:fldCharType="begin"/>
      </w:r>
      <w:r w:rsidR="005B253B">
        <w:instrText xml:space="preserve"> SEQ Figure \* ARABIC \s 1 </w:instrText>
      </w:r>
      <w:r w:rsidR="00C14EF7">
        <w:fldChar w:fldCharType="separate"/>
      </w:r>
      <w:r w:rsidR="003E0F65">
        <w:rPr>
          <w:noProof/>
        </w:rPr>
        <w:t>1</w:t>
      </w:r>
      <w:r w:rsidR="00C14EF7">
        <w:fldChar w:fldCharType="end"/>
      </w:r>
      <w:bookmarkEnd w:id="12"/>
      <w:r w:rsidR="001A6556">
        <w:t>: Carb</w:t>
      </w:r>
      <w:r w:rsidR="001E107A">
        <w:t>on price assumption by scenario</w:t>
      </w:r>
      <w:bookmarkEnd w:id="13"/>
    </w:p>
    <w:p w:rsidR="001A6556" w:rsidRDefault="001A6556" w:rsidP="001A6556">
      <w:r>
        <w:t>Another very important scenario assumption is the oil price which also determines the gas price due to their partial substitutability in global energy trade. The price of oil can be an even stronger driver than carbon prices. To illustrate, a carbon price of $10/tCO</w:t>
      </w:r>
      <w:r w:rsidRPr="007F069B">
        <w:rPr>
          <w:vertAlign w:val="subscript"/>
        </w:rPr>
        <w:t>2</w:t>
      </w:r>
      <w:r>
        <w:t>e can increase the petrol price by around 2.5 cents per litre. However, oil price changes alone have been responsible for petrol price increase of around 60 cents per litre in the 10 years to 2013 – the equivalent of a $240/tCO</w:t>
      </w:r>
      <w:r w:rsidRPr="003B428A">
        <w:rPr>
          <w:vertAlign w:val="subscript"/>
        </w:rPr>
        <w:t>2</w:t>
      </w:r>
      <w:r>
        <w:t>e price signal.</w:t>
      </w:r>
      <w:r w:rsidR="00BD0A17">
        <w:t xml:space="preserve"> The consumer response to rise in oil prices has been more evident in adoption of higher fuel efficiency vehicles rather than any major changes to kilometres travelled.</w:t>
      </w:r>
    </w:p>
    <w:p w:rsidR="001A6556" w:rsidRDefault="001A6556" w:rsidP="001A6556">
      <w:r>
        <w:t>The scenarios all assume further increases in the price of oil</w:t>
      </w:r>
      <w:r w:rsidR="00647A2D">
        <w:t xml:space="preserve"> and gas and these assumptions are reported in the Department’s main report</w:t>
      </w:r>
      <w:r>
        <w:t xml:space="preserve">. Given the oil price change is very similar across the scenarios this assumption will not be a source of differences between the scenario projections. The most important impact of the assumed rising oil price, to around 2011-12 </w:t>
      </w:r>
      <w:proofErr w:type="gramStart"/>
      <w:r>
        <w:t>A$</w:t>
      </w:r>
      <w:proofErr w:type="gramEnd"/>
      <w:r>
        <w:t>190/bbl by 2035 is on the economic viability of alternative fuels. At this future oil price, nearly all types of alternative fuels will have some resources which are cost competitive with oil. In the assumptions section we outline how these oil and gas price assumptions impact prices of final fuels such as petrol, diesel and liquefied natural gas.</w:t>
      </w:r>
    </w:p>
    <w:p w:rsidR="00104E77" w:rsidRDefault="00104E77" w:rsidP="00104E77">
      <w:pPr>
        <w:pStyle w:val="Heading2"/>
      </w:pPr>
      <w:bookmarkStart w:id="14" w:name="_Toc366228032"/>
      <w:r>
        <w:t>Sensitivity cases overview</w:t>
      </w:r>
      <w:bookmarkEnd w:id="14"/>
    </w:p>
    <w:p w:rsidR="00104E77" w:rsidRDefault="00104E77" w:rsidP="001A6556">
      <w:r>
        <w:t>F</w:t>
      </w:r>
      <w:r w:rsidR="00B44725">
        <w:t>ive</w:t>
      </w:r>
      <w:r>
        <w:t xml:space="preserve"> sensitivity cases were modelled to examine the impact of some specific drivers or alternative assumptions. The sensitivity cases are as follows:</w:t>
      </w:r>
    </w:p>
    <w:p w:rsidR="00104E77" w:rsidRDefault="00104E77" w:rsidP="00E5753E">
      <w:pPr>
        <w:pStyle w:val="ListParagraph"/>
        <w:numPr>
          <w:ilvl w:val="0"/>
          <w:numId w:val="24"/>
        </w:numPr>
        <w:rPr>
          <w:rFonts w:asciiTheme="minorHAnsi" w:hAnsiTheme="minorHAnsi"/>
        </w:rPr>
      </w:pPr>
      <w:r w:rsidRPr="00AB35C1">
        <w:rPr>
          <w:rFonts w:asciiTheme="minorHAnsi" w:hAnsiTheme="minorHAnsi"/>
          <w:b/>
        </w:rPr>
        <w:lastRenderedPageBreak/>
        <w:t>Minimum emission standards for new cars</w:t>
      </w:r>
      <w:r w:rsidRPr="00AB35C1">
        <w:rPr>
          <w:rFonts w:asciiTheme="minorHAnsi" w:hAnsiTheme="minorHAnsi"/>
        </w:rPr>
        <w:t xml:space="preserve"> - </w:t>
      </w:r>
      <w:r w:rsidR="00AB35C1">
        <w:rPr>
          <w:rFonts w:asciiTheme="minorHAnsi" w:hAnsiTheme="minorHAnsi"/>
        </w:rPr>
        <w:t>a</w:t>
      </w:r>
      <w:r w:rsidR="00AB35C1" w:rsidRPr="00AB35C1">
        <w:rPr>
          <w:rFonts w:asciiTheme="minorHAnsi" w:hAnsiTheme="minorHAnsi"/>
        </w:rPr>
        <w:t xml:space="preserve"> sensitivity case </w:t>
      </w:r>
      <w:r w:rsidR="00AB35C1">
        <w:rPr>
          <w:rFonts w:asciiTheme="minorHAnsi" w:hAnsiTheme="minorHAnsi"/>
        </w:rPr>
        <w:t xml:space="preserve">which </w:t>
      </w:r>
      <w:r w:rsidR="00AB35C1" w:rsidRPr="00AB35C1">
        <w:rPr>
          <w:rFonts w:asciiTheme="minorHAnsi" w:hAnsiTheme="minorHAnsi"/>
        </w:rPr>
        <w:t>assumes that mandatory CO</w:t>
      </w:r>
      <w:r w:rsidR="00AB35C1" w:rsidRPr="00AB35C1">
        <w:rPr>
          <w:rFonts w:asciiTheme="minorHAnsi" w:hAnsiTheme="minorHAnsi"/>
          <w:vertAlign w:val="subscript"/>
        </w:rPr>
        <w:t>2</w:t>
      </w:r>
      <w:r w:rsidR="00AB35C1" w:rsidRPr="00AB35C1">
        <w:rPr>
          <w:rFonts w:asciiTheme="minorHAnsi" w:hAnsiTheme="minorHAnsi"/>
        </w:rPr>
        <w:t xml:space="preserve"> emissions standards on all (imported and domestically produced) new light vehicles (passenger and light commercial vehicles) apply from 2015. The average emissions for new light vehicles sold in Australia in the years 2015-2020 must meet </w:t>
      </w:r>
      <w:r w:rsidR="00AB35C1">
        <w:rPr>
          <w:rFonts w:asciiTheme="minorHAnsi" w:hAnsiTheme="minorHAnsi"/>
        </w:rPr>
        <w:t>a</w:t>
      </w:r>
      <w:r w:rsidR="00AB35C1" w:rsidRPr="00AB35C1">
        <w:rPr>
          <w:rFonts w:asciiTheme="minorHAnsi" w:hAnsiTheme="minorHAnsi"/>
        </w:rPr>
        <w:t>n average CO</w:t>
      </w:r>
      <w:r w:rsidR="00AB35C1" w:rsidRPr="00AB35C1">
        <w:rPr>
          <w:rFonts w:asciiTheme="minorHAnsi" w:hAnsiTheme="minorHAnsi"/>
          <w:vertAlign w:val="subscript"/>
        </w:rPr>
        <w:t>2</w:t>
      </w:r>
      <w:r w:rsidR="00AB35C1" w:rsidRPr="00AB35C1">
        <w:rPr>
          <w:rFonts w:asciiTheme="minorHAnsi" w:hAnsiTheme="minorHAnsi"/>
        </w:rPr>
        <w:t xml:space="preserve"> emissions target of 190g/km from 2015 onwards</w:t>
      </w:r>
      <w:r w:rsidR="00AB35C1">
        <w:rPr>
          <w:rFonts w:asciiTheme="minorHAnsi" w:hAnsiTheme="minorHAnsi"/>
        </w:rPr>
        <w:t xml:space="preserve"> and 130g/km from 2020 onwards.</w:t>
      </w:r>
    </w:p>
    <w:p w:rsidR="00AB35C1" w:rsidRPr="00AB35C1" w:rsidRDefault="00AB35C1" w:rsidP="00AB35C1">
      <w:pPr>
        <w:pStyle w:val="ListParagraph"/>
        <w:rPr>
          <w:rFonts w:asciiTheme="minorHAnsi" w:hAnsiTheme="minorHAnsi"/>
        </w:rPr>
      </w:pPr>
    </w:p>
    <w:p w:rsidR="00104E77" w:rsidRDefault="00104E77" w:rsidP="00E5753E">
      <w:pPr>
        <w:pStyle w:val="ListParagraph"/>
        <w:numPr>
          <w:ilvl w:val="0"/>
          <w:numId w:val="24"/>
        </w:numPr>
        <w:rPr>
          <w:rFonts w:asciiTheme="minorHAnsi" w:hAnsiTheme="minorHAnsi"/>
        </w:rPr>
      </w:pPr>
      <w:r w:rsidRPr="003B2ACE">
        <w:rPr>
          <w:rFonts w:asciiTheme="minorHAnsi" w:hAnsiTheme="minorHAnsi"/>
          <w:b/>
        </w:rPr>
        <w:t>No carbon price on heavy road vehicles from 2014</w:t>
      </w:r>
      <w:r w:rsidR="003B2ACE">
        <w:rPr>
          <w:rFonts w:asciiTheme="minorHAnsi" w:hAnsiTheme="minorHAnsi"/>
        </w:rPr>
        <w:t xml:space="preserve"> - </w:t>
      </w:r>
      <w:r w:rsidR="00AB35C1">
        <w:rPr>
          <w:rFonts w:asciiTheme="minorHAnsi" w:hAnsiTheme="minorHAnsi"/>
        </w:rPr>
        <w:t>a</w:t>
      </w:r>
      <w:r w:rsidR="00AB35C1" w:rsidRPr="00AB35C1">
        <w:rPr>
          <w:rFonts w:asciiTheme="minorHAnsi" w:hAnsiTheme="minorHAnsi"/>
        </w:rPr>
        <w:t xml:space="preserve"> sensitivity case </w:t>
      </w:r>
      <w:r w:rsidR="00AB35C1">
        <w:rPr>
          <w:rFonts w:asciiTheme="minorHAnsi" w:hAnsiTheme="minorHAnsi"/>
        </w:rPr>
        <w:t>which</w:t>
      </w:r>
      <w:r w:rsidR="00AB35C1" w:rsidRPr="00AE050D">
        <w:rPr>
          <w:rFonts w:asciiTheme="minorHAnsi" w:hAnsiTheme="minorHAnsi"/>
        </w:rPr>
        <w:t xml:space="preserve"> </w:t>
      </w:r>
      <w:r w:rsidR="00AE050D" w:rsidRPr="00AE050D">
        <w:rPr>
          <w:rFonts w:asciiTheme="minorHAnsi" w:hAnsiTheme="minorHAnsi"/>
        </w:rPr>
        <w:t xml:space="preserve">assumes that the heavy road vehicle segment of the transport sector (rigid trucks, articulated vehicles and buses) are exempt from a carbon price for the entire projection period. This sensitivity case essentially means that only the non-road transport sector is </w:t>
      </w:r>
      <w:r w:rsidR="00AE050D">
        <w:rPr>
          <w:rFonts w:asciiTheme="minorHAnsi" w:hAnsiTheme="minorHAnsi"/>
        </w:rPr>
        <w:t>subject to carbon pricing</w:t>
      </w:r>
    </w:p>
    <w:p w:rsidR="00AB35C1" w:rsidRPr="00AB35C1" w:rsidRDefault="00AB35C1" w:rsidP="00AB35C1">
      <w:pPr>
        <w:pStyle w:val="ListParagraph"/>
        <w:rPr>
          <w:rFonts w:asciiTheme="minorHAnsi" w:hAnsiTheme="minorHAnsi"/>
        </w:rPr>
      </w:pPr>
    </w:p>
    <w:p w:rsidR="00104E77" w:rsidRDefault="00104E77" w:rsidP="00E5753E">
      <w:pPr>
        <w:pStyle w:val="ListParagraph"/>
        <w:numPr>
          <w:ilvl w:val="0"/>
          <w:numId w:val="24"/>
        </w:numPr>
        <w:rPr>
          <w:rFonts w:asciiTheme="minorHAnsi" w:hAnsiTheme="minorHAnsi"/>
        </w:rPr>
      </w:pPr>
      <w:r w:rsidRPr="00886AB5">
        <w:rPr>
          <w:rFonts w:asciiTheme="minorHAnsi" w:hAnsiTheme="minorHAnsi"/>
          <w:b/>
        </w:rPr>
        <w:t>High oil prices</w:t>
      </w:r>
      <w:r w:rsidR="00886AB5">
        <w:rPr>
          <w:rFonts w:asciiTheme="minorHAnsi" w:hAnsiTheme="minorHAnsi"/>
        </w:rPr>
        <w:t xml:space="preserve"> – </w:t>
      </w:r>
      <w:r w:rsidR="003B2ACE">
        <w:rPr>
          <w:rFonts w:asciiTheme="minorHAnsi" w:hAnsiTheme="minorHAnsi"/>
        </w:rPr>
        <w:t xml:space="preserve">a </w:t>
      </w:r>
      <w:r w:rsidR="003B2ACE" w:rsidRPr="003B2ACE">
        <w:rPr>
          <w:rFonts w:asciiTheme="minorHAnsi" w:hAnsiTheme="minorHAnsi"/>
        </w:rPr>
        <w:t>sensitivity case t</w:t>
      </w:r>
      <w:r w:rsidR="003B2ACE">
        <w:rPr>
          <w:rFonts w:asciiTheme="minorHAnsi" w:hAnsiTheme="minorHAnsi"/>
        </w:rPr>
        <w:t>o gauge the impact of high</w:t>
      </w:r>
      <w:r w:rsidR="003B2ACE" w:rsidRPr="003B2ACE">
        <w:rPr>
          <w:rFonts w:asciiTheme="minorHAnsi" w:hAnsiTheme="minorHAnsi"/>
        </w:rPr>
        <w:t xml:space="preserve"> oil prices on the central policy scenario. Under the central policy scenario, oil prices are $134/bbl in 2020, $190/bbl in 2035, and are assumed to remain constant at that level to 2050. Under the </w:t>
      </w:r>
      <w:r w:rsidR="003B2ACE">
        <w:rPr>
          <w:rFonts w:asciiTheme="minorHAnsi" w:hAnsiTheme="minorHAnsi"/>
        </w:rPr>
        <w:t>high</w:t>
      </w:r>
      <w:r w:rsidR="003B2ACE" w:rsidRPr="003B2ACE">
        <w:rPr>
          <w:rFonts w:asciiTheme="minorHAnsi" w:hAnsiTheme="minorHAnsi"/>
        </w:rPr>
        <w:t xml:space="preserve"> oil price sensitivity case, oil prices are $144/bbl in 2020, $220/bbl in 2035, and are assumed to remain constant at that level to 2050. All prices are in 2011/12 Australian dollar terms</w:t>
      </w:r>
    </w:p>
    <w:p w:rsidR="00AB35C1" w:rsidRPr="00104E77" w:rsidRDefault="00AB35C1" w:rsidP="00AB35C1">
      <w:pPr>
        <w:pStyle w:val="ListParagraph"/>
        <w:rPr>
          <w:rFonts w:asciiTheme="minorHAnsi" w:hAnsiTheme="minorHAnsi"/>
        </w:rPr>
      </w:pPr>
    </w:p>
    <w:p w:rsidR="00104E77" w:rsidRDefault="00104E77" w:rsidP="00E5753E">
      <w:pPr>
        <w:pStyle w:val="ListParagraph"/>
        <w:numPr>
          <w:ilvl w:val="0"/>
          <w:numId w:val="24"/>
        </w:numPr>
        <w:rPr>
          <w:rFonts w:asciiTheme="minorHAnsi" w:hAnsiTheme="minorHAnsi"/>
        </w:rPr>
      </w:pPr>
      <w:r w:rsidRPr="00886AB5">
        <w:rPr>
          <w:rFonts w:asciiTheme="minorHAnsi" w:hAnsiTheme="minorHAnsi"/>
          <w:b/>
        </w:rPr>
        <w:t>Low oil prices</w:t>
      </w:r>
      <w:r w:rsidR="00886AB5">
        <w:rPr>
          <w:rFonts w:asciiTheme="minorHAnsi" w:hAnsiTheme="minorHAnsi"/>
        </w:rPr>
        <w:t xml:space="preserve"> - a sensitivity to gauge the impact of low</w:t>
      </w:r>
      <w:r w:rsidR="00886AB5" w:rsidRPr="00886AB5">
        <w:rPr>
          <w:rFonts w:asciiTheme="minorHAnsi" w:hAnsiTheme="minorHAnsi"/>
        </w:rPr>
        <w:t xml:space="preserve"> oil prices on the central policy scenario. Under the central policy scenario, oil prices are $134/bbl in 2020, $190/bbl in 2035, and are assumed to remain constant at th</w:t>
      </w:r>
      <w:r w:rsidR="00886AB5">
        <w:rPr>
          <w:rFonts w:asciiTheme="minorHAnsi" w:hAnsiTheme="minorHAnsi"/>
        </w:rPr>
        <w:t>at level to 2050. Under the low</w:t>
      </w:r>
      <w:r w:rsidR="00886AB5" w:rsidRPr="00886AB5">
        <w:rPr>
          <w:rFonts w:asciiTheme="minorHAnsi" w:hAnsiTheme="minorHAnsi"/>
        </w:rPr>
        <w:t xml:space="preserve"> oil price sensitivity case, oil prices are $125/bbl in 2020, $160/bbl in 2035, and are assumed to remain constant at that level to 2050. All prices are in 2011/12 Australian dollar terms.</w:t>
      </w:r>
    </w:p>
    <w:p w:rsidR="00AB35C1" w:rsidRPr="00104E77" w:rsidRDefault="00AB35C1" w:rsidP="00AB35C1">
      <w:pPr>
        <w:pStyle w:val="ListParagraph"/>
        <w:rPr>
          <w:rFonts w:asciiTheme="minorHAnsi" w:hAnsiTheme="minorHAnsi"/>
        </w:rPr>
      </w:pPr>
    </w:p>
    <w:p w:rsidR="00104E77" w:rsidRPr="00104E77" w:rsidRDefault="00104E77" w:rsidP="00E5753E">
      <w:pPr>
        <w:pStyle w:val="ListParagraph"/>
        <w:numPr>
          <w:ilvl w:val="0"/>
          <w:numId w:val="24"/>
        </w:numPr>
        <w:rPr>
          <w:rFonts w:asciiTheme="minorHAnsi" w:hAnsiTheme="minorHAnsi"/>
        </w:rPr>
      </w:pPr>
      <w:r w:rsidRPr="00886AB5">
        <w:rPr>
          <w:rFonts w:asciiTheme="minorHAnsi" w:hAnsiTheme="minorHAnsi"/>
          <w:b/>
        </w:rPr>
        <w:t>Emission trading commenced in 2015/16</w:t>
      </w:r>
      <w:r w:rsidR="00886AB5">
        <w:rPr>
          <w:rFonts w:asciiTheme="minorHAnsi" w:hAnsiTheme="minorHAnsi"/>
        </w:rPr>
        <w:t xml:space="preserve"> - </w:t>
      </w:r>
      <w:proofErr w:type="gramStart"/>
      <w:r w:rsidR="00886AB5" w:rsidRPr="00DE065A">
        <w:rPr>
          <w:rFonts w:asciiTheme="minorHAnsi" w:hAnsiTheme="minorHAnsi"/>
        </w:rPr>
        <w:t>a sensitivity</w:t>
      </w:r>
      <w:proofErr w:type="gramEnd"/>
      <w:r w:rsidR="00886AB5" w:rsidRPr="00DE065A">
        <w:rPr>
          <w:rFonts w:asciiTheme="minorHAnsi" w:hAnsiTheme="minorHAnsi"/>
        </w:rPr>
        <w:t xml:space="preserve"> on the central policy scenario assuming that Australia adopts an emissions trading scheme in 2015/16 rather than in </w:t>
      </w:r>
      <w:r w:rsidR="00F82AD5" w:rsidRPr="00DE065A">
        <w:rPr>
          <w:rFonts w:asciiTheme="minorHAnsi" w:hAnsiTheme="minorHAnsi"/>
        </w:rPr>
        <w:t>201</w:t>
      </w:r>
      <w:r w:rsidR="00F82AD5">
        <w:rPr>
          <w:rFonts w:asciiTheme="minorHAnsi" w:hAnsiTheme="minorHAnsi"/>
        </w:rPr>
        <w:t>4</w:t>
      </w:r>
      <w:r w:rsidR="00886AB5" w:rsidRPr="00DE065A">
        <w:rPr>
          <w:rFonts w:asciiTheme="minorHAnsi" w:hAnsiTheme="minorHAnsi"/>
        </w:rPr>
        <w:t>/</w:t>
      </w:r>
      <w:r w:rsidR="00F82AD5" w:rsidRPr="00DE065A">
        <w:rPr>
          <w:rFonts w:asciiTheme="minorHAnsi" w:hAnsiTheme="minorHAnsi"/>
        </w:rPr>
        <w:t>1</w:t>
      </w:r>
      <w:r w:rsidR="00F82AD5">
        <w:rPr>
          <w:rFonts w:asciiTheme="minorHAnsi" w:hAnsiTheme="minorHAnsi"/>
        </w:rPr>
        <w:t>5</w:t>
      </w:r>
      <w:r w:rsidR="00F82AD5" w:rsidRPr="00DE065A">
        <w:rPr>
          <w:rFonts w:asciiTheme="minorHAnsi" w:hAnsiTheme="minorHAnsi"/>
        </w:rPr>
        <w:t xml:space="preserve"> </w:t>
      </w:r>
      <w:r w:rsidR="00886AB5" w:rsidRPr="00DE065A">
        <w:rPr>
          <w:rFonts w:asciiTheme="minorHAnsi" w:hAnsiTheme="minorHAnsi"/>
        </w:rPr>
        <w:t>as under the central policy scenario</w:t>
      </w:r>
      <w:r w:rsidR="00B44725">
        <w:rPr>
          <w:rFonts w:asciiTheme="minorHAnsi" w:hAnsiTheme="minorHAnsi"/>
        </w:rPr>
        <w:t>.</w:t>
      </w:r>
    </w:p>
    <w:p w:rsidR="00104E77" w:rsidRPr="007F069B" w:rsidRDefault="00104E77" w:rsidP="001A6556"/>
    <w:p w:rsidR="001A6556" w:rsidRDefault="001A6556" w:rsidP="001A6556">
      <w:pPr>
        <w:pStyle w:val="Heading1"/>
      </w:pPr>
      <w:bookmarkStart w:id="15" w:name="_Toc366228033"/>
      <w:r>
        <w:lastRenderedPageBreak/>
        <w:t>Modelling methodology</w:t>
      </w:r>
      <w:bookmarkEnd w:id="15"/>
    </w:p>
    <w:p w:rsidR="00E0463D" w:rsidRDefault="00A65ED0" w:rsidP="00A65ED0">
      <w:r>
        <w:t>The road sector is particularly amenable to</w:t>
      </w:r>
      <w:r w:rsidR="00B96B1B">
        <w:t xml:space="preserve"> </w:t>
      </w:r>
      <w:r w:rsidR="00E0463D">
        <w:t xml:space="preserve">partial equilibrium </w:t>
      </w:r>
      <w:r>
        <w:t xml:space="preserve">modelling </w:t>
      </w:r>
      <w:r w:rsidR="00B96B1B">
        <w:t>of</w:t>
      </w:r>
      <w:r>
        <w:t xml:space="preserve"> vehicle, fuel and engine choices</w:t>
      </w:r>
      <w:r w:rsidR="00B96B1B">
        <w:t>. The</w:t>
      </w:r>
      <w:r w:rsidR="00692FE5">
        <w:t>re is sufficient data for the</w:t>
      </w:r>
      <w:r w:rsidR="00B96B1B">
        <w:t xml:space="preserve"> whole cost of road transport </w:t>
      </w:r>
      <w:r w:rsidR="00692FE5">
        <w:t>to</w:t>
      </w:r>
      <w:r w:rsidR="00B96B1B">
        <w:t xml:space="preserve"> be estimated and modelled as a consumer choice </w:t>
      </w:r>
      <w:r w:rsidR="00692FE5">
        <w:t xml:space="preserve">optimisation </w:t>
      </w:r>
      <w:r w:rsidR="00B96B1B">
        <w:t xml:space="preserve">problem. </w:t>
      </w:r>
      <w:r w:rsidR="00E0463D">
        <w:t>Data on v</w:t>
      </w:r>
      <w:r w:rsidR="00B96B1B">
        <w:t>ehicle</w:t>
      </w:r>
      <w:r w:rsidR="00E0463D">
        <w:t xml:space="preserve">s, </w:t>
      </w:r>
      <w:r w:rsidR="00B96B1B">
        <w:t>fuel</w:t>
      </w:r>
      <w:r w:rsidR="00E0463D">
        <w:t xml:space="preserve"> and</w:t>
      </w:r>
      <w:r w:rsidR="00B96B1B">
        <w:t xml:space="preserve"> insurance are </w:t>
      </w:r>
      <w:r w:rsidR="00E0463D">
        <w:t>transparently provided by various suppliers</w:t>
      </w:r>
      <w:r w:rsidR="00B96B1B">
        <w:t xml:space="preserve">. Government </w:t>
      </w:r>
      <w:r w:rsidR="00E0463D">
        <w:t>provide</w:t>
      </w:r>
      <w:r w:rsidR="00692FE5">
        <w:t>s</w:t>
      </w:r>
      <w:r w:rsidR="00E0463D">
        <w:t xml:space="preserve"> the excise framework and also </w:t>
      </w:r>
      <w:r w:rsidR="00B96B1B">
        <w:t>the essential</w:t>
      </w:r>
      <w:r>
        <w:t xml:space="preserve"> road infrastructure in response to demand</w:t>
      </w:r>
      <w:r w:rsidR="00B96B1B">
        <w:t xml:space="preserve"> but this </w:t>
      </w:r>
      <w:r w:rsidR="00692FE5">
        <w:t xml:space="preserve">additional </w:t>
      </w:r>
      <w:r w:rsidR="00B96B1B">
        <w:t>cost is socialised through the tax system</w:t>
      </w:r>
      <w:r w:rsidR="00E0463D">
        <w:t xml:space="preserve"> and so </w:t>
      </w:r>
      <w:r w:rsidR="00692FE5">
        <w:t xml:space="preserve">does </w:t>
      </w:r>
      <w:r w:rsidR="00E0463D">
        <w:t xml:space="preserve">need </w:t>
      </w:r>
      <w:r w:rsidR="00692FE5">
        <w:t xml:space="preserve">to </w:t>
      </w:r>
      <w:r w:rsidR="00E0463D">
        <w:t xml:space="preserve">be </w:t>
      </w:r>
      <w:r w:rsidR="00692FE5">
        <w:t xml:space="preserve">bundled with </w:t>
      </w:r>
      <w:r w:rsidR="00E0463D">
        <w:t xml:space="preserve">an individual’s </w:t>
      </w:r>
      <w:r w:rsidR="00692FE5">
        <w:t>selection of vehicle and fuel type</w:t>
      </w:r>
      <w:r w:rsidR="00E0463D">
        <w:t>.</w:t>
      </w:r>
    </w:p>
    <w:p w:rsidR="00A65ED0" w:rsidRPr="00A65ED0" w:rsidRDefault="00A65ED0" w:rsidP="00A65ED0">
      <w:r>
        <w:t>On the other hand the marine</w:t>
      </w:r>
      <w:r w:rsidR="00B96B1B">
        <w:t xml:space="preserve">, aviation and road sectors include more </w:t>
      </w:r>
      <w:r w:rsidR="008C79EC">
        <w:t xml:space="preserve">application </w:t>
      </w:r>
      <w:r w:rsidR="00692FE5">
        <w:t>dependent</w:t>
      </w:r>
      <w:r w:rsidR="00B96B1B">
        <w:t xml:space="preserve"> vehicles, less transparent cost components and</w:t>
      </w:r>
      <w:r w:rsidR="00E0463D">
        <w:t xml:space="preserve"> a greater</w:t>
      </w:r>
      <w:r w:rsidR="00B96B1B">
        <w:t xml:space="preserve"> degree of privatisation in the planning and supply of infrastructure such as ports, rail lines and airports</w:t>
      </w:r>
      <w:r w:rsidR="00692FE5">
        <w:t>. Decisions about the underlying infrastructure may need to be bundled together with the</w:t>
      </w:r>
      <w:r w:rsidR="008C79EC">
        <w:t xml:space="preserve"> vehicle </w:t>
      </w:r>
      <w:r w:rsidR="00692FE5">
        <w:t>purchase decision</w:t>
      </w:r>
      <w:r w:rsidR="00B96B1B">
        <w:t xml:space="preserve">. </w:t>
      </w:r>
      <w:r w:rsidR="00692FE5">
        <w:t>Consequently, m</w:t>
      </w:r>
      <w:r w:rsidR="00B96B1B">
        <w:t xml:space="preserve">odelling </w:t>
      </w:r>
      <w:r w:rsidR="00E0463D">
        <w:t>a generalised</w:t>
      </w:r>
      <w:r w:rsidR="00B96B1B">
        <w:t xml:space="preserve"> whole cost of </w:t>
      </w:r>
      <w:r w:rsidR="00E0463D">
        <w:t xml:space="preserve">transport in these </w:t>
      </w:r>
      <w:r w:rsidR="00692FE5">
        <w:t xml:space="preserve">non-road </w:t>
      </w:r>
      <w:r w:rsidR="00E0463D">
        <w:t xml:space="preserve">sectors cannot be approached with the same degree of confidence unless conducted at a finer spatial scale </w:t>
      </w:r>
      <w:r w:rsidR="008C79EC">
        <w:t xml:space="preserve">or on a more project specific basis </w:t>
      </w:r>
      <w:r w:rsidR="00E0463D">
        <w:t>than is practical for national emissions modelling. Consequently the road sector modelling applied in this report is strongly economics-based in the case of the road sector and more assumptions based in the case of the marine, aviation and rail sectors.</w:t>
      </w:r>
      <w:r w:rsidR="008C79EC">
        <w:t xml:space="preserve"> We expand on these approaches in the following sections.</w:t>
      </w:r>
    </w:p>
    <w:p w:rsidR="001A6556" w:rsidRDefault="001A6556" w:rsidP="001A6556">
      <w:pPr>
        <w:pStyle w:val="Heading2"/>
      </w:pPr>
      <w:bookmarkStart w:id="16" w:name="_Toc366228034"/>
      <w:r>
        <w:t>Non-road transport modes: projection methodology</w:t>
      </w:r>
      <w:bookmarkEnd w:id="16"/>
    </w:p>
    <w:p w:rsidR="001A6556" w:rsidRDefault="001A6556" w:rsidP="001A6556">
      <w:r>
        <w:t>This section describes the approach taken by CSIRO to model the non-road transport modes in the context of integrated bottom-up and top-down transport sector emissions projection modelling.</w:t>
      </w:r>
    </w:p>
    <w:p w:rsidR="001A6556" w:rsidRDefault="001A6556" w:rsidP="001A6556">
      <w:pPr>
        <w:pStyle w:val="Heading3"/>
      </w:pPr>
      <w:r>
        <w:t>Projecting activity demand</w:t>
      </w:r>
    </w:p>
    <w:p w:rsidR="001A6556" w:rsidRDefault="001A6556" w:rsidP="001A6556">
      <w:r>
        <w:t>Non-road transport is characterised by strong infrastructure constraints (port access, airports, rail lines) and long lived vehicle fleets (minimum 20 years life of assets the norm compared to over 90 per</w:t>
      </w:r>
      <w:r w:rsidR="00F82AD5">
        <w:t xml:space="preserve"> </w:t>
      </w:r>
      <w:r>
        <w:t>cent of road vehicles retired by this age). Ideally any modelling of non-road transport sectors would take into account these specific features. However, given the diversity of Australia’s states and the unpredictability of infrastructure investment CSIRO applies an alternative top-down based approach.</w:t>
      </w:r>
    </w:p>
    <w:p w:rsidR="001A6556" w:rsidRDefault="001A6556" w:rsidP="001A6556">
      <w:r>
        <w:t xml:space="preserve">The top-down approach assumes that demand is driven by population and industry activity that is a function of the general level of economic activity and that infrastructure needs will keep pace </w:t>
      </w:r>
      <w:proofErr w:type="gramStart"/>
      <w:r>
        <w:t>to meet</w:t>
      </w:r>
      <w:proofErr w:type="gramEnd"/>
      <w:r>
        <w:t xml:space="preserve"> that demand. A major advantage of this approach is that it is very amenable to modifying demand projections in response to scenarios that impact the economy in general such as major tax reform or industry restructuring.</w:t>
      </w:r>
    </w:p>
    <w:p w:rsidR="001A6556" w:rsidRDefault="001A6556" w:rsidP="001A6556">
      <w:r>
        <w:t xml:space="preserve">The approach is implemented across two models. Firstly, a general equilibrium model of the economy (in this case MMRF) is calibrated to recognise the current adoption rates and tendency towards saturation in non-road passenger demand growth. Industry output is recognised as the main driver of non-road freight demand growth such that as industries that </w:t>
      </w:r>
      <w:r>
        <w:lastRenderedPageBreak/>
        <w:t>require freight as an input</w:t>
      </w:r>
      <w:r w:rsidR="00F82AD5" w:rsidRPr="00F82AD5">
        <w:t xml:space="preserve"> </w:t>
      </w:r>
      <w:r w:rsidR="00F82AD5">
        <w:t>expand</w:t>
      </w:r>
      <w:r>
        <w:t>, freight demand expands accordingly. MMRF also implements an elasticity which allows for a modest amount of mode substitution between road and rail freight.</w:t>
      </w:r>
    </w:p>
    <w:p w:rsidR="001A6556" w:rsidRDefault="001A6556" w:rsidP="001A6556">
      <w:r>
        <w:t>The non-road transport passenger and freight demand growth projection from MMRF is fed into a second model which converts the projection, which is expressed as a growth index, into physical units of transport such as passenger and tonne kilometres. The growth rates for the passenger task are applied directly to extend baseline passenger kilometres into the future. However, for the freight task we assume that task efficiency improvements will mean that tonne kilometres increase more slowly than the MMRF index (which is interpreted as tonnes of freight). The rate of improvement in task efficiency is extrapolated from past observations.</w:t>
      </w:r>
    </w:p>
    <w:p w:rsidR="001A6556" w:rsidRDefault="001A6556" w:rsidP="001A6556">
      <w:pPr>
        <w:pStyle w:val="Heading3"/>
      </w:pPr>
      <w:r>
        <w:t>Projecting fuel demand</w:t>
      </w:r>
    </w:p>
    <w:p w:rsidR="001A6556" w:rsidRDefault="001A6556" w:rsidP="001A6556">
      <w:r>
        <w:t xml:space="preserve">Fuel demand is projected by applying </w:t>
      </w:r>
      <w:proofErr w:type="gramStart"/>
      <w:r>
        <w:t>a fuel</w:t>
      </w:r>
      <w:proofErr w:type="gramEnd"/>
      <w:r>
        <w:t xml:space="preserve"> energy efficiency (MJ/km) improvement rate to the projected growth in non-road transport activity demand (km). The projected change in fuel efficiency represents a collection of multiple drivers for each mode. For example, in rail it could include regenerative breaking or alternative conversion technologies such as fuel cells. In marine transport it could include higher quality fuel, streamlining port logistics and tailoring shipping routes to expected weather and currents. In air transport it could include air traffic management and operation, aircraft light weighting and airframe aerodynamics.</w:t>
      </w:r>
    </w:p>
    <w:p w:rsidR="001A6556" w:rsidRDefault="001A6556" w:rsidP="001A6556">
      <w:r>
        <w:t>Future fuel efficiency estimates are taken from the literature and imposed for each scenario. As a general rule, given most fuel efficiency improvements are self-financing via fuel cost savings, around half of the available efficiency improvement potential described in the literature is assumed to occur under business as usual conditions. Under further economic drivers such as higher oil or carbon prices, a portion of the remainder of the efficiency improvement potential is assumed to be accessible.</w:t>
      </w:r>
    </w:p>
    <w:p w:rsidR="001A6556" w:rsidRDefault="001A6556" w:rsidP="001A6556">
      <w:pPr>
        <w:pStyle w:val="Heading3"/>
      </w:pPr>
      <w:r>
        <w:t>Fuel selection</w:t>
      </w:r>
    </w:p>
    <w:p w:rsidR="001A6556" w:rsidRDefault="001A6556" w:rsidP="001A6556">
      <w:r>
        <w:t xml:space="preserve">Given the long lived nature of non-road transport vehicles, fuel choice is one of the most important options available to the non-road sector for reducing greenhouse gas emissions given its relative flexibility. For most of the projection period we would expect non-road vehicles and the engines they employ to be largely the same as today. </w:t>
      </w:r>
      <w:r w:rsidR="00C14EF7">
        <w:fldChar w:fldCharType="begin"/>
      </w:r>
      <w:r w:rsidR="00AB35C1">
        <w:instrText xml:space="preserve"> REF _Ref365655654 \h </w:instrText>
      </w:r>
      <w:r w:rsidR="00C14EF7">
        <w:fldChar w:fldCharType="separate"/>
      </w:r>
      <w:r w:rsidR="003E0F65">
        <w:t xml:space="preserve">Table </w:t>
      </w:r>
      <w:r w:rsidR="003E0F65">
        <w:rPr>
          <w:noProof/>
        </w:rPr>
        <w:t>3</w:t>
      </w:r>
      <w:r w:rsidR="003E0F65">
        <w:noBreakHyphen/>
      </w:r>
      <w:r w:rsidR="003E0F65">
        <w:rPr>
          <w:noProof/>
        </w:rPr>
        <w:t>1</w:t>
      </w:r>
      <w:r w:rsidR="00C14EF7">
        <w:fldChar w:fldCharType="end"/>
      </w:r>
      <w:r>
        <w:t xml:space="preserve"> below describes the fuel use options that we allow for each non-road sector.</w:t>
      </w:r>
    </w:p>
    <w:p w:rsidR="00B44725" w:rsidRDefault="00B44725" w:rsidP="001A6556"/>
    <w:p w:rsidR="00B44725" w:rsidRDefault="00B44725" w:rsidP="001A6556"/>
    <w:p w:rsidR="00B44725" w:rsidRDefault="00B44725" w:rsidP="001A6556"/>
    <w:p w:rsidR="00B44725" w:rsidRDefault="00B44725" w:rsidP="001A6556"/>
    <w:p w:rsidR="00B44725" w:rsidRDefault="00B44725" w:rsidP="001A6556"/>
    <w:p w:rsidR="00B44725" w:rsidRDefault="00B44725" w:rsidP="001A6556"/>
    <w:p w:rsidR="00B44725" w:rsidRDefault="00B44725" w:rsidP="001A6556"/>
    <w:p w:rsidR="00B44725" w:rsidRDefault="00B44725" w:rsidP="001A6556"/>
    <w:p w:rsidR="001A6556" w:rsidRDefault="001A6556" w:rsidP="001A6556">
      <w:pPr>
        <w:pStyle w:val="Caption"/>
      </w:pPr>
      <w:bookmarkStart w:id="17" w:name="_Ref365655654"/>
      <w:bookmarkStart w:id="18" w:name="_Toc366227378"/>
      <w:r>
        <w:lastRenderedPageBreak/>
        <w:t xml:space="preserve">Table </w:t>
      </w:r>
      <w:r w:rsidR="00C14EF7">
        <w:fldChar w:fldCharType="begin"/>
      </w:r>
      <w:r w:rsidR="00970F7D">
        <w:instrText xml:space="preserve"> STYLEREF 1 \s </w:instrText>
      </w:r>
      <w:r w:rsidR="00C14EF7">
        <w:fldChar w:fldCharType="separate"/>
      </w:r>
      <w:r w:rsidR="003E0F65">
        <w:rPr>
          <w:noProof/>
        </w:rPr>
        <w:t>3</w:t>
      </w:r>
      <w:r w:rsidR="00C14EF7">
        <w:rPr>
          <w:noProof/>
        </w:rPr>
        <w:fldChar w:fldCharType="end"/>
      </w:r>
      <w:r w:rsidR="00AB35C1">
        <w:noBreakHyphen/>
      </w:r>
      <w:r w:rsidR="00C14EF7">
        <w:fldChar w:fldCharType="begin"/>
      </w:r>
      <w:r w:rsidR="00970F7D">
        <w:instrText xml:space="preserve"> SEQ Table \* ARABIC \s 1 </w:instrText>
      </w:r>
      <w:r w:rsidR="00C14EF7">
        <w:fldChar w:fldCharType="separate"/>
      </w:r>
      <w:r w:rsidR="003E0F65">
        <w:rPr>
          <w:noProof/>
        </w:rPr>
        <w:t>1</w:t>
      </w:r>
      <w:r w:rsidR="00C14EF7">
        <w:rPr>
          <w:noProof/>
        </w:rPr>
        <w:fldChar w:fldCharType="end"/>
      </w:r>
      <w:bookmarkEnd w:id="17"/>
      <w:r>
        <w:t>: Allowable mode and fuel combinations</w:t>
      </w:r>
      <w:bookmarkEnd w:id="18"/>
    </w:p>
    <w:tbl>
      <w:tblPr>
        <w:tblStyle w:val="LightList-Accent12"/>
        <w:tblW w:w="5000" w:type="pct"/>
        <w:tblLook w:val="04A0"/>
      </w:tblPr>
      <w:tblGrid>
        <w:gridCol w:w="2735"/>
        <w:gridCol w:w="2231"/>
        <w:gridCol w:w="1680"/>
        <w:gridCol w:w="2067"/>
      </w:tblGrid>
      <w:tr w:rsidR="001A6556" w:rsidRPr="00B11096" w:rsidTr="00E011B7">
        <w:trPr>
          <w:cnfStyle w:val="100000000000"/>
          <w:trHeight w:val="397"/>
        </w:trPr>
        <w:tc>
          <w:tcPr>
            <w:cnfStyle w:val="001000000000"/>
            <w:tcW w:w="1570" w:type="pct"/>
            <w:hideMark/>
          </w:tcPr>
          <w:p w:rsidR="001A6556" w:rsidRPr="00B11096" w:rsidRDefault="001A6556" w:rsidP="00E011B7">
            <w:pPr>
              <w:rPr>
                <w:rFonts w:eastAsia="Times New Roman"/>
                <w:color w:val="FFFFFF"/>
              </w:rPr>
            </w:pPr>
            <w:r w:rsidRPr="00B11096">
              <w:rPr>
                <w:rFonts w:eastAsia="Times New Roman"/>
              </w:rPr>
              <w:t> </w:t>
            </w:r>
          </w:p>
        </w:tc>
        <w:tc>
          <w:tcPr>
            <w:tcW w:w="1280" w:type="pct"/>
            <w:hideMark/>
          </w:tcPr>
          <w:p w:rsidR="001A6556" w:rsidRPr="00B11096" w:rsidRDefault="001A6556" w:rsidP="00E011B7">
            <w:pPr>
              <w:cnfStyle w:val="100000000000"/>
              <w:rPr>
                <w:rFonts w:eastAsia="Times New Roman"/>
              </w:rPr>
            </w:pPr>
            <w:r w:rsidRPr="00B11096">
              <w:rPr>
                <w:rFonts w:eastAsia="Times New Roman"/>
              </w:rPr>
              <w:t>Aviation</w:t>
            </w:r>
          </w:p>
        </w:tc>
        <w:tc>
          <w:tcPr>
            <w:tcW w:w="964" w:type="pct"/>
            <w:hideMark/>
          </w:tcPr>
          <w:p w:rsidR="001A6556" w:rsidRPr="00B11096" w:rsidRDefault="001A6556" w:rsidP="00E011B7">
            <w:pPr>
              <w:cnfStyle w:val="100000000000"/>
              <w:rPr>
                <w:rFonts w:eastAsia="Times New Roman"/>
              </w:rPr>
            </w:pPr>
            <w:r w:rsidRPr="00B11096">
              <w:rPr>
                <w:rFonts w:eastAsia="Times New Roman"/>
              </w:rPr>
              <w:t>Rail</w:t>
            </w:r>
          </w:p>
        </w:tc>
        <w:tc>
          <w:tcPr>
            <w:tcW w:w="1186" w:type="pct"/>
            <w:hideMark/>
          </w:tcPr>
          <w:p w:rsidR="001A6556" w:rsidRPr="00B11096" w:rsidRDefault="001A6556" w:rsidP="00E011B7">
            <w:pPr>
              <w:cnfStyle w:val="100000000000"/>
              <w:rPr>
                <w:rFonts w:eastAsia="Times New Roman"/>
              </w:rPr>
            </w:pPr>
            <w:r w:rsidRPr="00B11096">
              <w:rPr>
                <w:rFonts w:eastAsia="Times New Roman"/>
              </w:rPr>
              <w:t>Marine</w:t>
            </w:r>
          </w:p>
        </w:tc>
      </w:tr>
      <w:tr w:rsidR="001A6556" w:rsidRPr="00B11096" w:rsidTr="00E011B7">
        <w:trPr>
          <w:cnfStyle w:val="000000100000"/>
          <w:trHeight w:val="397"/>
        </w:trPr>
        <w:tc>
          <w:tcPr>
            <w:cnfStyle w:val="001000000000"/>
            <w:tcW w:w="1570" w:type="pct"/>
            <w:hideMark/>
          </w:tcPr>
          <w:p w:rsidR="001A6556" w:rsidRPr="00B11096" w:rsidRDefault="001A6556" w:rsidP="00E011B7">
            <w:pPr>
              <w:rPr>
                <w:rFonts w:eastAsia="Times New Roman"/>
              </w:rPr>
            </w:pPr>
            <w:r w:rsidRPr="00B11096">
              <w:rPr>
                <w:rFonts w:eastAsia="Times New Roman"/>
              </w:rPr>
              <w:t>Jet fuel</w:t>
            </w:r>
          </w:p>
        </w:tc>
        <w:tc>
          <w:tcPr>
            <w:tcW w:w="1280" w:type="pct"/>
            <w:hideMark/>
          </w:tcPr>
          <w:p w:rsidR="001A6556" w:rsidRPr="00B11096" w:rsidRDefault="001A6556" w:rsidP="00E011B7">
            <w:pPr>
              <w:cnfStyle w:val="000000100000"/>
              <w:rPr>
                <w:rFonts w:ascii="Wingdings" w:eastAsia="Times New Roman" w:hAnsi="Wingdings"/>
              </w:rPr>
            </w:pPr>
            <w:r w:rsidRPr="00B11096">
              <w:rPr>
                <w:rFonts w:ascii="Wingdings" w:eastAsia="Times New Roman" w:hAnsi="Wingdings"/>
              </w:rPr>
              <w:sym w:font="Wingdings" w:char="00FC"/>
            </w:r>
          </w:p>
        </w:tc>
        <w:tc>
          <w:tcPr>
            <w:tcW w:w="964" w:type="pct"/>
            <w:hideMark/>
          </w:tcPr>
          <w:p w:rsidR="001A6556" w:rsidRPr="00B11096" w:rsidRDefault="001A6556" w:rsidP="00E011B7">
            <w:pPr>
              <w:cnfStyle w:val="000000100000"/>
              <w:rPr>
                <w:rFonts w:eastAsia="Times New Roman"/>
              </w:rPr>
            </w:pPr>
          </w:p>
        </w:tc>
        <w:tc>
          <w:tcPr>
            <w:tcW w:w="1186" w:type="pct"/>
            <w:hideMark/>
          </w:tcPr>
          <w:p w:rsidR="001A6556" w:rsidRPr="00B11096" w:rsidRDefault="001A6556" w:rsidP="00E011B7">
            <w:pPr>
              <w:cnfStyle w:val="000000100000"/>
              <w:rPr>
                <w:rFonts w:eastAsia="Times New Roman"/>
              </w:rPr>
            </w:pPr>
          </w:p>
        </w:tc>
      </w:tr>
      <w:tr w:rsidR="001A6556" w:rsidRPr="00B11096" w:rsidTr="00E011B7">
        <w:trPr>
          <w:trHeight w:val="397"/>
        </w:trPr>
        <w:tc>
          <w:tcPr>
            <w:cnfStyle w:val="001000000000"/>
            <w:tcW w:w="1570" w:type="pct"/>
            <w:hideMark/>
          </w:tcPr>
          <w:p w:rsidR="001A6556" w:rsidRPr="00B11096" w:rsidRDefault="001A6556" w:rsidP="00E011B7">
            <w:pPr>
              <w:rPr>
                <w:rFonts w:eastAsia="Times New Roman"/>
              </w:rPr>
            </w:pPr>
            <w:r w:rsidRPr="00B11096">
              <w:rPr>
                <w:rFonts w:eastAsia="Times New Roman"/>
              </w:rPr>
              <w:t>Bioderived jet fuel</w:t>
            </w:r>
          </w:p>
        </w:tc>
        <w:tc>
          <w:tcPr>
            <w:tcW w:w="1280" w:type="pct"/>
            <w:hideMark/>
          </w:tcPr>
          <w:p w:rsidR="001A6556" w:rsidRPr="00B11096" w:rsidRDefault="001A6556" w:rsidP="00E011B7">
            <w:pPr>
              <w:cnfStyle w:val="000000000000"/>
              <w:rPr>
                <w:rFonts w:ascii="Wingdings" w:eastAsia="Times New Roman" w:hAnsi="Wingdings"/>
              </w:rPr>
            </w:pPr>
            <w:r w:rsidRPr="00B11096">
              <w:rPr>
                <w:rFonts w:ascii="Wingdings" w:eastAsia="Times New Roman" w:hAnsi="Wingdings"/>
              </w:rPr>
              <w:sym w:font="Wingdings" w:char="00FC"/>
            </w:r>
          </w:p>
        </w:tc>
        <w:tc>
          <w:tcPr>
            <w:tcW w:w="964" w:type="pct"/>
            <w:hideMark/>
          </w:tcPr>
          <w:p w:rsidR="001A6556" w:rsidRPr="00B11096" w:rsidRDefault="001A6556" w:rsidP="00E011B7">
            <w:pPr>
              <w:cnfStyle w:val="000000000000"/>
              <w:rPr>
                <w:rFonts w:eastAsia="Times New Roman"/>
              </w:rPr>
            </w:pPr>
          </w:p>
        </w:tc>
        <w:tc>
          <w:tcPr>
            <w:tcW w:w="1186" w:type="pct"/>
            <w:hideMark/>
          </w:tcPr>
          <w:p w:rsidR="001A6556" w:rsidRPr="00B11096" w:rsidRDefault="001A6556" w:rsidP="00E011B7">
            <w:pPr>
              <w:cnfStyle w:val="000000000000"/>
              <w:rPr>
                <w:rFonts w:eastAsia="Times New Roman"/>
              </w:rPr>
            </w:pPr>
          </w:p>
        </w:tc>
      </w:tr>
      <w:tr w:rsidR="001A6556" w:rsidRPr="00B11096" w:rsidTr="00E011B7">
        <w:trPr>
          <w:cnfStyle w:val="000000100000"/>
          <w:trHeight w:val="397"/>
        </w:trPr>
        <w:tc>
          <w:tcPr>
            <w:cnfStyle w:val="001000000000"/>
            <w:tcW w:w="1570" w:type="pct"/>
            <w:hideMark/>
          </w:tcPr>
          <w:p w:rsidR="001A6556" w:rsidRPr="00B11096" w:rsidRDefault="001A6556" w:rsidP="00E011B7">
            <w:pPr>
              <w:rPr>
                <w:rFonts w:eastAsia="Times New Roman"/>
                <w:bCs w:val="0"/>
              </w:rPr>
            </w:pPr>
            <w:r>
              <w:rPr>
                <w:rFonts w:eastAsia="Times New Roman"/>
                <w:bCs w:val="0"/>
              </w:rPr>
              <w:t>G</w:t>
            </w:r>
            <w:r w:rsidRPr="00B11096">
              <w:rPr>
                <w:rFonts w:eastAsia="Times New Roman"/>
                <w:bCs w:val="0"/>
              </w:rPr>
              <w:t>asoline</w:t>
            </w:r>
          </w:p>
        </w:tc>
        <w:tc>
          <w:tcPr>
            <w:tcW w:w="1280" w:type="pct"/>
            <w:hideMark/>
          </w:tcPr>
          <w:p w:rsidR="001A6556" w:rsidRPr="00B11096" w:rsidRDefault="001A6556" w:rsidP="00E011B7">
            <w:pPr>
              <w:cnfStyle w:val="000000100000"/>
              <w:rPr>
                <w:rFonts w:ascii="Wingdings" w:eastAsia="Times New Roman" w:hAnsi="Wingdings"/>
              </w:rPr>
            </w:pPr>
            <w:r w:rsidRPr="00B11096">
              <w:rPr>
                <w:rFonts w:ascii="Wingdings" w:eastAsia="Times New Roman" w:hAnsi="Wingdings"/>
              </w:rPr>
              <w:sym w:font="Wingdings" w:char="00FC"/>
            </w:r>
          </w:p>
        </w:tc>
        <w:tc>
          <w:tcPr>
            <w:tcW w:w="964" w:type="pct"/>
            <w:hideMark/>
          </w:tcPr>
          <w:p w:rsidR="001A6556" w:rsidRPr="00B11096" w:rsidRDefault="001A6556" w:rsidP="00E011B7">
            <w:pPr>
              <w:cnfStyle w:val="000000100000"/>
              <w:rPr>
                <w:rFonts w:eastAsia="Times New Roman"/>
              </w:rPr>
            </w:pPr>
          </w:p>
        </w:tc>
        <w:tc>
          <w:tcPr>
            <w:tcW w:w="1186" w:type="pct"/>
            <w:hideMark/>
          </w:tcPr>
          <w:p w:rsidR="001A6556" w:rsidRPr="00B11096" w:rsidRDefault="001A6556" w:rsidP="00E011B7">
            <w:pPr>
              <w:cnfStyle w:val="000000100000"/>
              <w:rPr>
                <w:rFonts w:eastAsia="Times New Roman"/>
              </w:rPr>
            </w:pPr>
            <w:r w:rsidRPr="00B11096">
              <w:rPr>
                <w:rFonts w:ascii="Wingdings" w:eastAsia="Times New Roman" w:hAnsi="Wingdings"/>
              </w:rPr>
              <w:sym w:font="Wingdings" w:char="00FC"/>
            </w:r>
          </w:p>
        </w:tc>
      </w:tr>
      <w:tr w:rsidR="001A6556" w:rsidRPr="00B11096" w:rsidTr="00E011B7">
        <w:trPr>
          <w:trHeight w:val="397"/>
        </w:trPr>
        <w:tc>
          <w:tcPr>
            <w:cnfStyle w:val="001000000000"/>
            <w:tcW w:w="1570" w:type="pct"/>
            <w:hideMark/>
          </w:tcPr>
          <w:p w:rsidR="001A6556" w:rsidRPr="00B11096" w:rsidRDefault="001A6556" w:rsidP="00E011B7">
            <w:pPr>
              <w:rPr>
                <w:rFonts w:eastAsia="Times New Roman"/>
              </w:rPr>
            </w:pPr>
            <w:r w:rsidRPr="00B11096">
              <w:rPr>
                <w:rFonts w:eastAsia="Times New Roman"/>
              </w:rPr>
              <w:t>Electricity</w:t>
            </w:r>
          </w:p>
        </w:tc>
        <w:tc>
          <w:tcPr>
            <w:tcW w:w="1280" w:type="pct"/>
            <w:hideMark/>
          </w:tcPr>
          <w:p w:rsidR="001A6556" w:rsidRPr="00B11096" w:rsidRDefault="001A6556" w:rsidP="00E011B7">
            <w:pPr>
              <w:cnfStyle w:val="000000000000"/>
              <w:rPr>
                <w:rFonts w:eastAsia="Times New Roman"/>
              </w:rPr>
            </w:pPr>
          </w:p>
        </w:tc>
        <w:tc>
          <w:tcPr>
            <w:tcW w:w="964" w:type="pct"/>
            <w:hideMark/>
          </w:tcPr>
          <w:p w:rsidR="001A6556" w:rsidRPr="00B11096" w:rsidRDefault="001A6556" w:rsidP="00E011B7">
            <w:pPr>
              <w:cnfStyle w:val="000000000000"/>
              <w:rPr>
                <w:rFonts w:ascii="Wingdings" w:eastAsia="Times New Roman" w:hAnsi="Wingdings"/>
              </w:rPr>
            </w:pPr>
            <w:r w:rsidRPr="00B11096">
              <w:rPr>
                <w:rFonts w:ascii="Wingdings" w:eastAsia="Times New Roman" w:hAnsi="Wingdings"/>
              </w:rPr>
              <w:sym w:font="Wingdings" w:char="00FC"/>
            </w:r>
          </w:p>
        </w:tc>
        <w:tc>
          <w:tcPr>
            <w:tcW w:w="1186" w:type="pct"/>
            <w:hideMark/>
          </w:tcPr>
          <w:p w:rsidR="001A6556" w:rsidRPr="00B11096" w:rsidRDefault="001A6556" w:rsidP="00E011B7">
            <w:pPr>
              <w:cnfStyle w:val="000000000000"/>
              <w:rPr>
                <w:rFonts w:eastAsia="Times New Roman"/>
              </w:rPr>
            </w:pPr>
          </w:p>
        </w:tc>
      </w:tr>
      <w:tr w:rsidR="001A6556" w:rsidRPr="00B11096" w:rsidTr="00E011B7">
        <w:trPr>
          <w:cnfStyle w:val="000000100000"/>
          <w:trHeight w:val="397"/>
        </w:trPr>
        <w:tc>
          <w:tcPr>
            <w:cnfStyle w:val="001000000000"/>
            <w:tcW w:w="1570" w:type="pct"/>
            <w:hideMark/>
          </w:tcPr>
          <w:p w:rsidR="001A6556" w:rsidRPr="00B11096" w:rsidRDefault="001A6556" w:rsidP="00E011B7">
            <w:pPr>
              <w:rPr>
                <w:rFonts w:eastAsia="Times New Roman"/>
              </w:rPr>
            </w:pPr>
            <w:r w:rsidRPr="00B11096">
              <w:rPr>
                <w:rFonts w:eastAsia="Times New Roman"/>
              </w:rPr>
              <w:t>Diesel</w:t>
            </w:r>
          </w:p>
        </w:tc>
        <w:tc>
          <w:tcPr>
            <w:tcW w:w="1280" w:type="pct"/>
            <w:hideMark/>
          </w:tcPr>
          <w:p w:rsidR="001A6556" w:rsidRPr="00B11096" w:rsidRDefault="001A6556" w:rsidP="00E011B7">
            <w:pPr>
              <w:cnfStyle w:val="000000100000"/>
              <w:rPr>
                <w:rFonts w:eastAsia="Times New Roman"/>
              </w:rPr>
            </w:pPr>
          </w:p>
        </w:tc>
        <w:tc>
          <w:tcPr>
            <w:tcW w:w="964" w:type="pct"/>
            <w:hideMark/>
          </w:tcPr>
          <w:p w:rsidR="001A6556" w:rsidRPr="00B11096" w:rsidRDefault="001A6556" w:rsidP="00E011B7">
            <w:pPr>
              <w:cnfStyle w:val="000000100000"/>
              <w:rPr>
                <w:rFonts w:ascii="Wingdings" w:eastAsia="Times New Roman" w:hAnsi="Wingdings"/>
              </w:rPr>
            </w:pPr>
            <w:r w:rsidRPr="00B11096">
              <w:rPr>
                <w:rFonts w:ascii="Wingdings" w:eastAsia="Times New Roman" w:hAnsi="Wingdings"/>
              </w:rPr>
              <w:sym w:font="Wingdings" w:char="00FC"/>
            </w:r>
          </w:p>
        </w:tc>
        <w:tc>
          <w:tcPr>
            <w:tcW w:w="1186" w:type="pct"/>
            <w:hideMark/>
          </w:tcPr>
          <w:p w:rsidR="001A6556" w:rsidRPr="00B11096" w:rsidRDefault="001A6556" w:rsidP="00E011B7">
            <w:pPr>
              <w:cnfStyle w:val="000000100000"/>
              <w:rPr>
                <w:rFonts w:ascii="Wingdings" w:eastAsia="Times New Roman" w:hAnsi="Wingdings"/>
              </w:rPr>
            </w:pPr>
            <w:r w:rsidRPr="00B11096">
              <w:rPr>
                <w:rFonts w:ascii="Wingdings" w:eastAsia="Times New Roman" w:hAnsi="Wingdings"/>
              </w:rPr>
              <w:sym w:font="Wingdings" w:char="00FC"/>
            </w:r>
          </w:p>
        </w:tc>
      </w:tr>
      <w:tr w:rsidR="001A6556" w:rsidRPr="00B11096" w:rsidTr="00E011B7">
        <w:trPr>
          <w:trHeight w:val="397"/>
        </w:trPr>
        <w:tc>
          <w:tcPr>
            <w:cnfStyle w:val="001000000000"/>
            <w:tcW w:w="1570" w:type="pct"/>
            <w:hideMark/>
          </w:tcPr>
          <w:p w:rsidR="001A6556" w:rsidRPr="00B11096" w:rsidRDefault="001A6556" w:rsidP="00E011B7">
            <w:pPr>
              <w:rPr>
                <w:rFonts w:eastAsia="Times New Roman"/>
              </w:rPr>
            </w:pPr>
            <w:r w:rsidRPr="00B11096">
              <w:rPr>
                <w:rFonts w:eastAsia="Times New Roman"/>
              </w:rPr>
              <w:t>Biodiesel</w:t>
            </w:r>
          </w:p>
        </w:tc>
        <w:tc>
          <w:tcPr>
            <w:tcW w:w="1280" w:type="pct"/>
            <w:hideMark/>
          </w:tcPr>
          <w:p w:rsidR="001A6556" w:rsidRPr="00B11096" w:rsidRDefault="001A6556" w:rsidP="00E011B7">
            <w:pPr>
              <w:cnfStyle w:val="000000000000"/>
              <w:rPr>
                <w:rFonts w:eastAsia="Times New Roman"/>
              </w:rPr>
            </w:pPr>
          </w:p>
        </w:tc>
        <w:tc>
          <w:tcPr>
            <w:tcW w:w="964" w:type="pct"/>
            <w:hideMark/>
          </w:tcPr>
          <w:p w:rsidR="001A6556" w:rsidRPr="00B11096" w:rsidRDefault="001A6556" w:rsidP="00E011B7">
            <w:pPr>
              <w:cnfStyle w:val="000000000000"/>
              <w:rPr>
                <w:rFonts w:ascii="Wingdings" w:eastAsia="Times New Roman" w:hAnsi="Wingdings"/>
              </w:rPr>
            </w:pPr>
            <w:r w:rsidRPr="00B11096">
              <w:rPr>
                <w:rFonts w:ascii="Wingdings" w:eastAsia="Times New Roman" w:hAnsi="Wingdings"/>
              </w:rPr>
              <w:sym w:font="Wingdings" w:char="00FC"/>
            </w:r>
          </w:p>
        </w:tc>
        <w:tc>
          <w:tcPr>
            <w:tcW w:w="1186" w:type="pct"/>
            <w:hideMark/>
          </w:tcPr>
          <w:p w:rsidR="001A6556" w:rsidRPr="00B11096" w:rsidRDefault="001A6556" w:rsidP="00E011B7">
            <w:pPr>
              <w:cnfStyle w:val="000000000000"/>
              <w:rPr>
                <w:rFonts w:ascii="Wingdings" w:eastAsia="Times New Roman" w:hAnsi="Wingdings"/>
              </w:rPr>
            </w:pPr>
            <w:r w:rsidRPr="00B11096">
              <w:rPr>
                <w:rFonts w:ascii="Wingdings" w:eastAsia="Times New Roman" w:hAnsi="Wingdings"/>
              </w:rPr>
              <w:sym w:font="Wingdings" w:char="00FC"/>
            </w:r>
          </w:p>
        </w:tc>
      </w:tr>
      <w:tr w:rsidR="001A6556" w:rsidRPr="00B11096" w:rsidTr="00E011B7">
        <w:trPr>
          <w:cnfStyle w:val="000000100000"/>
          <w:trHeight w:val="397"/>
        </w:trPr>
        <w:tc>
          <w:tcPr>
            <w:cnfStyle w:val="001000000000"/>
            <w:tcW w:w="1570" w:type="pct"/>
            <w:hideMark/>
          </w:tcPr>
          <w:p w:rsidR="001A6556" w:rsidRPr="00B11096" w:rsidRDefault="001A6556" w:rsidP="00E011B7">
            <w:pPr>
              <w:rPr>
                <w:rFonts w:eastAsia="Times New Roman"/>
              </w:rPr>
            </w:pPr>
            <w:r w:rsidRPr="00B11096">
              <w:rPr>
                <w:rFonts w:eastAsia="Times New Roman"/>
              </w:rPr>
              <w:t>Natural gas</w:t>
            </w:r>
          </w:p>
        </w:tc>
        <w:tc>
          <w:tcPr>
            <w:tcW w:w="1280" w:type="pct"/>
            <w:hideMark/>
          </w:tcPr>
          <w:p w:rsidR="001A6556" w:rsidRPr="00B11096" w:rsidRDefault="001A6556" w:rsidP="00E011B7">
            <w:pPr>
              <w:cnfStyle w:val="000000100000"/>
              <w:rPr>
                <w:rFonts w:eastAsia="Times New Roman"/>
              </w:rPr>
            </w:pPr>
          </w:p>
        </w:tc>
        <w:tc>
          <w:tcPr>
            <w:tcW w:w="964" w:type="pct"/>
            <w:hideMark/>
          </w:tcPr>
          <w:p w:rsidR="001A6556" w:rsidRPr="00B11096" w:rsidRDefault="001A6556" w:rsidP="00E011B7">
            <w:pPr>
              <w:cnfStyle w:val="000000100000"/>
              <w:rPr>
                <w:rFonts w:ascii="Wingdings" w:eastAsia="Times New Roman" w:hAnsi="Wingdings"/>
              </w:rPr>
            </w:pPr>
            <w:r w:rsidRPr="00B11096">
              <w:rPr>
                <w:rFonts w:ascii="Wingdings" w:eastAsia="Times New Roman" w:hAnsi="Wingdings"/>
              </w:rPr>
              <w:sym w:font="Wingdings" w:char="00FC"/>
            </w:r>
          </w:p>
        </w:tc>
        <w:tc>
          <w:tcPr>
            <w:tcW w:w="1186" w:type="pct"/>
            <w:hideMark/>
          </w:tcPr>
          <w:p w:rsidR="001A6556" w:rsidRPr="00B11096" w:rsidRDefault="001A6556" w:rsidP="00E011B7">
            <w:pPr>
              <w:cnfStyle w:val="000000100000"/>
              <w:rPr>
                <w:rFonts w:ascii="Wingdings" w:eastAsia="Times New Roman" w:hAnsi="Wingdings"/>
              </w:rPr>
            </w:pPr>
            <w:r w:rsidRPr="00B11096">
              <w:rPr>
                <w:rFonts w:ascii="Wingdings" w:eastAsia="Times New Roman" w:hAnsi="Wingdings"/>
              </w:rPr>
              <w:sym w:font="Wingdings" w:char="00FC"/>
            </w:r>
          </w:p>
        </w:tc>
      </w:tr>
      <w:tr w:rsidR="001A6556" w:rsidRPr="00B11096" w:rsidTr="00E011B7">
        <w:trPr>
          <w:trHeight w:val="397"/>
        </w:trPr>
        <w:tc>
          <w:tcPr>
            <w:cnfStyle w:val="001000000000"/>
            <w:tcW w:w="1570" w:type="pct"/>
            <w:hideMark/>
          </w:tcPr>
          <w:p w:rsidR="001A6556" w:rsidRPr="00B11096" w:rsidRDefault="001A6556" w:rsidP="00E011B7">
            <w:pPr>
              <w:rPr>
                <w:rFonts w:eastAsia="Times New Roman"/>
              </w:rPr>
            </w:pPr>
            <w:r w:rsidRPr="00B11096">
              <w:rPr>
                <w:rFonts w:eastAsia="Times New Roman"/>
              </w:rPr>
              <w:t>Fuel oil &amp; coal</w:t>
            </w:r>
          </w:p>
        </w:tc>
        <w:tc>
          <w:tcPr>
            <w:tcW w:w="1280" w:type="pct"/>
            <w:hideMark/>
          </w:tcPr>
          <w:p w:rsidR="001A6556" w:rsidRPr="00B11096" w:rsidRDefault="001A6556" w:rsidP="00E011B7">
            <w:pPr>
              <w:cnfStyle w:val="000000000000"/>
              <w:rPr>
                <w:rFonts w:eastAsia="Times New Roman"/>
              </w:rPr>
            </w:pPr>
          </w:p>
        </w:tc>
        <w:tc>
          <w:tcPr>
            <w:tcW w:w="964" w:type="pct"/>
            <w:hideMark/>
          </w:tcPr>
          <w:p w:rsidR="001A6556" w:rsidRPr="00B11096" w:rsidRDefault="001A6556" w:rsidP="00E011B7">
            <w:pPr>
              <w:cnfStyle w:val="000000000000"/>
              <w:rPr>
                <w:rFonts w:eastAsia="Times New Roman"/>
              </w:rPr>
            </w:pPr>
          </w:p>
        </w:tc>
        <w:tc>
          <w:tcPr>
            <w:tcW w:w="1186" w:type="pct"/>
            <w:hideMark/>
          </w:tcPr>
          <w:p w:rsidR="001A6556" w:rsidRPr="00B11096" w:rsidRDefault="001A6556" w:rsidP="00E011B7">
            <w:pPr>
              <w:cnfStyle w:val="000000000000"/>
              <w:rPr>
                <w:rFonts w:ascii="Wingdings" w:eastAsia="Times New Roman" w:hAnsi="Wingdings"/>
              </w:rPr>
            </w:pPr>
            <w:r w:rsidRPr="00B11096">
              <w:rPr>
                <w:rFonts w:ascii="Wingdings" w:eastAsia="Times New Roman" w:hAnsi="Wingdings"/>
              </w:rPr>
              <w:sym w:font="Wingdings" w:char="00FC"/>
            </w:r>
          </w:p>
        </w:tc>
      </w:tr>
    </w:tbl>
    <w:p w:rsidR="001A6556" w:rsidRDefault="001A6556" w:rsidP="001A6556"/>
    <w:p w:rsidR="001A6556" w:rsidRDefault="001A6556" w:rsidP="001A6556">
      <w:r>
        <w:t>The aviation sector has the most limited fuel choices because jet aircraft require specific fuel qualities that are only found in kerosene (e.g. low freezing point, low flash point, high energy density). Bio-derived jet fuel meets these requirements and can be sourced from a variety of feedstocks and refining pathways. Gasoline (called avgas) can be used in light aircraft and has less stringent requirements but as this is a very small part of total aviation fuel use, substitutes for this fuel are not explored.</w:t>
      </w:r>
    </w:p>
    <w:p w:rsidR="001A6556" w:rsidRDefault="001A6556" w:rsidP="001A6556">
      <w:r>
        <w:t>As the electricity sector decarbonises the emission intensity of electrified rail will naturally decline</w:t>
      </w:r>
      <w:r>
        <w:rPr>
          <w:rStyle w:val="FootnoteReference"/>
        </w:rPr>
        <w:footnoteReference w:id="1"/>
      </w:r>
      <w:r>
        <w:t>. However, as carbon and oil prices increase, diesel fuelled rail is likely to look towards natural gas and biodiesel as possible substitutes for oil derived diesel. Depending on the refining process, biodiesel can be produced which requires no change to the rail fuel storage and engine systems. However, incorporation of natural gas in its compressed or liquefied form would require modified storage and engine systems. Also note that a portion South Australia’s diesel passenger rail transport will be electrified from 2014.</w:t>
      </w:r>
    </w:p>
    <w:p w:rsidR="001A6556" w:rsidRDefault="001A6556" w:rsidP="001A6556">
      <w:r>
        <w:t>Part of the evolution of marine transport, other than in response to oil or carbon price pressures, is simply to switch from lower grade fuel oil to diesel. This is occurring as part of international agreements to clean up marine shipping emissions for air pollution and greenhouse gas emissions purposes. Going beyond diesel, marine will have much the same options as rail to incorporate biodiesel and natural gas as substitutes for oil based diesel.</w:t>
      </w:r>
    </w:p>
    <w:p w:rsidR="001A6556" w:rsidRDefault="001A6556" w:rsidP="001A6556">
      <w:r>
        <w:t xml:space="preserve">Note that sources of conventional fossil diesel could also be derived from coal, gas or shale rather than oil as the primary </w:t>
      </w:r>
      <w:r w:rsidRPr="00AF11F9">
        <w:t>energy sources. However, in the non-road transport model we do not seek to</w:t>
      </w:r>
      <w:r>
        <w:t xml:space="preserve"> make these distinctions</w:t>
      </w:r>
      <w:r>
        <w:rPr>
          <w:rStyle w:val="FootnoteReference"/>
        </w:rPr>
        <w:footnoteReference w:id="2"/>
      </w:r>
      <w:r>
        <w:t>.</w:t>
      </w:r>
    </w:p>
    <w:p w:rsidR="001A6556" w:rsidRDefault="001A6556" w:rsidP="001A6556">
      <w:r>
        <w:t>With this fuel choice menu we proceed to take a different approach for aviation as compared to rail and marine transport to impose a fuel s</w:t>
      </w:r>
      <w:r w:rsidR="00D8682B">
        <w:t>el</w:t>
      </w:r>
      <w:r>
        <w:t xml:space="preserve">ection over time. For aviation transport we use CSIRO’s Energy Sector Model (ESM) to project the uptake of bio-derived jet fuels in aviation. We use this approach because form past experience we find that the aviation sector, given its relative lack of fuel choice, is eventually a strong competitor for biomass resources. ESM is </w:t>
      </w:r>
      <w:r>
        <w:lastRenderedPageBreak/>
        <w:t>able to determine the timing and volume of bio-derived jet fuel taken up in aviation by forcing the sector to directly compete with the road and electricity sector for this resource</w:t>
      </w:r>
      <w:r>
        <w:rPr>
          <w:rStyle w:val="FootnoteReference"/>
        </w:rPr>
        <w:footnoteReference w:id="3"/>
      </w:r>
      <w:r>
        <w:t>. The timing of when the aviation sector is able to compete with the road sector for biomass energy resources is heavily influenced by the timing of uptake of electric vehicles in the road sector.</w:t>
      </w:r>
    </w:p>
    <w:p w:rsidR="001A6556" w:rsidRDefault="001A6556" w:rsidP="001A6556">
      <w:r>
        <w:t>In the marine and rail sectors the uptake of biodiesel is not modelled but imposed. The uptake rate is assumed to be smaller and slower than for aviation given that the marine and rail sectors have a wider range of options to choose from and generally do not pay a premium for their fuels relative to road and aviation sectors. Natural gas adoption is assumed to occur at a similar rate to biodiesel being motivated by the same pressures</w:t>
      </w:r>
      <w:r w:rsidR="000D142D">
        <w:t xml:space="preserve"> of cost minimisation and greenhouse gas reduction</w:t>
      </w:r>
      <w:r>
        <w:t>. Assumed adoption rates are increased for alternative scenarios depending on the extent to which incentives to fuel switch have changed.</w:t>
      </w:r>
    </w:p>
    <w:p w:rsidR="001A6556" w:rsidRDefault="001A6556" w:rsidP="001A6556">
      <w:r>
        <w:t>There is a small amount of coal used as marine fuel in Queensland. This is assumed to be phased out in the 2030s based on end of life retirement of the relevant fleet. Substitutes for recreational boating use of gasoline are not explored due to the low volumes.</w:t>
      </w:r>
    </w:p>
    <w:p w:rsidR="001A6556" w:rsidRDefault="001A6556" w:rsidP="001A6556"/>
    <w:p w:rsidR="001A6556" w:rsidRDefault="001A6556" w:rsidP="001A6556">
      <w:pPr>
        <w:pStyle w:val="Heading3"/>
      </w:pPr>
      <w:r>
        <w:t>Emissions projection</w:t>
      </w:r>
    </w:p>
    <w:p w:rsidR="001A6556" w:rsidRDefault="001A6556" w:rsidP="001A6556">
      <w:r>
        <w:t>The flow of logic from economic growth, transport activity via task efficiency to fuel consumption via fuel efficiency and fuel selection is almost all that is required to project emissions. The final step is to apply a fuel emission factor which is sourced from the National Greenhouse Gas Inventory accounting methods. Biofuels and electricity emission factors are assumed to be zero to avoid double counting and to recognise that direct emissions associated with the combustion of biofuels are offset by carbon absorbed during the production of biomass feedstocks. Electricity sector emissions are accounted for separately in electricity sector modelling as are upstream refining sector emissions. All other fuels have positive emission factors which remain constant over time.</w:t>
      </w:r>
    </w:p>
    <w:p w:rsidR="001A6556" w:rsidRDefault="001A6556" w:rsidP="001A6556">
      <w:r>
        <w:t xml:space="preserve">A summary of the end to end modelling process is shown in </w:t>
      </w:r>
      <w:r w:rsidR="00C14EF7">
        <w:fldChar w:fldCharType="begin"/>
      </w:r>
      <w:r w:rsidR="00B44725">
        <w:instrText xml:space="preserve"> REF _Ref366059187 \h </w:instrText>
      </w:r>
      <w:r w:rsidR="00C14EF7">
        <w:fldChar w:fldCharType="separate"/>
      </w:r>
      <w:r w:rsidR="003E0F65">
        <w:t xml:space="preserve">Figure </w:t>
      </w:r>
      <w:r w:rsidR="003E0F65">
        <w:rPr>
          <w:noProof/>
        </w:rPr>
        <w:t>3</w:t>
      </w:r>
      <w:r w:rsidR="003E0F65">
        <w:noBreakHyphen/>
      </w:r>
      <w:r w:rsidR="003E0F65">
        <w:rPr>
          <w:noProof/>
        </w:rPr>
        <w:t>1</w:t>
      </w:r>
      <w:r w:rsidR="00C14EF7">
        <w:fldChar w:fldCharType="end"/>
      </w:r>
      <w:r>
        <w:t xml:space="preserve"> below.</w:t>
      </w:r>
    </w:p>
    <w:p w:rsidR="001A6556" w:rsidRDefault="001A6556" w:rsidP="001A6556">
      <w:r w:rsidRPr="00133365">
        <w:rPr>
          <w:noProof/>
        </w:rPr>
        <w:lastRenderedPageBreak/>
        <w:drawing>
          <wp:inline distT="0" distB="0" distL="0" distR="0">
            <wp:extent cx="5731510" cy="3829116"/>
            <wp:effectExtent l="19050" t="0" r="2540" b="0"/>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731510" cy="3829116"/>
                    </a:xfrm>
                    <a:prstGeom prst="rect">
                      <a:avLst/>
                    </a:prstGeom>
                    <a:noFill/>
                    <a:ln w="9525">
                      <a:noFill/>
                      <a:miter lim="800000"/>
                      <a:headEnd/>
                      <a:tailEnd/>
                    </a:ln>
                  </pic:spPr>
                </pic:pic>
              </a:graphicData>
            </a:graphic>
          </wp:inline>
        </w:drawing>
      </w:r>
    </w:p>
    <w:p w:rsidR="001A6556" w:rsidRDefault="001A6556" w:rsidP="001A6556">
      <w:pPr>
        <w:pStyle w:val="Caption"/>
      </w:pPr>
      <w:bookmarkStart w:id="19" w:name="_Ref366059187"/>
      <w:bookmarkStart w:id="20" w:name="_Toc366227329"/>
      <w:r>
        <w:t xml:space="preserve">Figure </w:t>
      </w:r>
      <w:r w:rsidR="00C14EF7">
        <w:fldChar w:fldCharType="begin"/>
      </w:r>
      <w:r w:rsidR="005B253B">
        <w:instrText xml:space="preserve"> STYLEREF 1 \s </w:instrText>
      </w:r>
      <w:r w:rsidR="00C14EF7">
        <w:fldChar w:fldCharType="separate"/>
      </w:r>
      <w:r w:rsidR="003E0F65">
        <w:rPr>
          <w:noProof/>
        </w:rPr>
        <w:t>3</w:t>
      </w:r>
      <w:r w:rsidR="00C14EF7">
        <w:fldChar w:fldCharType="end"/>
      </w:r>
      <w:r w:rsidR="005B253B">
        <w:noBreakHyphen/>
      </w:r>
      <w:r w:rsidR="00C14EF7">
        <w:fldChar w:fldCharType="begin"/>
      </w:r>
      <w:r w:rsidR="005B253B">
        <w:instrText xml:space="preserve"> SEQ Figure \* ARABIC \s 1 </w:instrText>
      </w:r>
      <w:r w:rsidR="00C14EF7">
        <w:fldChar w:fldCharType="separate"/>
      </w:r>
      <w:r w:rsidR="003E0F65">
        <w:rPr>
          <w:noProof/>
        </w:rPr>
        <w:t>1</w:t>
      </w:r>
      <w:r w:rsidR="00C14EF7">
        <w:fldChar w:fldCharType="end"/>
      </w:r>
      <w:bookmarkEnd w:id="19"/>
      <w:r>
        <w:t>: Overview of non-road greenhouse gas emission projection process</w:t>
      </w:r>
      <w:bookmarkEnd w:id="20"/>
    </w:p>
    <w:p w:rsidR="001A6556" w:rsidRDefault="001A6556" w:rsidP="001A6556"/>
    <w:p w:rsidR="001A6556" w:rsidRDefault="001A6556" w:rsidP="001A6556">
      <w:pPr>
        <w:pStyle w:val="Heading2"/>
      </w:pPr>
      <w:bookmarkStart w:id="21" w:name="_Toc366228035"/>
      <w:r>
        <w:t>Road sector modelling</w:t>
      </w:r>
      <w:bookmarkEnd w:id="21"/>
    </w:p>
    <w:p w:rsidR="001A6556" w:rsidRDefault="001A6556" w:rsidP="001A6556">
      <w:r>
        <w:t>ESM is a linear programming model of the electricity and transport sectors. The version of the model applied to this modelling exercise concerns the transport sector only and determines the least cost mix of fuels, vehicles and other inputs to meet a given transport services demand subject to policy or other constraints such as the rate of stock turnover.</w:t>
      </w:r>
    </w:p>
    <w:p w:rsidR="001A6556" w:rsidRDefault="001A6556" w:rsidP="001A6556">
      <w:r w:rsidRPr="00FD00DA">
        <w:t>ESM is a partial equilibrium (</w:t>
      </w:r>
      <w:r>
        <w:t>‘</w:t>
      </w:r>
      <w:r w:rsidRPr="00FD00DA">
        <w:t>bottom-up</w:t>
      </w:r>
      <w:r>
        <w:t>’</w:t>
      </w:r>
      <w:r w:rsidRPr="00FD00DA">
        <w:t>) model of the electricity and transport sectors.</w:t>
      </w:r>
      <w:r>
        <w:t xml:space="preserve"> </w:t>
      </w:r>
      <w:r w:rsidRPr="00FD00DA">
        <w:t xml:space="preserve">The model has a robust economic decision making framework </w:t>
      </w:r>
      <w:r>
        <w:t>that incorporates</w:t>
      </w:r>
      <w:r w:rsidRPr="00FD00DA">
        <w:t xml:space="preserve"> the cost of alternative fuels and vehicles as well as detailed fuel and vehicle technical performance characterisation such as fuel efficiencies and emission factors by transport mode, vehicle type, engine type and age.</w:t>
      </w:r>
    </w:p>
    <w:p w:rsidR="001B544A" w:rsidRDefault="001B544A" w:rsidP="001A6556">
      <w:r>
        <w:t>A detailed description of ESM is provided in Appendix A.</w:t>
      </w:r>
    </w:p>
    <w:p w:rsidR="001A6556" w:rsidRPr="001C1260" w:rsidRDefault="001A6556" w:rsidP="001A6556">
      <w:pPr>
        <w:pStyle w:val="Heading3"/>
        <w:tabs>
          <w:tab w:val="num" w:pos="643"/>
        </w:tabs>
        <w:suppressAutoHyphens/>
        <w:spacing w:before="240"/>
        <w:ind w:left="643" w:hanging="643"/>
      </w:pPr>
      <w:bookmarkStart w:id="22" w:name="_Toc203373083"/>
      <w:bookmarkStart w:id="23" w:name="_Toc292373254"/>
      <w:bookmarkStart w:id="24" w:name="_Toc306802112"/>
      <w:r w:rsidRPr="001C1260">
        <w:t>Limitations of ESM</w:t>
      </w:r>
      <w:bookmarkEnd w:id="22"/>
      <w:bookmarkEnd w:id="23"/>
      <w:bookmarkEnd w:id="24"/>
    </w:p>
    <w:p w:rsidR="001A6556" w:rsidRPr="00FD00DA" w:rsidRDefault="001B544A" w:rsidP="001A6556">
      <w:r>
        <w:t>The most powerful aspect of ESM is that it is able to provide economically consistent projections of road sector fuel and vehicle choices. Projections can be logically understood as economic choices within a set of physical constraints. As with all models, the approach</w:t>
      </w:r>
      <w:r w:rsidR="001A6556">
        <w:t xml:space="preserve"> </w:t>
      </w:r>
      <w:r w:rsidR="00B51EB4">
        <w:t>has</w:t>
      </w:r>
      <w:r w:rsidR="001A6556">
        <w:t xml:space="preserve"> </w:t>
      </w:r>
      <w:r>
        <w:t>some</w:t>
      </w:r>
      <w:r w:rsidR="001A6556" w:rsidRPr="00FD00DA">
        <w:t xml:space="preserve"> limitations which are discussed</w:t>
      </w:r>
      <w:r w:rsidR="001A6556">
        <w:t xml:space="preserve"> below</w:t>
      </w:r>
      <w:r w:rsidR="001A6556" w:rsidRPr="00FD00DA">
        <w:t>.</w:t>
      </w:r>
    </w:p>
    <w:p w:rsidR="001A6556" w:rsidRDefault="001A6556" w:rsidP="001A6556">
      <w:r w:rsidRPr="00FD00DA">
        <w:t xml:space="preserve">The first is that it includes many assumptions for parameters that are in reality uncertain and in some cases evolving rapidly. Parameters </w:t>
      </w:r>
      <w:r w:rsidR="00B51EB4">
        <w:t xml:space="preserve">with the greatest uncertainty </w:t>
      </w:r>
      <w:r w:rsidRPr="00FD00DA">
        <w:t>include</w:t>
      </w:r>
      <w:r>
        <w:t xml:space="preserve"> </w:t>
      </w:r>
      <w:r w:rsidRPr="00FD00DA">
        <w:t xml:space="preserve">possible </w:t>
      </w:r>
      <w:r w:rsidRPr="00FD00DA">
        <w:lastRenderedPageBreak/>
        <w:t xml:space="preserve">breakthroughs in so called “second </w:t>
      </w:r>
      <w:r>
        <w:t xml:space="preserve">or advanced </w:t>
      </w:r>
      <w:r w:rsidRPr="00FD00DA">
        <w:t xml:space="preserve">generation” biofuel production technologies and the unknown quality and cost of future offerings of fully and partially electrified vehicles. </w:t>
      </w:r>
    </w:p>
    <w:p w:rsidR="001A6556" w:rsidRDefault="001A6556" w:rsidP="001A6556">
      <w:r w:rsidRPr="00FD00DA">
        <w:t xml:space="preserve">A second limitation is that ESM only takes account of cost as the major determining factor in technology and fuel uptake. Therefore, it cannot capture the behaviour of so-called “fast adopters” who take up new technology before it has reached a competitive price point. For example, most consumers of hybrid electric vehicles today could be considered “fast adopters”. Their purchase cannot be justified on economic grounds since the additional cost of such vehicles is not offset by fuel savings in any reasonable period of time (relative to the cost of borrowing). Nevertheless, hybrid electric vehicles are purchased and such purchasers may be motivated by a variety of factors including a strong interest in new technology, the desire to reduce emissions or status. As a result of this limitation, ESM’s projections of the </w:t>
      </w:r>
      <w:r>
        <w:t>starting point for shifts in preferences</w:t>
      </w:r>
      <w:r w:rsidRPr="00FD00DA">
        <w:t xml:space="preserve"> for new technologies could be considered conservative.</w:t>
      </w:r>
    </w:p>
    <w:p w:rsidR="001A6556" w:rsidRDefault="001A6556" w:rsidP="001A6556">
      <w:r>
        <w:t>A</w:t>
      </w:r>
      <w:r w:rsidRPr="00FD00DA">
        <w:t xml:space="preserve">nother factor which ESM </w:t>
      </w:r>
      <w:r>
        <w:t>can overlook is community acceptance. T</w:t>
      </w:r>
      <w:r w:rsidRPr="00FD00DA">
        <w:t xml:space="preserve">his limitation might lead ESM to overestimate the rate of uptake of some fuels and technologies. For example, greater </w:t>
      </w:r>
      <w:r>
        <w:t>use of gaseous fuels such as natural gas</w:t>
      </w:r>
      <w:r w:rsidRPr="00FD00DA">
        <w:t xml:space="preserve"> and the introduction of electricity as a transport fuel might be resisted by the Australian community which has predominantly used liquid fuels for transport over the p</w:t>
      </w:r>
      <w:r>
        <w:t>ast century. By design, ESM primarily</w:t>
      </w:r>
      <w:r w:rsidRPr="00FD00DA">
        <w:t xml:space="preserve"> considers whether the choice is economically viable.</w:t>
      </w:r>
      <w:r w:rsidR="00313105">
        <w:t xml:space="preserve"> Graham and Smart</w:t>
      </w:r>
      <w:r>
        <w:t xml:space="preserve"> </w:t>
      </w:r>
      <w:r w:rsidR="00313105">
        <w:t>(2011) provides some s</w:t>
      </w:r>
      <w:r>
        <w:t xml:space="preserve">ensitivity analysis of </w:t>
      </w:r>
      <w:r w:rsidR="00313105">
        <w:t>alternative ESM assumptions with respect to electric vehicle payback periods</w:t>
      </w:r>
      <w:r>
        <w:t>.</w:t>
      </w:r>
      <w:r w:rsidR="00313105">
        <w:t xml:space="preserve"> However, in this study we assume 5 years across all scenarios.</w:t>
      </w:r>
    </w:p>
    <w:p w:rsidR="001A6556" w:rsidRDefault="001A6556" w:rsidP="001A6556">
      <w:r w:rsidRPr="00FD00DA">
        <w:t xml:space="preserve">As a result of these limitations, the technology and fuel uptake projections </w:t>
      </w:r>
      <w:r>
        <w:t xml:space="preserve">estimated </w:t>
      </w:r>
      <w:r w:rsidRPr="00FD00DA">
        <w:t>need to be interpreted with caution. In reality, consumers will consider a variety factors in fuel and vehicle purchasing decisions. However, it is the view of the authors that the projections</w:t>
      </w:r>
      <w:r>
        <w:t xml:space="preserve"> </w:t>
      </w:r>
      <w:r w:rsidRPr="00FD00DA">
        <w:t xml:space="preserve">are nonetheless instructive in that they indicate the point at which the various </w:t>
      </w:r>
      <w:r>
        <w:t xml:space="preserve">technology or fuel </w:t>
      </w:r>
      <w:r w:rsidRPr="00FD00DA">
        <w:t>options should become widely attractive to all consumers.</w:t>
      </w:r>
      <w:r w:rsidR="00765BD7">
        <w:t xml:space="preserve"> The modelling is specific to Australia taking into account our particular vehicle preferences, fuel excise system and energy resources.</w:t>
      </w:r>
    </w:p>
    <w:p w:rsidR="001A6556" w:rsidRDefault="001A6556" w:rsidP="001A6556">
      <w:pPr>
        <w:pStyle w:val="Heading3"/>
        <w:tabs>
          <w:tab w:val="num" w:pos="643"/>
        </w:tabs>
        <w:suppressAutoHyphens/>
        <w:spacing w:before="240"/>
        <w:ind w:left="643" w:hanging="643"/>
      </w:pPr>
      <w:bookmarkStart w:id="25" w:name="_Toc306802113"/>
      <w:r>
        <w:t>Fuels that were excluded and other knowledge gaps</w:t>
      </w:r>
      <w:bookmarkEnd w:id="25"/>
    </w:p>
    <w:p w:rsidR="001A6556" w:rsidRDefault="001A6556" w:rsidP="001A6556">
      <w:r>
        <w:t>It is the goal of all model designs to include enough information to represent the main current and future drivers for a given sector of interest and no more. Judgement of this cut-off point is subjective. In the timeframe available for this modelling exercise it was not possible to make significant changes to the scope of ESM. Therefore, only the existing list of 14 fuels that CSIRO had included in the model could be examined as part of this modelling exercise.</w:t>
      </w:r>
    </w:p>
    <w:p w:rsidR="001A6556" w:rsidRDefault="001A6556" w:rsidP="001A6556">
      <w:r>
        <w:t>Several fuels such as biogas, dimethyl ether (DME), methanol, butanol and compressed air could not be modelled as they are not currently included in ESM. It is important that the reader recognise that exclusion of these and any other candidate fuels is not an indication their lack of potential. The authors acknowledge that until these fuels are included in a similar modelling exercise, how they would have fared - relative to the fuels that were included - is unknown.</w:t>
      </w:r>
    </w:p>
    <w:p w:rsidR="001A6556" w:rsidRPr="00093D9C" w:rsidRDefault="001A6556" w:rsidP="001A6556">
      <w:pPr>
        <w:rPr>
          <w:rFonts w:asciiTheme="minorHAnsi" w:hAnsiTheme="minorHAnsi"/>
        </w:rPr>
      </w:pPr>
    </w:p>
    <w:p w:rsidR="001A6556" w:rsidRPr="002C06C7" w:rsidRDefault="001A6556" w:rsidP="001A6556">
      <w:pPr>
        <w:pStyle w:val="Heading1"/>
      </w:pPr>
      <w:bookmarkStart w:id="26" w:name="_Toc306802114"/>
      <w:bookmarkStart w:id="27" w:name="_Toc366228036"/>
      <w:r w:rsidRPr="002C06C7">
        <w:lastRenderedPageBreak/>
        <w:t>Key Assumptions</w:t>
      </w:r>
      <w:bookmarkEnd w:id="26"/>
      <w:bookmarkEnd w:id="27"/>
    </w:p>
    <w:p w:rsidR="001A6556" w:rsidRPr="009F7E2D" w:rsidRDefault="001A6556" w:rsidP="001A6556">
      <w:pPr>
        <w:pStyle w:val="Heading3"/>
        <w:tabs>
          <w:tab w:val="num" w:pos="643"/>
        </w:tabs>
        <w:suppressAutoHyphens/>
        <w:spacing w:before="240"/>
        <w:ind w:left="643" w:hanging="643"/>
      </w:pPr>
      <w:bookmarkStart w:id="28" w:name="_Toc306802115"/>
      <w:r w:rsidRPr="009F7E2D">
        <w:t>Transport sector demand data</w:t>
      </w:r>
      <w:bookmarkEnd w:id="28"/>
    </w:p>
    <w:p w:rsidR="001A6556" w:rsidRDefault="001A6556" w:rsidP="001A6556">
      <w:pPr>
        <w:rPr>
          <w:rFonts w:asciiTheme="minorHAnsi" w:hAnsiTheme="minorHAnsi"/>
        </w:rPr>
      </w:pPr>
      <w:r>
        <w:t xml:space="preserve">Population growth, economic growth and the existing level of use (saturation) of a transport mode are the three key drivers of transport demand growth. </w:t>
      </w:r>
      <w:r w:rsidRPr="000B4ED7">
        <w:rPr>
          <w:rFonts w:asciiTheme="minorHAnsi" w:hAnsiTheme="minorHAnsi"/>
        </w:rPr>
        <w:t xml:space="preserve">The demand for transport was determined </w:t>
      </w:r>
      <w:r>
        <w:rPr>
          <w:rFonts w:asciiTheme="minorHAnsi" w:hAnsiTheme="minorHAnsi"/>
        </w:rPr>
        <w:t>by the Treasury using MMRF</w:t>
      </w:r>
      <w:r w:rsidR="005A5D0F">
        <w:rPr>
          <w:rFonts w:asciiTheme="minorHAnsi" w:hAnsiTheme="minorHAnsi"/>
        </w:rPr>
        <w:t>,</w:t>
      </w:r>
      <w:r>
        <w:rPr>
          <w:rFonts w:asciiTheme="minorHAnsi" w:hAnsiTheme="minorHAnsi"/>
        </w:rPr>
        <w:t xml:space="preserve"> which</w:t>
      </w:r>
      <w:r w:rsidRPr="000B4ED7">
        <w:rPr>
          <w:rFonts w:asciiTheme="minorHAnsi" w:hAnsiTheme="minorHAnsi"/>
        </w:rPr>
        <w:t xml:space="preserve"> </w:t>
      </w:r>
      <w:r>
        <w:rPr>
          <w:rFonts w:asciiTheme="minorHAnsi" w:hAnsiTheme="minorHAnsi"/>
        </w:rPr>
        <w:t xml:space="preserve">is a general equilibrium model of the Australian economy and </w:t>
      </w:r>
      <w:r w:rsidRPr="000B4ED7">
        <w:rPr>
          <w:rFonts w:asciiTheme="minorHAnsi" w:hAnsiTheme="minorHAnsi"/>
        </w:rPr>
        <w:t>tak</w:t>
      </w:r>
      <w:r>
        <w:rPr>
          <w:rFonts w:asciiTheme="minorHAnsi" w:hAnsiTheme="minorHAnsi"/>
        </w:rPr>
        <w:t>es</w:t>
      </w:r>
      <w:r w:rsidRPr="000B4ED7">
        <w:rPr>
          <w:rFonts w:asciiTheme="minorHAnsi" w:hAnsiTheme="minorHAnsi"/>
        </w:rPr>
        <w:t xml:space="preserve"> into account population growth, the projected </w:t>
      </w:r>
      <w:r>
        <w:rPr>
          <w:rFonts w:asciiTheme="minorHAnsi" w:hAnsiTheme="minorHAnsi"/>
        </w:rPr>
        <w:t>economic growth</w:t>
      </w:r>
      <w:r w:rsidRPr="000B4ED7">
        <w:rPr>
          <w:rFonts w:asciiTheme="minorHAnsi" w:hAnsiTheme="minorHAnsi"/>
        </w:rPr>
        <w:t xml:space="preserve"> of industries and changes in the </w:t>
      </w:r>
      <w:r>
        <w:rPr>
          <w:rFonts w:asciiTheme="minorHAnsi" w:hAnsiTheme="minorHAnsi"/>
        </w:rPr>
        <w:t>cost structure of transport. As MMRF does not have a measure of saturation within the model a</w:t>
      </w:r>
      <w:r w:rsidRPr="000B4ED7">
        <w:rPr>
          <w:rFonts w:asciiTheme="minorHAnsi" w:hAnsiTheme="minorHAnsi"/>
        </w:rPr>
        <w:t xml:space="preserve"> central scenario for passenger transport growth was </w:t>
      </w:r>
      <w:r>
        <w:rPr>
          <w:rFonts w:asciiTheme="minorHAnsi" w:hAnsiTheme="minorHAnsi"/>
        </w:rPr>
        <w:t xml:space="preserve">first </w:t>
      </w:r>
      <w:r w:rsidRPr="000B4ED7">
        <w:rPr>
          <w:rFonts w:asciiTheme="minorHAnsi" w:hAnsiTheme="minorHAnsi"/>
        </w:rPr>
        <w:t xml:space="preserve">calibrated </w:t>
      </w:r>
      <w:r>
        <w:rPr>
          <w:rFonts w:asciiTheme="minorHAnsi" w:hAnsiTheme="minorHAnsi"/>
        </w:rPr>
        <w:t xml:space="preserve">within MMRF </w:t>
      </w:r>
      <w:r w:rsidRPr="000B4ED7">
        <w:rPr>
          <w:rFonts w:asciiTheme="minorHAnsi" w:hAnsiTheme="minorHAnsi"/>
        </w:rPr>
        <w:t>based on data provided by the Bureau of Infrastructure, Transport and Regional Economics (2010)</w:t>
      </w:r>
      <w:r>
        <w:rPr>
          <w:rFonts w:asciiTheme="minorHAnsi" w:hAnsiTheme="minorHAnsi"/>
        </w:rPr>
        <w:t xml:space="preserve"> (</w:t>
      </w:r>
      <w:r w:rsidR="00C14EF7">
        <w:rPr>
          <w:rFonts w:asciiTheme="minorHAnsi" w:hAnsiTheme="minorHAnsi"/>
        </w:rPr>
        <w:fldChar w:fldCharType="begin"/>
      </w:r>
      <w:r>
        <w:rPr>
          <w:rFonts w:asciiTheme="minorHAnsi" w:hAnsiTheme="minorHAnsi"/>
        </w:rPr>
        <w:instrText xml:space="preserve"> REF _Ref365642487 \h </w:instrText>
      </w:r>
      <w:r w:rsidR="00C14EF7">
        <w:rPr>
          <w:rFonts w:asciiTheme="minorHAnsi" w:hAnsiTheme="minorHAnsi"/>
        </w:rPr>
      </w:r>
      <w:r w:rsidR="00C14EF7">
        <w:rPr>
          <w:rFonts w:asciiTheme="minorHAnsi" w:hAnsiTheme="minorHAnsi"/>
        </w:rPr>
        <w:fldChar w:fldCharType="separate"/>
      </w:r>
      <w:r w:rsidR="003E0F65">
        <w:t xml:space="preserve">Figure </w:t>
      </w:r>
      <w:r w:rsidR="003E0F65">
        <w:rPr>
          <w:noProof/>
        </w:rPr>
        <w:t>4</w:t>
      </w:r>
      <w:r w:rsidR="003E0F65">
        <w:noBreakHyphen/>
      </w:r>
      <w:r w:rsidR="003E0F65">
        <w:rPr>
          <w:noProof/>
        </w:rPr>
        <w:t>1</w:t>
      </w:r>
      <w:r w:rsidR="00C14EF7">
        <w:rPr>
          <w:rFonts w:asciiTheme="minorHAnsi" w:hAnsiTheme="minorHAnsi"/>
        </w:rPr>
        <w:fldChar w:fldCharType="end"/>
      </w:r>
      <w:r>
        <w:rPr>
          <w:rFonts w:asciiTheme="minorHAnsi" w:hAnsiTheme="minorHAnsi"/>
        </w:rPr>
        <w:t>)</w:t>
      </w:r>
      <w:r w:rsidRPr="000B4ED7">
        <w:rPr>
          <w:rFonts w:asciiTheme="minorHAnsi" w:hAnsiTheme="minorHAnsi"/>
        </w:rPr>
        <w:t>.</w:t>
      </w:r>
      <w:r>
        <w:rPr>
          <w:rFonts w:asciiTheme="minorHAnsi" w:hAnsiTheme="minorHAnsi"/>
        </w:rPr>
        <w:t xml:space="preserve"> From this starting point MMRF can project changes in demand for the other scenarios based on how the economy is impacted by the assumptions.</w:t>
      </w:r>
    </w:p>
    <w:p w:rsidR="00DD2C57" w:rsidRDefault="00CB3CAB" w:rsidP="001A6556">
      <w:pPr>
        <w:rPr>
          <w:rFonts w:asciiTheme="minorHAnsi" w:hAnsiTheme="minorHAnsi"/>
        </w:rPr>
      </w:pPr>
      <w:r>
        <w:rPr>
          <w:rFonts w:asciiTheme="minorHAnsi" w:hAnsiTheme="minorHAnsi"/>
        </w:rPr>
        <w:t xml:space="preserve">In effect this </w:t>
      </w:r>
      <w:r w:rsidR="00DD2C57">
        <w:rPr>
          <w:rFonts w:asciiTheme="minorHAnsi" w:hAnsiTheme="minorHAnsi"/>
        </w:rPr>
        <w:t xml:space="preserve">approach to demand modelling </w:t>
      </w:r>
      <w:r>
        <w:rPr>
          <w:rFonts w:asciiTheme="minorHAnsi" w:hAnsiTheme="minorHAnsi"/>
        </w:rPr>
        <w:t xml:space="preserve">means freight transport </w:t>
      </w:r>
      <w:r w:rsidR="00DD2C57">
        <w:rPr>
          <w:rFonts w:asciiTheme="minorHAnsi" w:hAnsiTheme="minorHAnsi"/>
        </w:rPr>
        <w:t xml:space="preserve">modes experience growth in </w:t>
      </w:r>
      <w:r>
        <w:rPr>
          <w:rFonts w:asciiTheme="minorHAnsi" w:hAnsiTheme="minorHAnsi"/>
        </w:rPr>
        <w:t xml:space="preserve">demand </w:t>
      </w:r>
      <w:r w:rsidR="00DD2C57">
        <w:rPr>
          <w:rFonts w:asciiTheme="minorHAnsi" w:hAnsiTheme="minorHAnsi"/>
        </w:rPr>
        <w:t xml:space="preserve">reflecting growth in the economy and more specifically </w:t>
      </w:r>
      <w:r w:rsidR="00AC0E16">
        <w:rPr>
          <w:rFonts w:asciiTheme="minorHAnsi" w:hAnsiTheme="minorHAnsi"/>
        </w:rPr>
        <w:t xml:space="preserve">the </w:t>
      </w:r>
      <w:r w:rsidR="00DD2C57">
        <w:rPr>
          <w:rFonts w:asciiTheme="minorHAnsi" w:hAnsiTheme="minorHAnsi"/>
        </w:rPr>
        <w:t>transport freight intensive sectors</w:t>
      </w:r>
      <w:r w:rsidR="00AC0E16">
        <w:rPr>
          <w:rFonts w:asciiTheme="minorHAnsi" w:hAnsiTheme="minorHAnsi"/>
        </w:rPr>
        <w:t xml:space="preserve"> -</w:t>
      </w:r>
      <w:r w:rsidR="008B4591">
        <w:rPr>
          <w:rFonts w:asciiTheme="minorHAnsi" w:hAnsiTheme="minorHAnsi"/>
        </w:rPr>
        <w:t xml:space="preserve"> for example, the mining sectors use of rail for bulk goods transport in states such as Queensland and Western Australia (</w:t>
      </w:r>
      <w:r w:rsidR="00C14EF7">
        <w:rPr>
          <w:rFonts w:asciiTheme="minorHAnsi" w:hAnsiTheme="minorHAnsi"/>
        </w:rPr>
        <w:fldChar w:fldCharType="begin"/>
      </w:r>
      <w:r w:rsidR="008B4591">
        <w:rPr>
          <w:rFonts w:asciiTheme="minorHAnsi" w:hAnsiTheme="minorHAnsi"/>
        </w:rPr>
        <w:instrText xml:space="preserve"> REF _Ref365997615 \h </w:instrText>
      </w:r>
      <w:r w:rsidR="00C14EF7">
        <w:rPr>
          <w:rFonts w:asciiTheme="minorHAnsi" w:hAnsiTheme="minorHAnsi"/>
        </w:rPr>
      </w:r>
      <w:r w:rsidR="00C14EF7">
        <w:rPr>
          <w:rFonts w:asciiTheme="minorHAnsi" w:hAnsiTheme="minorHAnsi"/>
        </w:rPr>
        <w:fldChar w:fldCharType="separate"/>
      </w:r>
      <w:r w:rsidR="003E0F65">
        <w:t xml:space="preserve">Figure </w:t>
      </w:r>
      <w:r w:rsidR="003E0F65">
        <w:rPr>
          <w:noProof/>
        </w:rPr>
        <w:t>4</w:t>
      </w:r>
      <w:r w:rsidR="003E0F65">
        <w:noBreakHyphen/>
      </w:r>
      <w:r w:rsidR="003E0F65">
        <w:rPr>
          <w:noProof/>
        </w:rPr>
        <w:t>2</w:t>
      </w:r>
      <w:r w:rsidR="00C14EF7">
        <w:rPr>
          <w:rFonts w:asciiTheme="minorHAnsi" w:hAnsiTheme="minorHAnsi"/>
        </w:rPr>
        <w:fldChar w:fldCharType="end"/>
      </w:r>
      <w:r w:rsidR="008B4591">
        <w:rPr>
          <w:rFonts w:asciiTheme="minorHAnsi" w:hAnsiTheme="minorHAnsi"/>
        </w:rPr>
        <w:t>)</w:t>
      </w:r>
      <w:r w:rsidR="004C7122">
        <w:rPr>
          <w:rFonts w:asciiTheme="minorHAnsi" w:hAnsiTheme="minorHAnsi"/>
        </w:rPr>
        <w:t>.</w:t>
      </w:r>
    </w:p>
    <w:p w:rsidR="00CB3CAB" w:rsidRDefault="00DD2C57" w:rsidP="001A6556">
      <w:pPr>
        <w:rPr>
          <w:rFonts w:asciiTheme="minorHAnsi" w:hAnsiTheme="minorHAnsi"/>
        </w:rPr>
      </w:pPr>
      <w:r>
        <w:rPr>
          <w:rFonts w:asciiTheme="minorHAnsi" w:hAnsiTheme="minorHAnsi"/>
        </w:rPr>
        <w:t>However, passenger sectors experience growth in demand that is closer to growth in population the more saturated their demand. Passenger road demand is the mostly heavily saturated (meaning it is close to the point where users cannot easily consume any more</w:t>
      </w:r>
      <w:r w:rsidR="004C7122">
        <w:rPr>
          <w:rFonts w:asciiTheme="minorHAnsi" w:hAnsiTheme="minorHAnsi"/>
        </w:rPr>
        <w:t>,</w:t>
      </w:r>
      <w:r>
        <w:rPr>
          <w:rFonts w:asciiTheme="minorHAnsi" w:hAnsiTheme="minorHAnsi"/>
        </w:rPr>
        <w:t xml:space="preserve"> reflecting time and other lifestyle constraints). Aviation is the least saturated and so there is significant potential for higher adoption and therefore growth at faster than the population growth rate.</w:t>
      </w:r>
    </w:p>
    <w:p w:rsidR="001A6556" w:rsidRDefault="001A6556" w:rsidP="001A6556">
      <w:pPr>
        <w:rPr>
          <w:rFonts w:asciiTheme="minorHAnsi" w:hAnsiTheme="minorHAnsi"/>
        </w:rPr>
      </w:pPr>
      <w:r>
        <w:rPr>
          <w:rFonts w:asciiTheme="minorHAnsi" w:hAnsiTheme="minorHAnsi"/>
        </w:rPr>
        <w:t>Note MMRF does not distinguish aviation passenger and freight demand, although passenger would be the dominant share. Similarly marine transport is also not disaggregated into passenger and freight but would be mostly freight.</w:t>
      </w:r>
    </w:p>
    <w:p w:rsidR="001A6556" w:rsidRDefault="001A6556" w:rsidP="001A6556">
      <w:pPr>
        <w:rPr>
          <w:rFonts w:asciiTheme="minorHAnsi" w:hAnsiTheme="minorHAnsi"/>
        </w:rPr>
      </w:pPr>
    </w:p>
    <w:p w:rsidR="001A6556" w:rsidRDefault="001A6556" w:rsidP="001A6556">
      <w:pPr>
        <w:rPr>
          <w:rFonts w:asciiTheme="minorHAnsi" w:hAnsiTheme="minorHAnsi"/>
        </w:rPr>
      </w:pPr>
      <w:r w:rsidRPr="00C70355">
        <w:rPr>
          <w:noProof/>
        </w:rPr>
        <w:lastRenderedPageBreak/>
        <w:drawing>
          <wp:inline distT="0" distB="0" distL="0" distR="0">
            <wp:extent cx="6120130" cy="4005297"/>
            <wp:effectExtent l="19050" t="0" r="0" b="0"/>
            <wp:docPr id="5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srcRect/>
                    <a:stretch>
                      <a:fillRect/>
                    </a:stretch>
                  </pic:blipFill>
                  <pic:spPr bwMode="auto">
                    <a:xfrm>
                      <a:off x="0" y="0"/>
                      <a:ext cx="6120130" cy="4005297"/>
                    </a:xfrm>
                    <a:prstGeom prst="rect">
                      <a:avLst/>
                    </a:prstGeom>
                    <a:noFill/>
                    <a:ln w="9525">
                      <a:noFill/>
                      <a:miter lim="800000"/>
                      <a:headEnd/>
                      <a:tailEnd/>
                    </a:ln>
                  </pic:spPr>
                </pic:pic>
              </a:graphicData>
            </a:graphic>
          </wp:inline>
        </w:drawing>
      </w:r>
    </w:p>
    <w:p w:rsidR="001A6556" w:rsidRDefault="001A6556" w:rsidP="001A6556">
      <w:pPr>
        <w:pStyle w:val="Caption"/>
        <w:rPr>
          <w:rFonts w:asciiTheme="minorHAnsi" w:hAnsiTheme="minorHAnsi"/>
        </w:rPr>
      </w:pPr>
      <w:bookmarkStart w:id="29" w:name="_Ref365642487"/>
      <w:bookmarkStart w:id="30" w:name="_Toc366227330"/>
      <w:r>
        <w:t xml:space="preserve">Figure </w:t>
      </w:r>
      <w:r w:rsidR="00C14EF7">
        <w:fldChar w:fldCharType="begin"/>
      </w:r>
      <w:r w:rsidR="005B253B">
        <w:instrText xml:space="preserve"> STYLEREF 1 \s </w:instrText>
      </w:r>
      <w:r w:rsidR="00C14EF7">
        <w:fldChar w:fldCharType="separate"/>
      </w:r>
      <w:r w:rsidR="003E0F65">
        <w:rPr>
          <w:noProof/>
        </w:rPr>
        <w:t>4</w:t>
      </w:r>
      <w:r w:rsidR="00C14EF7">
        <w:fldChar w:fldCharType="end"/>
      </w:r>
      <w:r w:rsidR="005B253B">
        <w:noBreakHyphen/>
      </w:r>
      <w:r w:rsidR="00C14EF7">
        <w:fldChar w:fldCharType="begin"/>
      </w:r>
      <w:r w:rsidR="005B253B">
        <w:instrText xml:space="preserve"> SEQ Figure \* ARABIC \s 1 </w:instrText>
      </w:r>
      <w:r w:rsidR="00C14EF7">
        <w:fldChar w:fldCharType="separate"/>
      </w:r>
      <w:r w:rsidR="003E0F65">
        <w:rPr>
          <w:noProof/>
        </w:rPr>
        <w:t>1</w:t>
      </w:r>
      <w:r w:rsidR="00C14EF7">
        <w:fldChar w:fldCharType="end"/>
      </w:r>
      <w:bookmarkEnd w:id="29"/>
      <w:r>
        <w:t>: Calibrated passenger transport growth to 2050 in the central policy scenario</w:t>
      </w:r>
      <w:bookmarkEnd w:id="30"/>
    </w:p>
    <w:p w:rsidR="001A6556" w:rsidRDefault="001A6556" w:rsidP="001A6556">
      <w:r>
        <w:t>MMRF projects freight transport by state based on the demand for freight by other sectors within the economy. Rail freight is projected to increase up to 450 percent in some states. In most states, rail, marine and road freight growth is between 150-250 percent by 2050.</w:t>
      </w:r>
    </w:p>
    <w:p w:rsidR="001A6556" w:rsidRDefault="00CC324A" w:rsidP="001A6556">
      <w:r w:rsidRPr="00CC324A">
        <w:lastRenderedPageBreak/>
        <w:drawing>
          <wp:inline distT="0" distB="0" distL="0" distR="0">
            <wp:extent cx="5395595" cy="3532217"/>
            <wp:effectExtent l="19050" t="0" r="0" b="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5395595" cy="3532217"/>
                    </a:xfrm>
                    <a:prstGeom prst="rect">
                      <a:avLst/>
                    </a:prstGeom>
                    <a:noFill/>
                    <a:ln w="9525">
                      <a:noFill/>
                      <a:miter lim="800000"/>
                      <a:headEnd/>
                      <a:tailEnd/>
                    </a:ln>
                  </pic:spPr>
                </pic:pic>
              </a:graphicData>
            </a:graphic>
          </wp:inline>
        </w:drawing>
      </w:r>
    </w:p>
    <w:p w:rsidR="001A6556" w:rsidRDefault="001A6556" w:rsidP="001A6556">
      <w:pPr>
        <w:pStyle w:val="Caption"/>
      </w:pPr>
      <w:bookmarkStart w:id="31" w:name="_Ref365997615"/>
      <w:bookmarkStart w:id="32" w:name="_Toc366227331"/>
      <w:r>
        <w:t xml:space="preserve">Figure </w:t>
      </w:r>
      <w:r w:rsidR="00C14EF7">
        <w:fldChar w:fldCharType="begin"/>
      </w:r>
      <w:r w:rsidR="005B253B">
        <w:instrText xml:space="preserve"> STYLEREF 1 \s </w:instrText>
      </w:r>
      <w:r w:rsidR="00C14EF7">
        <w:fldChar w:fldCharType="separate"/>
      </w:r>
      <w:r w:rsidR="003E0F65">
        <w:rPr>
          <w:noProof/>
        </w:rPr>
        <w:t>4</w:t>
      </w:r>
      <w:r w:rsidR="00C14EF7">
        <w:fldChar w:fldCharType="end"/>
      </w:r>
      <w:r w:rsidR="005B253B">
        <w:noBreakHyphen/>
      </w:r>
      <w:r w:rsidR="00C14EF7">
        <w:fldChar w:fldCharType="begin"/>
      </w:r>
      <w:r w:rsidR="005B253B">
        <w:instrText xml:space="preserve"> SEQ Figure \* ARABIC \s 1 </w:instrText>
      </w:r>
      <w:r w:rsidR="00C14EF7">
        <w:fldChar w:fldCharType="separate"/>
      </w:r>
      <w:r w:rsidR="003E0F65">
        <w:rPr>
          <w:noProof/>
        </w:rPr>
        <w:t>2</w:t>
      </w:r>
      <w:r w:rsidR="00C14EF7">
        <w:fldChar w:fldCharType="end"/>
      </w:r>
      <w:bookmarkEnd w:id="31"/>
      <w:r>
        <w:t xml:space="preserve">: Projected </w:t>
      </w:r>
      <w:r w:rsidR="009E31DC">
        <w:t xml:space="preserve">freight </w:t>
      </w:r>
      <w:r>
        <w:t>growth to 2050 in the central scenario</w:t>
      </w:r>
      <w:bookmarkEnd w:id="32"/>
    </w:p>
    <w:p w:rsidR="001A6556" w:rsidRDefault="001A6556" w:rsidP="001A6556">
      <w:r>
        <w:t>The o</w:t>
      </w:r>
      <w:r w:rsidRPr="00562A52">
        <w:t xml:space="preserve">ff-road </w:t>
      </w:r>
      <w:r>
        <w:t xml:space="preserve">vehicle sector, </w:t>
      </w:r>
      <w:r w:rsidRPr="00562A52">
        <w:t>international shipping and aviation are excluded</w:t>
      </w:r>
      <w:r w:rsidRPr="00112B96">
        <w:t xml:space="preserve"> </w:t>
      </w:r>
      <w:r>
        <w:t xml:space="preserve">from this modelling activity and are not accommodated for in the transport sector demand data. </w:t>
      </w:r>
    </w:p>
    <w:p w:rsidR="001A6556" w:rsidRPr="000A3241" w:rsidRDefault="001A6556" w:rsidP="001A6556">
      <w:r>
        <w:t>Fuel consumption will not increase to the same extent as transport demand due to expected improvements in fuel and activity efficiency. Fuel efficiency depends on the fuels and technologies taken up in each scenario.</w:t>
      </w:r>
      <w:r w:rsidRPr="000A3241">
        <w:t xml:space="preserve"> </w:t>
      </w:r>
      <w:r>
        <w:t>In regard to activity efficiency, f</w:t>
      </w:r>
      <w:r w:rsidRPr="000A3241">
        <w:t xml:space="preserve">or rail freight and </w:t>
      </w:r>
      <w:r>
        <w:t>marine transport</w:t>
      </w:r>
      <w:r w:rsidRPr="000A3241">
        <w:t xml:space="preserve">, historical data on goods moved </w:t>
      </w:r>
      <w:r w:rsidR="00AC0E16">
        <w:t xml:space="preserve">measured in </w:t>
      </w:r>
      <w:r w:rsidRPr="000A3241">
        <w:t>t</w:t>
      </w:r>
      <w:r w:rsidR="00AC0E16">
        <w:t xml:space="preserve">onne </w:t>
      </w:r>
      <w:r w:rsidRPr="000A3241">
        <w:t>k</w:t>
      </w:r>
      <w:r w:rsidR="00AC0E16">
        <w:t>ilo</w:t>
      </w:r>
      <w:r w:rsidRPr="000A3241">
        <w:t>m</w:t>
      </w:r>
      <w:r w:rsidR="00AC0E16">
        <w:t>etres</w:t>
      </w:r>
      <w:r w:rsidRPr="000A3241">
        <w:t xml:space="preserve"> and </w:t>
      </w:r>
      <w:r w:rsidR="00AC0E16">
        <w:t>in total</w:t>
      </w:r>
      <w:r w:rsidR="00AC0E16" w:rsidRPr="000A3241">
        <w:t xml:space="preserve"> </w:t>
      </w:r>
      <w:r w:rsidRPr="000A3241">
        <w:t xml:space="preserve">tonnes </w:t>
      </w:r>
      <w:r>
        <w:t xml:space="preserve">have been examined </w:t>
      </w:r>
      <w:r w:rsidRPr="000A3241">
        <w:t xml:space="preserve">to formulate a “task improvement” adjustment factor (e.g. larger ships/longer trains hauling more freight for same kilometres travelled). Using the longest sample for each mode, rail shows an average 1.9% improvement p.a. and shipping 0.43% p.a. </w:t>
      </w:r>
      <w:r>
        <w:t>These rates are assumed to continue indefinitely.</w:t>
      </w:r>
    </w:p>
    <w:p w:rsidR="001A6556" w:rsidRDefault="001A6556" w:rsidP="001A6556"/>
    <w:p w:rsidR="001A6556" w:rsidRPr="002C06C7" w:rsidRDefault="001A6556" w:rsidP="001A6556">
      <w:pPr>
        <w:pStyle w:val="Heading3"/>
        <w:tabs>
          <w:tab w:val="num" w:pos="643"/>
        </w:tabs>
        <w:suppressAutoHyphens/>
        <w:spacing w:before="240"/>
        <w:ind w:left="643" w:hanging="360"/>
      </w:pPr>
      <w:bookmarkStart w:id="33" w:name="_Toc306802116"/>
      <w:r w:rsidRPr="002C06C7">
        <w:t xml:space="preserve">Drivers of </w:t>
      </w:r>
      <w:r>
        <w:t xml:space="preserve">road </w:t>
      </w:r>
      <w:r w:rsidRPr="002C06C7">
        <w:t>fuel and vehicle choices</w:t>
      </w:r>
      <w:bookmarkEnd w:id="33"/>
    </w:p>
    <w:p w:rsidR="001A6556" w:rsidRDefault="001A6556" w:rsidP="001A6556">
      <w:pPr>
        <w:pStyle w:val="Heading4"/>
      </w:pPr>
      <w:r>
        <w:t>Economic and other considerations</w:t>
      </w:r>
    </w:p>
    <w:p w:rsidR="001A6556" w:rsidRDefault="001A6556" w:rsidP="00A3284F">
      <w:pPr>
        <w:spacing w:after="0"/>
      </w:pPr>
      <w:r>
        <w:t xml:space="preserve">In the road passenger sector, a multitude of factors influence the type of vehicles that are purchased each year. ABS (2009) reviewed a number of factors including purchase cost, fuel economy and size of vehicle. They found that the purchase cost was the strongest amongst this group </w:t>
      </w:r>
      <w:r w:rsidR="00A3284F">
        <w:t>(Table 4</w:t>
      </w:r>
      <w:r w:rsidR="00A3284F">
        <w:noBreakHyphen/>
        <w:t>1).</w:t>
      </w:r>
    </w:p>
    <w:p w:rsidR="00A3284F" w:rsidRDefault="00A3284F" w:rsidP="00A3284F">
      <w:pPr>
        <w:spacing w:after="0"/>
      </w:pPr>
    </w:p>
    <w:p w:rsidR="00387742" w:rsidRDefault="00387742">
      <w:pPr>
        <w:spacing w:after="0"/>
        <w:rPr>
          <w:b/>
          <w:bCs/>
          <w:color w:val="00A9CE" w:themeColor="accent1"/>
          <w:sz w:val="20"/>
          <w:szCs w:val="18"/>
        </w:rPr>
      </w:pPr>
      <w:bookmarkStart w:id="34" w:name="_Ref365643882"/>
      <w:bookmarkStart w:id="35" w:name="_Toc306802263"/>
      <w:r>
        <w:br w:type="page"/>
      </w:r>
    </w:p>
    <w:p w:rsidR="001A6556" w:rsidRDefault="001A6556" w:rsidP="001A6556">
      <w:pPr>
        <w:pStyle w:val="Caption"/>
      </w:pPr>
      <w:bookmarkStart w:id="36" w:name="_Toc366227379"/>
      <w:r>
        <w:lastRenderedPageBreak/>
        <w:t xml:space="preserve">Table </w:t>
      </w:r>
      <w:r w:rsidR="00C14EF7">
        <w:fldChar w:fldCharType="begin"/>
      </w:r>
      <w:r w:rsidR="00970F7D">
        <w:instrText xml:space="preserve"> STYLEREF 1 \s </w:instrText>
      </w:r>
      <w:r w:rsidR="00C14EF7">
        <w:fldChar w:fldCharType="separate"/>
      </w:r>
      <w:r w:rsidR="003E0F65">
        <w:rPr>
          <w:noProof/>
        </w:rPr>
        <w:t>4</w:t>
      </w:r>
      <w:r w:rsidR="00C14EF7">
        <w:rPr>
          <w:noProof/>
        </w:rPr>
        <w:fldChar w:fldCharType="end"/>
      </w:r>
      <w:r w:rsidR="00AB35C1">
        <w:noBreakHyphen/>
      </w:r>
      <w:r w:rsidR="00C14EF7">
        <w:fldChar w:fldCharType="begin"/>
      </w:r>
      <w:r w:rsidR="00970F7D">
        <w:instrText xml:space="preserve"> SEQ Table \* ARABIC \s 1 </w:instrText>
      </w:r>
      <w:r w:rsidR="00C14EF7">
        <w:fldChar w:fldCharType="separate"/>
      </w:r>
      <w:r w:rsidR="003E0F65">
        <w:rPr>
          <w:noProof/>
        </w:rPr>
        <w:t>1</w:t>
      </w:r>
      <w:r w:rsidR="00C14EF7">
        <w:rPr>
          <w:noProof/>
        </w:rPr>
        <w:fldChar w:fldCharType="end"/>
      </w:r>
      <w:bookmarkEnd w:id="34"/>
      <w:r>
        <w:t>: Ranking of surveyed factors considered in buying a vehicle from ABS (2009)</w:t>
      </w:r>
      <w:bookmarkEnd w:id="35"/>
      <w:bookmarkEnd w:id="36"/>
    </w:p>
    <w:tbl>
      <w:tblPr>
        <w:tblStyle w:val="LightList-Accent12"/>
        <w:tblW w:w="0" w:type="auto"/>
        <w:tblLook w:val="00A0"/>
      </w:tblPr>
      <w:tblGrid>
        <w:gridCol w:w="1372"/>
        <w:gridCol w:w="7341"/>
      </w:tblGrid>
      <w:tr w:rsidR="001A6556" w:rsidTr="00E011B7">
        <w:trPr>
          <w:cnfStyle w:val="100000000000"/>
        </w:trPr>
        <w:tc>
          <w:tcPr>
            <w:cnfStyle w:val="001000000000"/>
            <w:tcW w:w="1407" w:type="dxa"/>
          </w:tcPr>
          <w:p w:rsidR="001A6556" w:rsidRPr="008C316F" w:rsidRDefault="001A6556" w:rsidP="00E011B7">
            <w:pPr>
              <w:rPr>
                <w:rFonts w:ascii="Arial" w:hAnsi="Arial" w:cs="Arial"/>
                <w:b w:val="0"/>
                <w:bCs w:val="0"/>
                <w:color w:val="FFFFFF"/>
                <w:sz w:val="20"/>
                <w:szCs w:val="20"/>
                <w:lang w:eastAsia="zh-CN"/>
              </w:rPr>
            </w:pPr>
            <w:r w:rsidRPr="008C316F">
              <w:rPr>
                <w:rFonts w:ascii="Arial" w:hAnsi="Arial" w:cs="Arial"/>
                <w:color w:val="FFFFFF"/>
                <w:sz w:val="20"/>
                <w:szCs w:val="20"/>
                <w:lang w:eastAsia="zh-CN"/>
              </w:rPr>
              <w:t>Ranking</w:t>
            </w:r>
          </w:p>
        </w:tc>
        <w:tc>
          <w:tcPr>
            <w:cnfStyle w:val="000010000000"/>
            <w:tcW w:w="7835" w:type="dxa"/>
          </w:tcPr>
          <w:p w:rsidR="001A6556" w:rsidRPr="008C316F" w:rsidRDefault="001A6556" w:rsidP="00E011B7">
            <w:pPr>
              <w:rPr>
                <w:rFonts w:ascii="Arial" w:hAnsi="Arial" w:cs="Arial"/>
                <w:b w:val="0"/>
                <w:bCs w:val="0"/>
                <w:color w:val="FFFFFF"/>
                <w:sz w:val="20"/>
                <w:szCs w:val="20"/>
                <w:lang w:eastAsia="zh-CN"/>
              </w:rPr>
            </w:pPr>
            <w:r w:rsidRPr="008C316F">
              <w:rPr>
                <w:rFonts w:ascii="Arial" w:hAnsi="Arial" w:cs="Arial"/>
                <w:color w:val="FFFFFF"/>
                <w:sz w:val="20"/>
                <w:szCs w:val="20"/>
                <w:lang w:eastAsia="zh-CN"/>
              </w:rPr>
              <w:t>Vehicle purchase considerations</w:t>
            </w:r>
          </w:p>
        </w:tc>
      </w:tr>
      <w:tr w:rsidR="001A6556" w:rsidTr="00E011B7">
        <w:trPr>
          <w:cnfStyle w:val="000000100000"/>
        </w:trPr>
        <w:tc>
          <w:tcPr>
            <w:cnfStyle w:val="001000000000"/>
            <w:tcW w:w="1407" w:type="dxa"/>
          </w:tcPr>
          <w:p w:rsidR="001A6556" w:rsidRPr="008C316F" w:rsidRDefault="001A6556" w:rsidP="00E011B7">
            <w:pPr>
              <w:rPr>
                <w:rFonts w:ascii="Arial" w:hAnsi="Arial" w:cs="Arial"/>
                <w:b w:val="0"/>
                <w:bCs w:val="0"/>
                <w:sz w:val="20"/>
                <w:szCs w:val="20"/>
                <w:lang w:eastAsia="zh-CN"/>
              </w:rPr>
            </w:pPr>
            <w:r w:rsidRPr="008C316F">
              <w:rPr>
                <w:rFonts w:ascii="Arial" w:hAnsi="Arial" w:cs="Arial"/>
                <w:sz w:val="20"/>
                <w:szCs w:val="20"/>
                <w:lang w:eastAsia="zh-CN"/>
              </w:rPr>
              <w:t>1</w:t>
            </w:r>
          </w:p>
        </w:tc>
        <w:tc>
          <w:tcPr>
            <w:cnfStyle w:val="000010000000"/>
            <w:tcW w:w="7835" w:type="dxa"/>
          </w:tcPr>
          <w:p w:rsidR="001A6556" w:rsidRPr="008C316F" w:rsidRDefault="001A6556" w:rsidP="00E011B7">
            <w:pPr>
              <w:rPr>
                <w:rFonts w:ascii="Arial" w:hAnsi="Arial" w:cs="Arial"/>
                <w:sz w:val="20"/>
                <w:szCs w:val="20"/>
                <w:lang w:eastAsia="zh-CN"/>
              </w:rPr>
            </w:pPr>
            <w:r w:rsidRPr="008C316F">
              <w:rPr>
                <w:rFonts w:ascii="Arial" w:hAnsi="Arial" w:cs="Arial"/>
                <w:sz w:val="20"/>
                <w:szCs w:val="20"/>
                <w:lang w:eastAsia="zh-CN"/>
              </w:rPr>
              <w:t>Purchase cost/price</w:t>
            </w:r>
          </w:p>
        </w:tc>
      </w:tr>
      <w:tr w:rsidR="001A6556" w:rsidTr="00E011B7">
        <w:tc>
          <w:tcPr>
            <w:cnfStyle w:val="001000000000"/>
            <w:tcW w:w="1407" w:type="dxa"/>
          </w:tcPr>
          <w:p w:rsidR="001A6556" w:rsidRPr="008C316F" w:rsidRDefault="001A6556" w:rsidP="00E011B7">
            <w:pPr>
              <w:rPr>
                <w:rFonts w:ascii="Arial" w:hAnsi="Arial" w:cs="Arial"/>
                <w:b w:val="0"/>
                <w:bCs w:val="0"/>
                <w:sz w:val="20"/>
                <w:szCs w:val="20"/>
                <w:lang w:eastAsia="zh-CN"/>
              </w:rPr>
            </w:pPr>
            <w:r w:rsidRPr="008C316F">
              <w:rPr>
                <w:rFonts w:ascii="Arial" w:hAnsi="Arial" w:cs="Arial"/>
                <w:sz w:val="20"/>
                <w:szCs w:val="20"/>
                <w:lang w:eastAsia="zh-CN"/>
              </w:rPr>
              <w:t>2</w:t>
            </w:r>
          </w:p>
        </w:tc>
        <w:tc>
          <w:tcPr>
            <w:cnfStyle w:val="000010000000"/>
            <w:tcW w:w="7835" w:type="dxa"/>
          </w:tcPr>
          <w:p w:rsidR="001A6556" w:rsidRPr="008C316F" w:rsidRDefault="001A6556" w:rsidP="00E011B7">
            <w:pPr>
              <w:rPr>
                <w:rFonts w:ascii="Arial" w:hAnsi="Arial" w:cs="Arial"/>
                <w:sz w:val="20"/>
                <w:szCs w:val="20"/>
                <w:lang w:eastAsia="zh-CN"/>
              </w:rPr>
            </w:pPr>
            <w:r w:rsidRPr="008C316F">
              <w:rPr>
                <w:rFonts w:ascii="Arial" w:hAnsi="Arial" w:cs="Arial"/>
                <w:sz w:val="20"/>
                <w:szCs w:val="20"/>
                <w:lang w:eastAsia="zh-CN"/>
              </w:rPr>
              <w:t>Fuel economy/running costs</w:t>
            </w:r>
          </w:p>
        </w:tc>
      </w:tr>
      <w:tr w:rsidR="001A6556" w:rsidTr="00E011B7">
        <w:trPr>
          <w:cnfStyle w:val="000000100000"/>
        </w:trPr>
        <w:tc>
          <w:tcPr>
            <w:cnfStyle w:val="001000000000"/>
            <w:tcW w:w="1407" w:type="dxa"/>
          </w:tcPr>
          <w:p w:rsidR="001A6556" w:rsidRPr="008C316F" w:rsidRDefault="001A6556" w:rsidP="00E011B7">
            <w:pPr>
              <w:rPr>
                <w:rFonts w:ascii="Arial" w:hAnsi="Arial" w:cs="Arial"/>
                <w:b w:val="0"/>
                <w:bCs w:val="0"/>
                <w:sz w:val="20"/>
                <w:szCs w:val="20"/>
                <w:lang w:eastAsia="zh-CN"/>
              </w:rPr>
            </w:pPr>
            <w:r w:rsidRPr="008C316F">
              <w:rPr>
                <w:rFonts w:ascii="Arial" w:hAnsi="Arial" w:cs="Arial"/>
                <w:sz w:val="20"/>
                <w:szCs w:val="20"/>
                <w:lang w:eastAsia="zh-CN"/>
              </w:rPr>
              <w:t>3</w:t>
            </w:r>
          </w:p>
        </w:tc>
        <w:tc>
          <w:tcPr>
            <w:cnfStyle w:val="000010000000"/>
            <w:tcW w:w="7835" w:type="dxa"/>
          </w:tcPr>
          <w:p w:rsidR="001A6556" w:rsidRPr="008C316F" w:rsidRDefault="001A6556" w:rsidP="00E011B7">
            <w:pPr>
              <w:rPr>
                <w:rFonts w:ascii="Arial" w:hAnsi="Arial" w:cs="Arial"/>
                <w:sz w:val="20"/>
                <w:szCs w:val="20"/>
                <w:lang w:eastAsia="zh-CN"/>
              </w:rPr>
            </w:pPr>
            <w:r w:rsidRPr="008C316F">
              <w:rPr>
                <w:rFonts w:ascii="Arial" w:hAnsi="Arial" w:cs="Arial"/>
                <w:sz w:val="20"/>
                <w:szCs w:val="20"/>
                <w:lang w:eastAsia="zh-CN"/>
              </w:rPr>
              <w:t>Size of vehicle</w:t>
            </w:r>
          </w:p>
        </w:tc>
      </w:tr>
      <w:tr w:rsidR="001A6556" w:rsidTr="00E011B7">
        <w:tc>
          <w:tcPr>
            <w:cnfStyle w:val="001000000000"/>
            <w:tcW w:w="1407" w:type="dxa"/>
          </w:tcPr>
          <w:p w:rsidR="001A6556" w:rsidRPr="008C316F" w:rsidRDefault="001A6556" w:rsidP="00E011B7">
            <w:pPr>
              <w:rPr>
                <w:rFonts w:ascii="Arial" w:hAnsi="Arial" w:cs="Arial"/>
                <w:b w:val="0"/>
                <w:bCs w:val="0"/>
                <w:sz w:val="20"/>
                <w:szCs w:val="20"/>
                <w:lang w:eastAsia="zh-CN"/>
              </w:rPr>
            </w:pPr>
            <w:r w:rsidRPr="008C316F">
              <w:rPr>
                <w:rFonts w:ascii="Arial" w:hAnsi="Arial" w:cs="Arial"/>
                <w:sz w:val="20"/>
                <w:szCs w:val="20"/>
                <w:lang w:eastAsia="zh-CN"/>
              </w:rPr>
              <w:t>4</w:t>
            </w:r>
          </w:p>
        </w:tc>
        <w:tc>
          <w:tcPr>
            <w:cnfStyle w:val="000010000000"/>
            <w:tcW w:w="7835" w:type="dxa"/>
          </w:tcPr>
          <w:p w:rsidR="001A6556" w:rsidRPr="008C316F" w:rsidRDefault="001A6556" w:rsidP="00E011B7">
            <w:pPr>
              <w:rPr>
                <w:rFonts w:ascii="Arial" w:hAnsi="Arial" w:cs="Arial"/>
                <w:sz w:val="20"/>
                <w:szCs w:val="20"/>
                <w:lang w:eastAsia="zh-CN"/>
              </w:rPr>
            </w:pPr>
            <w:r w:rsidRPr="008C316F">
              <w:rPr>
                <w:rFonts w:ascii="Arial" w:hAnsi="Arial" w:cs="Arial"/>
                <w:sz w:val="20"/>
                <w:szCs w:val="20"/>
                <w:lang w:eastAsia="zh-CN"/>
              </w:rPr>
              <w:t>Type of vehicle (e.g. car, 4WD)</w:t>
            </w:r>
          </w:p>
        </w:tc>
      </w:tr>
      <w:tr w:rsidR="001A6556" w:rsidTr="00E011B7">
        <w:trPr>
          <w:cnfStyle w:val="000000100000"/>
        </w:trPr>
        <w:tc>
          <w:tcPr>
            <w:cnfStyle w:val="001000000000"/>
            <w:tcW w:w="1407" w:type="dxa"/>
          </w:tcPr>
          <w:p w:rsidR="001A6556" w:rsidRPr="008C316F" w:rsidRDefault="001A6556" w:rsidP="00E011B7">
            <w:pPr>
              <w:rPr>
                <w:rFonts w:ascii="Arial" w:hAnsi="Arial" w:cs="Arial"/>
                <w:b w:val="0"/>
                <w:bCs w:val="0"/>
                <w:sz w:val="20"/>
                <w:szCs w:val="20"/>
                <w:lang w:eastAsia="zh-CN"/>
              </w:rPr>
            </w:pPr>
            <w:r w:rsidRPr="008C316F">
              <w:rPr>
                <w:rFonts w:ascii="Arial" w:hAnsi="Arial" w:cs="Arial"/>
                <w:sz w:val="20"/>
                <w:szCs w:val="20"/>
                <w:lang w:eastAsia="zh-CN"/>
              </w:rPr>
              <w:t>5</w:t>
            </w:r>
          </w:p>
        </w:tc>
        <w:tc>
          <w:tcPr>
            <w:cnfStyle w:val="000010000000"/>
            <w:tcW w:w="7835" w:type="dxa"/>
          </w:tcPr>
          <w:p w:rsidR="001A6556" w:rsidRPr="008C316F" w:rsidRDefault="001A6556" w:rsidP="00E011B7">
            <w:pPr>
              <w:rPr>
                <w:rFonts w:ascii="Arial" w:hAnsi="Arial" w:cs="Arial"/>
                <w:sz w:val="20"/>
                <w:szCs w:val="20"/>
                <w:lang w:eastAsia="zh-CN"/>
              </w:rPr>
            </w:pPr>
            <w:r w:rsidRPr="008C316F">
              <w:rPr>
                <w:rFonts w:ascii="Arial" w:hAnsi="Arial" w:cs="Arial"/>
                <w:sz w:val="20"/>
                <w:szCs w:val="20"/>
                <w:lang w:eastAsia="zh-CN"/>
              </w:rPr>
              <w:t>Reliability</w:t>
            </w:r>
          </w:p>
        </w:tc>
      </w:tr>
      <w:tr w:rsidR="001A6556" w:rsidTr="00E011B7">
        <w:tc>
          <w:tcPr>
            <w:cnfStyle w:val="001000000000"/>
            <w:tcW w:w="1407" w:type="dxa"/>
          </w:tcPr>
          <w:p w:rsidR="001A6556" w:rsidRPr="008C316F" w:rsidRDefault="001A6556" w:rsidP="00E011B7">
            <w:pPr>
              <w:rPr>
                <w:rFonts w:ascii="Arial" w:hAnsi="Arial" w:cs="Arial"/>
                <w:b w:val="0"/>
                <w:bCs w:val="0"/>
                <w:sz w:val="20"/>
                <w:szCs w:val="20"/>
                <w:lang w:eastAsia="zh-CN"/>
              </w:rPr>
            </w:pPr>
            <w:r w:rsidRPr="008C316F">
              <w:rPr>
                <w:rFonts w:ascii="Arial" w:hAnsi="Arial" w:cs="Arial"/>
                <w:sz w:val="20"/>
                <w:szCs w:val="20"/>
                <w:lang w:eastAsia="zh-CN"/>
              </w:rPr>
              <w:t>6</w:t>
            </w:r>
          </w:p>
        </w:tc>
        <w:tc>
          <w:tcPr>
            <w:cnfStyle w:val="000010000000"/>
            <w:tcW w:w="7835" w:type="dxa"/>
          </w:tcPr>
          <w:p w:rsidR="001A6556" w:rsidRPr="008C316F" w:rsidRDefault="001A6556" w:rsidP="00E011B7">
            <w:pPr>
              <w:rPr>
                <w:rFonts w:ascii="Arial" w:hAnsi="Arial" w:cs="Arial"/>
                <w:sz w:val="20"/>
                <w:szCs w:val="20"/>
                <w:lang w:eastAsia="zh-CN"/>
              </w:rPr>
            </w:pPr>
            <w:r w:rsidRPr="008C316F">
              <w:rPr>
                <w:rFonts w:ascii="Arial" w:hAnsi="Arial" w:cs="Arial"/>
                <w:sz w:val="20"/>
                <w:szCs w:val="20"/>
                <w:lang w:eastAsia="zh-CN"/>
              </w:rPr>
              <w:t>Appearance</w:t>
            </w:r>
          </w:p>
        </w:tc>
      </w:tr>
      <w:tr w:rsidR="001A6556" w:rsidTr="00E011B7">
        <w:trPr>
          <w:cnfStyle w:val="000000100000"/>
        </w:trPr>
        <w:tc>
          <w:tcPr>
            <w:cnfStyle w:val="001000000000"/>
            <w:tcW w:w="1407" w:type="dxa"/>
          </w:tcPr>
          <w:p w:rsidR="001A6556" w:rsidRPr="008C316F" w:rsidRDefault="001A6556" w:rsidP="00E011B7">
            <w:pPr>
              <w:rPr>
                <w:rFonts w:ascii="Arial" w:hAnsi="Arial" w:cs="Arial"/>
                <w:b w:val="0"/>
                <w:bCs w:val="0"/>
                <w:sz w:val="20"/>
                <w:szCs w:val="20"/>
                <w:lang w:eastAsia="zh-CN"/>
              </w:rPr>
            </w:pPr>
            <w:r w:rsidRPr="008C316F">
              <w:rPr>
                <w:rFonts w:ascii="Arial" w:hAnsi="Arial" w:cs="Arial"/>
                <w:sz w:val="20"/>
                <w:szCs w:val="20"/>
                <w:lang w:eastAsia="zh-CN"/>
              </w:rPr>
              <w:t>7</w:t>
            </w:r>
          </w:p>
        </w:tc>
        <w:tc>
          <w:tcPr>
            <w:cnfStyle w:val="000010000000"/>
            <w:tcW w:w="7835" w:type="dxa"/>
          </w:tcPr>
          <w:p w:rsidR="001A6556" w:rsidRPr="008C316F" w:rsidRDefault="001A6556" w:rsidP="00E011B7">
            <w:pPr>
              <w:rPr>
                <w:rFonts w:ascii="Arial" w:hAnsi="Arial" w:cs="Arial"/>
                <w:sz w:val="20"/>
                <w:szCs w:val="20"/>
                <w:lang w:eastAsia="zh-CN"/>
              </w:rPr>
            </w:pPr>
            <w:r w:rsidRPr="008C316F">
              <w:rPr>
                <w:rFonts w:ascii="Arial" w:hAnsi="Arial" w:cs="Arial"/>
                <w:sz w:val="20"/>
                <w:szCs w:val="20"/>
                <w:lang w:eastAsia="zh-CN"/>
              </w:rPr>
              <w:t>Manufacturers reputation</w:t>
            </w:r>
          </w:p>
        </w:tc>
      </w:tr>
      <w:tr w:rsidR="001A6556" w:rsidTr="00E011B7">
        <w:tc>
          <w:tcPr>
            <w:cnfStyle w:val="001000000000"/>
            <w:tcW w:w="1407" w:type="dxa"/>
          </w:tcPr>
          <w:p w:rsidR="001A6556" w:rsidRPr="008C316F" w:rsidRDefault="001A6556" w:rsidP="00E011B7">
            <w:pPr>
              <w:rPr>
                <w:rFonts w:ascii="Arial" w:hAnsi="Arial" w:cs="Arial"/>
                <w:b w:val="0"/>
                <w:bCs w:val="0"/>
                <w:sz w:val="20"/>
                <w:szCs w:val="20"/>
                <w:lang w:eastAsia="zh-CN"/>
              </w:rPr>
            </w:pPr>
            <w:r w:rsidRPr="008C316F">
              <w:rPr>
                <w:rFonts w:ascii="Arial" w:hAnsi="Arial" w:cs="Arial"/>
                <w:sz w:val="20"/>
                <w:szCs w:val="20"/>
                <w:lang w:eastAsia="zh-CN"/>
              </w:rPr>
              <w:t>9</w:t>
            </w:r>
          </w:p>
        </w:tc>
        <w:tc>
          <w:tcPr>
            <w:cnfStyle w:val="000010000000"/>
            <w:tcW w:w="7835" w:type="dxa"/>
          </w:tcPr>
          <w:p w:rsidR="001A6556" w:rsidRPr="008C316F" w:rsidRDefault="001A6556" w:rsidP="00E011B7">
            <w:pPr>
              <w:rPr>
                <w:rFonts w:ascii="Arial" w:hAnsi="Arial" w:cs="Arial"/>
                <w:sz w:val="20"/>
                <w:szCs w:val="20"/>
                <w:lang w:eastAsia="zh-CN"/>
              </w:rPr>
            </w:pPr>
            <w:r w:rsidRPr="008C316F">
              <w:rPr>
                <w:rFonts w:ascii="Arial" w:hAnsi="Arial" w:cs="Arial"/>
                <w:sz w:val="20"/>
                <w:szCs w:val="20"/>
                <w:lang w:eastAsia="zh-CN"/>
              </w:rPr>
              <w:t>Age/low kilometres</w:t>
            </w:r>
          </w:p>
        </w:tc>
      </w:tr>
      <w:tr w:rsidR="001A6556" w:rsidTr="00E011B7">
        <w:trPr>
          <w:cnfStyle w:val="000000100000"/>
        </w:trPr>
        <w:tc>
          <w:tcPr>
            <w:cnfStyle w:val="001000000000"/>
            <w:tcW w:w="1407" w:type="dxa"/>
          </w:tcPr>
          <w:p w:rsidR="001A6556" w:rsidRPr="008C316F" w:rsidRDefault="001A6556" w:rsidP="00E011B7">
            <w:pPr>
              <w:rPr>
                <w:rFonts w:ascii="Arial" w:hAnsi="Arial" w:cs="Arial"/>
                <w:b w:val="0"/>
                <w:bCs w:val="0"/>
                <w:sz w:val="20"/>
                <w:szCs w:val="20"/>
                <w:lang w:eastAsia="zh-CN"/>
              </w:rPr>
            </w:pPr>
            <w:r w:rsidRPr="008C316F">
              <w:rPr>
                <w:rFonts w:ascii="Arial" w:hAnsi="Arial" w:cs="Arial"/>
                <w:sz w:val="20"/>
                <w:szCs w:val="20"/>
                <w:lang w:eastAsia="zh-CN"/>
              </w:rPr>
              <w:t>10</w:t>
            </w:r>
          </w:p>
        </w:tc>
        <w:tc>
          <w:tcPr>
            <w:cnfStyle w:val="000010000000"/>
            <w:tcW w:w="7835" w:type="dxa"/>
          </w:tcPr>
          <w:p w:rsidR="001A6556" w:rsidRPr="008C316F" w:rsidRDefault="001A6556" w:rsidP="00E011B7">
            <w:pPr>
              <w:rPr>
                <w:rFonts w:ascii="Arial" w:hAnsi="Arial" w:cs="Arial"/>
                <w:sz w:val="20"/>
                <w:szCs w:val="20"/>
                <w:lang w:eastAsia="zh-CN"/>
              </w:rPr>
            </w:pPr>
            <w:r w:rsidRPr="008C316F">
              <w:rPr>
                <w:rFonts w:ascii="Arial" w:hAnsi="Arial" w:cs="Arial"/>
                <w:sz w:val="20"/>
                <w:szCs w:val="20"/>
                <w:lang w:eastAsia="zh-CN"/>
              </w:rPr>
              <w:t>Safety</w:t>
            </w:r>
          </w:p>
        </w:tc>
      </w:tr>
      <w:tr w:rsidR="001A6556" w:rsidTr="00E011B7">
        <w:tc>
          <w:tcPr>
            <w:cnfStyle w:val="001000000000"/>
            <w:tcW w:w="1407" w:type="dxa"/>
          </w:tcPr>
          <w:p w:rsidR="001A6556" w:rsidRPr="008C316F" w:rsidRDefault="001A6556" w:rsidP="00E011B7">
            <w:pPr>
              <w:rPr>
                <w:rFonts w:ascii="Arial" w:hAnsi="Arial" w:cs="Arial"/>
                <w:b w:val="0"/>
                <w:bCs w:val="0"/>
                <w:sz w:val="20"/>
                <w:szCs w:val="20"/>
                <w:lang w:eastAsia="zh-CN"/>
              </w:rPr>
            </w:pPr>
            <w:r w:rsidRPr="008C316F">
              <w:rPr>
                <w:rFonts w:ascii="Arial" w:hAnsi="Arial" w:cs="Arial"/>
                <w:sz w:val="20"/>
                <w:szCs w:val="20"/>
                <w:lang w:eastAsia="zh-CN"/>
              </w:rPr>
              <w:t>11</w:t>
            </w:r>
          </w:p>
        </w:tc>
        <w:tc>
          <w:tcPr>
            <w:cnfStyle w:val="000010000000"/>
            <w:tcW w:w="7835" w:type="dxa"/>
          </w:tcPr>
          <w:p w:rsidR="001A6556" w:rsidRPr="008C316F" w:rsidRDefault="001A6556" w:rsidP="00E011B7">
            <w:pPr>
              <w:rPr>
                <w:rFonts w:ascii="Arial" w:hAnsi="Arial" w:cs="Arial"/>
                <w:sz w:val="20"/>
                <w:szCs w:val="20"/>
                <w:lang w:eastAsia="zh-CN"/>
              </w:rPr>
            </w:pPr>
            <w:r w:rsidRPr="008C316F">
              <w:rPr>
                <w:rFonts w:ascii="Arial" w:hAnsi="Arial" w:cs="Arial"/>
                <w:sz w:val="20"/>
                <w:szCs w:val="20"/>
                <w:lang w:eastAsia="zh-CN"/>
              </w:rPr>
              <w:t>Seating capacity</w:t>
            </w:r>
          </w:p>
        </w:tc>
      </w:tr>
      <w:tr w:rsidR="001A6556" w:rsidTr="00E011B7">
        <w:trPr>
          <w:cnfStyle w:val="000000100000"/>
        </w:trPr>
        <w:tc>
          <w:tcPr>
            <w:cnfStyle w:val="001000000000"/>
            <w:tcW w:w="1407" w:type="dxa"/>
          </w:tcPr>
          <w:p w:rsidR="001A6556" w:rsidRPr="008C316F" w:rsidRDefault="001A6556" w:rsidP="00E011B7">
            <w:pPr>
              <w:rPr>
                <w:rFonts w:ascii="Arial" w:hAnsi="Arial" w:cs="Arial"/>
                <w:b w:val="0"/>
                <w:bCs w:val="0"/>
                <w:sz w:val="20"/>
                <w:szCs w:val="20"/>
                <w:lang w:eastAsia="zh-CN"/>
              </w:rPr>
            </w:pPr>
            <w:r w:rsidRPr="008C316F">
              <w:rPr>
                <w:rFonts w:ascii="Arial" w:hAnsi="Arial" w:cs="Arial"/>
                <w:sz w:val="20"/>
                <w:szCs w:val="20"/>
                <w:lang w:eastAsia="zh-CN"/>
              </w:rPr>
              <w:t>12</w:t>
            </w:r>
          </w:p>
        </w:tc>
        <w:tc>
          <w:tcPr>
            <w:cnfStyle w:val="000010000000"/>
            <w:tcW w:w="7835" w:type="dxa"/>
          </w:tcPr>
          <w:p w:rsidR="001A6556" w:rsidRPr="008C316F" w:rsidRDefault="001A6556" w:rsidP="00E011B7">
            <w:pPr>
              <w:rPr>
                <w:rFonts w:ascii="Arial" w:hAnsi="Arial" w:cs="Arial"/>
                <w:sz w:val="20"/>
                <w:szCs w:val="20"/>
                <w:lang w:eastAsia="zh-CN"/>
              </w:rPr>
            </w:pPr>
            <w:r w:rsidRPr="008C316F">
              <w:rPr>
                <w:rFonts w:ascii="Arial" w:hAnsi="Arial" w:cs="Arial"/>
                <w:sz w:val="20"/>
                <w:szCs w:val="20"/>
                <w:lang w:eastAsia="zh-CN"/>
              </w:rPr>
              <w:t>Accessories (e.g. air conditioning)</w:t>
            </w:r>
          </w:p>
        </w:tc>
      </w:tr>
      <w:tr w:rsidR="001A6556" w:rsidTr="00E011B7">
        <w:tc>
          <w:tcPr>
            <w:cnfStyle w:val="001000000000"/>
            <w:tcW w:w="1407" w:type="dxa"/>
          </w:tcPr>
          <w:p w:rsidR="001A6556" w:rsidRPr="008C316F" w:rsidRDefault="001A6556" w:rsidP="00E011B7">
            <w:pPr>
              <w:rPr>
                <w:rFonts w:ascii="Arial" w:hAnsi="Arial" w:cs="Arial"/>
                <w:b w:val="0"/>
                <w:bCs w:val="0"/>
                <w:sz w:val="20"/>
                <w:szCs w:val="20"/>
                <w:lang w:eastAsia="zh-CN"/>
              </w:rPr>
            </w:pPr>
            <w:r w:rsidRPr="008C316F">
              <w:rPr>
                <w:rFonts w:ascii="Arial" w:hAnsi="Arial" w:cs="Arial"/>
                <w:sz w:val="20"/>
                <w:szCs w:val="20"/>
                <w:lang w:eastAsia="zh-CN"/>
              </w:rPr>
              <w:t>13</w:t>
            </w:r>
          </w:p>
        </w:tc>
        <w:tc>
          <w:tcPr>
            <w:cnfStyle w:val="000010000000"/>
            <w:tcW w:w="7835" w:type="dxa"/>
          </w:tcPr>
          <w:p w:rsidR="001A6556" w:rsidRPr="008C316F" w:rsidRDefault="001A6556" w:rsidP="00E011B7">
            <w:pPr>
              <w:rPr>
                <w:rFonts w:ascii="Arial" w:hAnsi="Arial" w:cs="Arial"/>
                <w:sz w:val="20"/>
                <w:szCs w:val="20"/>
                <w:lang w:eastAsia="zh-CN"/>
              </w:rPr>
            </w:pPr>
            <w:r w:rsidRPr="008C316F">
              <w:rPr>
                <w:rFonts w:ascii="Arial" w:hAnsi="Arial" w:cs="Arial"/>
                <w:sz w:val="20"/>
                <w:szCs w:val="20"/>
                <w:lang w:eastAsia="zh-CN"/>
              </w:rPr>
              <w:t>Engine capacity/performance</w:t>
            </w:r>
          </w:p>
        </w:tc>
      </w:tr>
      <w:tr w:rsidR="001A6556" w:rsidTr="00E011B7">
        <w:trPr>
          <w:cnfStyle w:val="000000100000"/>
        </w:trPr>
        <w:tc>
          <w:tcPr>
            <w:cnfStyle w:val="001000000000"/>
            <w:tcW w:w="1407" w:type="dxa"/>
          </w:tcPr>
          <w:p w:rsidR="001A6556" w:rsidRPr="008C316F" w:rsidRDefault="001A6556" w:rsidP="00E011B7">
            <w:pPr>
              <w:rPr>
                <w:rFonts w:ascii="Arial" w:hAnsi="Arial" w:cs="Arial"/>
                <w:b w:val="0"/>
                <w:bCs w:val="0"/>
                <w:sz w:val="20"/>
                <w:szCs w:val="20"/>
                <w:lang w:eastAsia="zh-CN"/>
              </w:rPr>
            </w:pPr>
            <w:r w:rsidRPr="008C316F">
              <w:rPr>
                <w:rFonts w:ascii="Arial" w:hAnsi="Arial" w:cs="Arial"/>
                <w:sz w:val="20"/>
                <w:szCs w:val="20"/>
                <w:lang w:eastAsia="zh-CN"/>
              </w:rPr>
              <w:t>14</w:t>
            </w:r>
          </w:p>
        </w:tc>
        <w:tc>
          <w:tcPr>
            <w:cnfStyle w:val="000010000000"/>
            <w:tcW w:w="7835" w:type="dxa"/>
          </w:tcPr>
          <w:p w:rsidR="001A6556" w:rsidRPr="008C316F" w:rsidRDefault="001A6556" w:rsidP="00E011B7">
            <w:pPr>
              <w:rPr>
                <w:rFonts w:ascii="Arial" w:hAnsi="Arial" w:cs="Arial"/>
                <w:sz w:val="20"/>
                <w:szCs w:val="20"/>
                <w:lang w:eastAsia="zh-CN"/>
              </w:rPr>
            </w:pPr>
            <w:r w:rsidRPr="008C316F">
              <w:rPr>
                <w:rFonts w:ascii="Arial" w:hAnsi="Arial" w:cs="Arial"/>
                <w:sz w:val="20"/>
                <w:szCs w:val="20"/>
                <w:lang w:eastAsia="zh-CN"/>
              </w:rPr>
              <w:t>Other</w:t>
            </w:r>
          </w:p>
        </w:tc>
      </w:tr>
      <w:tr w:rsidR="001A6556" w:rsidTr="00E011B7">
        <w:tc>
          <w:tcPr>
            <w:cnfStyle w:val="001000000000"/>
            <w:tcW w:w="1407" w:type="dxa"/>
          </w:tcPr>
          <w:p w:rsidR="001A6556" w:rsidRPr="008C316F" w:rsidRDefault="001A6556" w:rsidP="00E011B7">
            <w:pPr>
              <w:rPr>
                <w:rFonts w:ascii="Arial" w:hAnsi="Arial" w:cs="Arial"/>
                <w:b w:val="0"/>
                <w:bCs w:val="0"/>
                <w:sz w:val="20"/>
                <w:szCs w:val="20"/>
                <w:lang w:eastAsia="zh-CN"/>
              </w:rPr>
            </w:pPr>
            <w:r w:rsidRPr="008C316F">
              <w:rPr>
                <w:rFonts w:ascii="Arial" w:hAnsi="Arial" w:cs="Arial"/>
                <w:sz w:val="20"/>
                <w:szCs w:val="20"/>
                <w:lang w:eastAsia="zh-CN"/>
              </w:rPr>
              <w:t>15</w:t>
            </w:r>
          </w:p>
        </w:tc>
        <w:tc>
          <w:tcPr>
            <w:cnfStyle w:val="000010000000"/>
            <w:tcW w:w="7835" w:type="dxa"/>
          </w:tcPr>
          <w:p w:rsidR="001A6556" w:rsidRPr="008C316F" w:rsidRDefault="001A6556" w:rsidP="00E011B7">
            <w:pPr>
              <w:rPr>
                <w:rFonts w:ascii="Arial" w:hAnsi="Arial" w:cs="Arial"/>
                <w:sz w:val="20"/>
                <w:szCs w:val="20"/>
                <w:lang w:eastAsia="zh-CN"/>
              </w:rPr>
            </w:pPr>
            <w:r w:rsidRPr="008C316F">
              <w:rPr>
                <w:rFonts w:ascii="Arial" w:hAnsi="Arial" w:cs="Arial"/>
                <w:sz w:val="20"/>
                <w:szCs w:val="20"/>
                <w:lang w:eastAsia="zh-CN"/>
              </w:rPr>
              <w:t>Environmental impact/exhaust emissions</w:t>
            </w:r>
          </w:p>
        </w:tc>
      </w:tr>
    </w:tbl>
    <w:p w:rsidR="001A6556" w:rsidRDefault="001A6556" w:rsidP="001A6556"/>
    <w:p w:rsidR="001A6556" w:rsidRDefault="001A6556" w:rsidP="001A6556">
      <w:r>
        <w:t>The approach applied in this analysis assumed that alternative fuels and vehicles will be taken up when they represent a cost saving relative to other choices for both freight and passenger sector users. This is a necessary oversimplification in order to make the analysis of the future potential of alternative fuels tractable. However, how consumers decide what is an economically rational choice is not straightforward. Consumers react to fuel prices daily but have limited ability to change their fuel choice once their vehicle has been purchased. For example, E10 is compatible with most modern vehicles and E85 in a more limited range of vehicles. Alternative forms of diesel from fossil or renewable sources are also partly or fully substitutable. In these circumstances, the choice is simply choosing the least cost fuel (adjusting for any changes in energy content if applicable).</w:t>
      </w:r>
    </w:p>
    <w:p w:rsidR="001A6556" w:rsidRDefault="001A6556" w:rsidP="001A6556">
      <w:r>
        <w:t xml:space="preserve">At the point of vehicle sale or when considering a retrofit, when a broader range of options are available, the rational choice would be to compare the full running cost of each vehicle over the period of ownership, including vehicle purchase cost, registration, maintenance and fuel. The </w:t>
      </w:r>
      <w:r w:rsidRPr="00FD00DA">
        <w:t>NRMA’s</w:t>
      </w:r>
      <w:r>
        <w:t xml:space="preserve"> 2011</w:t>
      </w:r>
      <w:r w:rsidRPr="00FD00DA">
        <w:t xml:space="preserve"> </w:t>
      </w:r>
      <w:r w:rsidRPr="00D30D2F">
        <w:rPr>
          <w:i/>
        </w:rPr>
        <w:t>Private</w:t>
      </w:r>
      <w:r>
        <w:rPr>
          <w:i/>
        </w:rPr>
        <w:t xml:space="preserve"> </w:t>
      </w:r>
      <w:r w:rsidRPr="00D30D2F">
        <w:rPr>
          <w:i/>
        </w:rPr>
        <w:t>Whole of Life</w:t>
      </w:r>
      <w:r>
        <w:rPr>
          <w:i/>
        </w:rPr>
        <w:t xml:space="preserve"> </w:t>
      </w:r>
      <w:r w:rsidRPr="00D30D2F">
        <w:rPr>
          <w:i/>
        </w:rPr>
        <w:t>Fixed</w:t>
      </w:r>
      <w:r>
        <w:rPr>
          <w:i/>
        </w:rPr>
        <w:t xml:space="preserve"> </w:t>
      </w:r>
      <w:r w:rsidRPr="00D30D2F">
        <w:rPr>
          <w:i/>
        </w:rPr>
        <w:t>Vehicle Operating Costs</w:t>
      </w:r>
      <w:r>
        <w:rPr>
          <w:i/>
        </w:rPr>
        <w:t xml:space="preserve"> </w:t>
      </w:r>
      <w:r>
        <w:t>estimate that such costs range between 40 to 80c/km for small to large passenger vehicles.</w:t>
      </w:r>
    </w:p>
    <w:p w:rsidR="001A6556" w:rsidRDefault="001A6556" w:rsidP="001A6556">
      <w:r>
        <w:t>The approach adopted ignores the role of fast adopters, who have a preference for more advanced vehicles which often do not represent a rational economic choice. However non-economically rational choices may satisfy demands for more environmentally sustainable or technological advanced vehicles. The limitations in the model framework design to account for non-economically rational choices, such as consumer acceptance and ‘fast adopters,’ has already been noted in the methodology discussion.</w:t>
      </w:r>
    </w:p>
    <w:p w:rsidR="001A6556" w:rsidRDefault="001A6556" w:rsidP="001A6556">
      <w:r>
        <w:t xml:space="preserve">Whilst economic considerations drive most vehicle purchase decisions in the modelling, the analysis does impose assumptions with respect to preference for vehicle sizes. It is assumed </w:t>
      </w:r>
      <w:r>
        <w:lastRenderedPageBreak/>
        <w:t xml:space="preserve">that there will be a trend to smaller vehicles occupying a greater share of the road fleet reflecting recent trends in response to higher oil prices since 2004 (see </w:t>
      </w:r>
      <w:r w:rsidR="00C14EF7">
        <w:fldChar w:fldCharType="begin"/>
      </w:r>
      <w:r>
        <w:instrText xml:space="preserve"> REF _Ref365644047 \h </w:instrText>
      </w:r>
      <w:r w:rsidR="00C14EF7">
        <w:fldChar w:fldCharType="separate"/>
      </w:r>
      <w:r w:rsidR="003E0F65">
        <w:t xml:space="preserve">Figure </w:t>
      </w:r>
      <w:r w:rsidR="003E0F65">
        <w:rPr>
          <w:noProof/>
        </w:rPr>
        <w:t>4</w:t>
      </w:r>
      <w:r w:rsidR="003E0F65">
        <w:noBreakHyphen/>
      </w:r>
      <w:r w:rsidR="003E0F65">
        <w:rPr>
          <w:noProof/>
        </w:rPr>
        <w:t>3</w:t>
      </w:r>
      <w:r w:rsidR="00C14EF7">
        <w:fldChar w:fldCharType="end"/>
      </w:r>
      <w:r>
        <w:t xml:space="preserve"> below).</w:t>
      </w:r>
    </w:p>
    <w:p w:rsidR="001A6556" w:rsidRDefault="001A6556" w:rsidP="001A6556"/>
    <w:p w:rsidR="001A6556" w:rsidRDefault="001A6556" w:rsidP="001A6556">
      <w:r>
        <w:rPr>
          <w:noProof/>
        </w:rPr>
        <w:drawing>
          <wp:inline distT="0" distB="0" distL="0" distR="0">
            <wp:extent cx="5833110" cy="3808308"/>
            <wp:effectExtent l="19050" t="0" r="0" b="0"/>
            <wp:docPr id="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a:stretch>
                      <a:fillRect/>
                    </a:stretch>
                  </pic:blipFill>
                  <pic:spPr bwMode="auto">
                    <a:xfrm>
                      <a:off x="0" y="0"/>
                      <a:ext cx="5836944" cy="3810811"/>
                    </a:xfrm>
                    <a:prstGeom prst="rect">
                      <a:avLst/>
                    </a:prstGeom>
                    <a:noFill/>
                    <a:ln w="9525">
                      <a:noFill/>
                      <a:miter lim="800000"/>
                      <a:headEnd/>
                      <a:tailEnd/>
                    </a:ln>
                  </pic:spPr>
                </pic:pic>
              </a:graphicData>
            </a:graphic>
          </wp:inline>
        </w:drawing>
      </w:r>
    </w:p>
    <w:p w:rsidR="001A6556" w:rsidRDefault="001A6556" w:rsidP="001A6556">
      <w:pPr>
        <w:pStyle w:val="Caption"/>
      </w:pPr>
      <w:bookmarkStart w:id="37" w:name="_Ref365644047"/>
      <w:bookmarkStart w:id="38" w:name="_Toc306802206"/>
      <w:bookmarkStart w:id="39" w:name="_Toc366227332"/>
      <w:r>
        <w:t xml:space="preserve">Figure </w:t>
      </w:r>
      <w:r w:rsidR="00C14EF7">
        <w:fldChar w:fldCharType="begin"/>
      </w:r>
      <w:r w:rsidR="005B253B">
        <w:instrText xml:space="preserve"> STYLEREF 1 \s </w:instrText>
      </w:r>
      <w:r w:rsidR="00C14EF7">
        <w:fldChar w:fldCharType="separate"/>
      </w:r>
      <w:r w:rsidR="003E0F65">
        <w:rPr>
          <w:noProof/>
        </w:rPr>
        <w:t>4</w:t>
      </w:r>
      <w:r w:rsidR="00C14EF7">
        <w:fldChar w:fldCharType="end"/>
      </w:r>
      <w:r w:rsidR="005B253B">
        <w:noBreakHyphen/>
      </w:r>
      <w:r w:rsidR="00C14EF7">
        <w:fldChar w:fldCharType="begin"/>
      </w:r>
      <w:r w:rsidR="005B253B">
        <w:instrText xml:space="preserve"> SEQ Figure \* ARABIC \s 1 </w:instrText>
      </w:r>
      <w:r w:rsidR="00C14EF7">
        <w:fldChar w:fldCharType="separate"/>
      </w:r>
      <w:r w:rsidR="003E0F65">
        <w:rPr>
          <w:noProof/>
        </w:rPr>
        <w:t>3</w:t>
      </w:r>
      <w:r w:rsidR="00C14EF7">
        <w:fldChar w:fldCharType="end"/>
      </w:r>
      <w:bookmarkEnd w:id="37"/>
      <w:r>
        <w:t>: Changes in preferences for road vehicle types and sizes, FCAI (2011)</w:t>
      </w:r>
      <w:bookmarkEnd w:id="38"/>
      <w:bookmarkEnd w:id="39"/>
    </w:p>
    <w:p w:rsidR="001A6556" w:rsidRDefault="001A6556" w:rsidP="001A6556">
      <w:r>
        <w:t xml:space="preserve">In the road freight sector, as users are commercial operators, economic considerations such as profit motivation are a much greater concern and subsequently any potential savings are assumed to be actively pursued. The same assumptions are made for operators in rail, domestic aviation and shipping.  </w:t>
      </w:r>
    </w:p>
    <w:p w:rsidR="001A6556" w:rsidRDefault="001A6556" w:rsidP="001A6556"/>
    <w:p w:rsidR="001A6556" w:rsidRDefault="001A6556" w:rsidP="001A6556">
      <w:pPr>
        <w:pStyle w:val="Heading4"/>
      </w:pPr>
      <w:r>
        <w:t>Switching costs</w:t>
      </w:r>
    </w:p>
    <w:p w:rsidR="001A6556" w:rsidRDefault="001A6556" w:rsidP="001A6556">
      <w:r>
        <w:t>Road vehicle costs include a mix of upfront and running costs. It is generally acknowledged that private and commercial consumers have a preference for avoiding upfront costs. This is an issue for alternative fuels because many options such as vehicle electrification, fuel cells and use of natural gas or LPG involve higher upfront costs. On the other hand, it may be possible to address the issue of upfront costs via financing and mixed ownership models. With the exception of diesel, these upfront costs are assumed to decline in the long term by approximately 50 percent in the period to 2050.</w:t>
      </w:r>
    </w:p>
    <w:p w:rsidR="00FE2272" w:rsidRDefault="00FE2272">
      <w:pPr>
        <w:spacing w:after="0"/>
        <w:rPr>
          <w:b/>
          <w:bCs/>
          <w:color w:val="00A9CE" w:themeColor="accent1"/>
          <w:sz w:val="20"/>
          <w:szCs w:val="18"/>
        </w:rPr>
      </w:pPr>
      <w:bookmarkStart w:id="40" w:name="_Toc306802264"/>
      <w:r>
        <w:br w:type="page"/>
      </w:r>
    </w:p>
    <w:p w:rsidR="001A6556" w:rsidRDefault="001A6556" w:rsidP="001A6556">
      <w:pPr>
        <w:pStyle w:val="Caption"/>
      </w:pPr>
      <w:bookmarkStart w:id="41" w:name="_Toc366227380"/>
      <w:r>
        <w:lastRenderedPageBreak/>
        <w:t xml:space="preserve">Table </w:t>
      </w:r>
      <w:r w:rsidR="00C14EF7">
        <w:fldChar w:fldCharType="begin"/>
      </w:r>
      <w:r w:rsidR="00970F7D">
        <w:instrText xml:space="preserve"> STYLEREF 1 \s </w:instrText>
      </w:r>
      <w:r w:rsidR="00C14EF7">
        <w:fldChar w:fldCharType="separate"/>
      </w:r>
      <w:r w:rsidR="003E0F65">
        <w:rPr>
          <w:noProof/>
        </w:rPr>
        <w:t>4</w:t>
      </w:r>
      <w:r w:rsidR="00C14EF7">
        <w:rPr>
          <w:noProof/>
        </w:rPr>
        <w:fldChar w:fldCharType="end"/>
      </w:r>
      <w:r w:rsidR="00AB35C1">
        <w:noBreakHyphen/>
      </w:r>
      <w:r w:rsidR="00C14EF7">
        <w:fldChar w:fldCharType="begin"/>
      </w:r>
      <w:r w:rsidR="00970F7D">
        <w:instrText xml:space="preserve"> SEQ Table \* ARABIC \s 1 </w:instrText>
      </w:r>
      <w:r w:rsidR="00C14EF7">
        <w:fldChar w:fldCharType="separate"/>
      </w:r>
      <w:r w:rsidR="003E0F65">
        <w:rPr>
          <w:noProof/>
        </w:rPr>
        <w:t>2</w:t>
      </w:r>
      <w:r w:rsidR="00C14EF7">
        <w:rPr>
          <w:noProof/>
        </w:rPr>
        <w:fldChar w:fldCharType="end"/>
      </w:r>
      <w:r>
        <w:t>:</w:t>
      </w:r>
      <w:r w:rsidRPr="00D02417">
        <w:t xml:space="preserve"> </w:t>
      </w:r>
      <w:r>
        <w:t xml:space="preserve">Table of </w:t>
      </w:r>
      <w:r w:rsidR="00AC0E16">
        <w:t xml:space="preserve">current </w:t>
      </w:r>
      <w:r>
        <w:t>additional up-front road vehicle costs of alternative fuels in A$</w:t>
      </w:r>
      <w:proofErr w:type="gramStart"/>
      <w:r>
        <w:t>,000</w:t>
      </w:r>
      <w:bookmarkEnd w:id="40"/>
      <w:bookmarkEnd w:id="41"/>
      <w:proofErr w:type="gramEnd"/>
    </w:p>
    <w:tbl>
      <w:tblPr>
        <w:tblStyle w:val="LightList-Accent12"/>
        <w:tblW w:w="5000" w:type="pct"/>
        <w:tblLook w:val="00A0"/>
      </w:tblPr>
      <w:tblGrid>
        <w:gridCol w:w="1341"/>
        <w:gridCol w:w="1740"/>
        <w:gridCol w:w="1388"/>
        <w:gridCol w:w="1388"/>
        <w:gridCol w:w="1684"/>
        <w:gridCol w:w="1172"/>
      </w:tblGrid>
      <w:tr w:rsidR="001A6556" w:rsidTr="00E011B7">
        <w:trPr>
          <w:cnfStyle w:val="100000000000"/>
          <w:trHeight w:val="377"/>
        </w:trPr>
        <w:tc>
          <w:tcPr>
            <w:cnfStyle w:val="001000000000"/>
            <w:tcW w:w="787" w:type="pct"/>
            <w:noWrap/>
          </w:tcPr>
          <w:p w:rsidR="001A6556" w:rsidRPr="0064218D" w:rsidRDefault="001A6556" w:rsidP="00E011B7">
            <w:pPr>
              <w:rPr>
                <w:rFonts w:ascii="Arial" w:hAnsi="Arial" w:cs="Arial"/>
                <w:b w:val="0"/>
                <w:bCs w:val="0"/>
                <w:color w:val="FBFEFF" w:themeColor="background1"/>
                <w:sz w:val="20"/>
                <w:szCs w:val="20"/>
                <w:lang w:eastAsia="zh-CN"/>
              </w:rPr>
            </w:pPr>
          </w:p>
        </w:tc>
        <w:tc>
          <w:tcPr>
            <w:cnfStyle w:val="000010000000"/>
            <w:tcW w:w="1015" w:type="pct"/>
            <w:noWrap/>
          </w:tcPr>
          <w:p w:rsidR="001A6556" w:rsidRPr="0064218D" w:rsidRDefault="001A6556" w:rsidP="00E011B7">
            <w:pPr>
              <w:rPr>
                <w:rFonts w:ascii="Arial" w:hAnsi="Arial" w:cs="Arial"/>
                <w:b w:val="0"/>
                <w:bCs w:val="0"/>
                <w:color w:val="FBFEFF" w:themeColor="background1"/>
                <w:sz w:val="20"/>
                <w:szCs w:val="20"/>
                <w:lang w:eastAsia="zh-CN"/>
              </w:rPr>
            </w:pPr>
            <w:r w:rsidRPr="0064218D">
              <w:rPr>
                <w:rFonts w:ascii="Arial" w:hAnsi="Arial" w:cs="Arial"/>
                <w:color w:val="FBFEFF" w:themeColor="background1"/>
                <w:sz w:val="20"/>
                <w:szCs w:val="20"/>
                <w:lang w:eastAsia="zh-CN"/>
              </w:rPr>
              <w:t xml:space="preserve">Passenger </w:t>
            </w:r>
            <w:r w:rsidRPr="0064218D">
              <w:rPr>
                <w:rFonts w:ascii="Arial" w:hAnsi="Arial" w:cs="Arial"/>
                <w:color w:val="FBFEFF" w:themeColor="background1"/>
                <w:sz w:val="20"/>
                <w:szCs w:val="20"/>
                <w:vertAlign w:val="superscript"/>
                <w:lang w:eastAsia="zh-CN"/>
              </w:rPr>
              <w:t>a</w:t>
            </w:r>
          </w:p>
        </w:tc>
        <w:tc>
          <w:tcPr>
            <w:tcW w:w="813" w:type="pct"/>
            <w:noWrap/>
          </w:tcPr>
          <w:p w:rsidR="001A6556" w:rsidRPr="0064218D" w:rsidRDefault="001A6556" w:rsidP="00E011B7">
            <w:pPr>
              <w:cnfStyle w:val="100000000000"/>
              <w:rPr>
                <w:rFonts w:ascii="Arial" w:hAnsi="Arial" w:cs="Arial"/>
                <w:b w:val="0"/>
                <w:bCs w:val="0"/>
                <w:color w:val="FBFEFF" w:themeColor="background1"/>
                <w:sz w:val="20"/>
                <w:szCs w:val="20"/>
                <w:lang w:eastAsia="zh-CN"/>
              </w:rPr>
            </w:pPr>
            <w:r w:rsidRPr="0064218D">
              <w:rPr>
                <w:rFonts w:ascii="Arial" w:hAnsi="Arial" w:cs="Arial"/>
                <w:color w:val="FBFEFF" w:themeColor="background1"/>
                <w:sz w:val="20"/>
                <w:szCs w:val="20"/>
                <w:lang w:eastAsia="zh-CN"/>
              </w:rPr>
              <w:t xml:space="preserve">LCV </w:t>
            </w:r>
            <w:r w:rsidRPr="0064218D">
              <w:rPr>
                <w:rFonts w:ascii="Arial" w:hAnsi="Arial" w:cs="Arial"/>
                <w:color w:val="FBFEFF" w:themeColor="background1"/>
                <w:sz w:val="20"/>
                <w:szCs w:val="20"/>
                <w:vertAlign w:val="superscript"/>
                <w:lang w:eastAsia="zh-CN"/>
              </w:rPr>
              <w:t>a</w:t>
            </w:r>
          </w:p>
        </w:tc>
        <w:tc>
          <w:tcPr>
            <w:cnfStyle w:val="000010000000"/>
            <w:tcW w:w="813" w:type="pct"/>
            <w:noWrap/>
          </w:tcPr>
          <w:p w:rsidR="001A6556" w:rsidRPr="0064218D" w:rsidRDefault="001A6556" w:rsidP="00E011B7">
            <w:pPr>
              <w:rPr>
                <w:rFonts w:ascii="Arial" w:hAnsi="Arial" w:cs="Arial"/>
                <w:b w:val="0"/>
                <w:bCs w:val="0"/>
                <w:color w:val="FBFEFF" w:themeColor="background1"/>
                <w:sz w:val="20"/>
                <w:szCs w:val="20"/>
                <w:lang w:eastAsia="zh-CN"/>
              </w:rPr>
            </w:pPr>
            <w:r w:rsidRPr="0064218D">
              <w:rPr>
                <w:rFonts w:ascii="Arial" w:hAnsi="Arial" w:cs="Arial"/>
                <w:color w:val="FBFEFF" w:themeColor="background1"/>
                <w:sz w:val="20"/>
                <w:szCs w:val="20"/>
                <w:lang w:eastAsia="zh-CN"/>
              </w:rPr>
              <w:t>Rigid truck</w:t>
            </w:r>
          </w:p>
        </w:tc>
        <w:tc>
          <w:tcPr>
            <w:tcW w:w="883" w:type="pct"/>
            <w:noWrap/>
          </w:tcPr>
          <w:p w:rsidR="001A6556" w:rsidRPr="0064218D" w:rsidRDefault="001A6556" w:rsidP="00E011B7">
            <w:pPr>
              <w:cnfStyle w:val="100000000000"/>
              <w:rPr>
                <w:rFonts w:ascii="Arial" w:hAnsi="Arial" w:cs="Arial"/>
                <w:b w:val="0"/>
                <w:bCs w:val="0"/>
                <w:color w:val="FBFEFF" w:themeColor="background1"/>
                <w:sz w:val="20"/>
                <w:szCs w:val="20"/>
                <w:lang w:eastAsia="zh-CN"/>
              </w:rPr>
            </w:pPr>
            <w:r w:rsidRPr="0064218D">
              <w:rPr>
                <w:rFonts w:ascii="Arial" w:hAnsi="Arial" w:cs="Arial"/>
                <w:color w:val="FBFEFF" w:themeColor="background1"/>
                <w:sz w:val="20"/>
                <w:szCs w:val="20"/>
                <w:lang w:eastAsia="zh-CN"/>
              </w:rPr>
              <w:t>Articulate truck</w:t>
            </w:r>
          </w:p>
        </w:tc>
        <w:tc>
          <w:tcPr>
            <w:cnfStyle w:val="000010000000"/>
            <w:tcW w:w="689" w:type="pct"/>
            <w:noWrap/>
          </w:tcPr>
          <w:p w:rsidR="001A6556" w:rsidRPr="0064218D" w:rsidRDefault="001A6556" w:rsidP="00E011B7">
            <w:pPr>
              <w:rPr>
                <w:rFonts w:ascii="Arial" w:hAnsi="Arial" w:cs="Arial"/>
                <w:b w:val="0"/>
                <w:bCs w:val="0"/>
                <w:color w:val="FBFEFF" w:themeColor="background1"/>
                <w:sz w:val="20"/>
                <w:szCs w:val="20"/>
                <w:lang w:eastAsia="zh-CN"/>
              </w:rPr>
            </w:pPr>
            <w:r w:rsidRPr="0064218D">
              <w:rPr>
                <w:rFonts w:ascii="Arial" w:hAnsi="Arial" w:cs="Arial"/>
                <w:color w:val="FBFEFF" w:themeColor="background1"/>
                <w:sz w:val="20"/>
                <w:szCs w:val="20"/>
                <w:lang w:eastAsia="zh-CN"/>
              </w:rPr>
              <w:t>Bus</w:t>
            </w:r>
          </w:p>
        </w:tc>
      </w:tr>
      <w:tr w:rsidR="001A6556" w:rsidTr="00E011B7">
        <w:trPr>
          <w:cnfStyle w:val="000000100000"/>
          <w:trHeight w:val="377"/>
        </w:trPr>
        <w:tc>
          <w:tcPr>
            <w:cnfStyle w:val="001000000000"/>
            <w:tcW w:w="787" w:type="pct"/>
            <w:noWrap/>
          </w:tcPr>
          <w:p w:rsidR="001A6556" w:rsidRPr="008C316F" w:rsidRDefault="001A6556" w:rsidP="00E011B7">
            <w:pPr>
              <w:rPr>
                <w:rFonts w:ascii="Arial" w:hAnsi="Arial" w:cs="Arial"/>
                <w:b w:val="0"/>
                <w:bCs w:val="0"/>
                <w:sz w:val="20"/>
                <w:szCs w:val="20"/>
                <w:lang w:eastAsia="zh-CN"/>
              </w:rPr>
            </w:pPr>
            <w:r w:rsidRPr="008C316F">
              <w:rPr>
                <w:rFonts w:ascii="Arial" w:hAnsi="Arial" w:cs="Arial"/>
                <w:sz w:val="20"/>
                <w:szCs w:val="20"/>
                <w:lang w:eastAsia="zh-CN"/>
              </w:rPr>
              <w:t>Diesel</w:t>
            </w:r>
          </w:p>
        </w:tc>
        <w:tc>
          <w:tcPr>
            <w:cnfStyle w:val="000010000000"/>
            <w:tcW w:w="1015" w:type="pct"/>
            <w:noWrap/>
          </w:tcPr>
          <w:p w:rsidR="001A6556" w:rsidRPr="008C316F" w:rsidRDefault="001A6556" w:rsidP="00E011B7">
            <w:pPr>
              <w:rPr>
                <w:rFonts w:ascii="Arial" w:hAnsi="Arial" w:cs="Arial"/>
                <w:sz w:val="20"/>
                <w:szCs w:val="20"/>
                <w:lang w:eastAsia="zh-CN"/>
              </w:rPr>
            </w:pPr>
            <w:r w:rsidRPr="008C316F">
              <w:rPr>
                <w:rFonts w:ascii="Arial" w:hAnsi="Arial" w:cs="Arial"/>
                <w:sz w:val="20"/>
                <w:szCs w:val="20"/>
                <w:lang w:eastAsia="zh-CN"/>
              </w:rPr>
              <w:t>3</w:t>
            </w:r>
          </w:p>
        </w:tc>
        <w:tc>
          <w:tcPr>
            <w:tcW w:w="813" w:type="pct"/>
            <w:noWrap/>
          </w:tcPr>
          <w:p w:rsidR="001A6556" w:rsidRPr="008C316F" w:rsidRDefault="001A6556" w:rsidP="00E011B7">
            <w:pPr>
              <w:cnfStyle w:val="000000100000"/>
              <w:rPr>
                <w:rFonts w:ascii="Arial" w:hAnsi="Arial" w:cs="Arial"/>
                <w:sz w:val="20"/>
                <w:szCs w:val="20"/>
                <w:lang w:eastAsia="zh-CN"/>
              </w:rPr>
            </w:pPr>
            <w:r w:rsidRPr="008C316F">
              <w:rPr>
                <w:rFonts w:ascii="Arial" w:hAnsi="Arial" w:cs="Arial"/>
                <w:sz w:val="20"/>
                <w:szCs w:val="20"/>
                <w:lang w:eastAsia="zh-CN"/>
              </w:rPr>
              <w:t>3</w:t>
            </w:r>
          </w:p>
        </w:tc>
        <w:tc>
          <w:tcPr>
            <w:cnfStyle w:val="000010000000"/>
            <w:tcW w:w="813" w:type="pct"/>
            <w:noWrap/>
          </w:tcPr>
          <w:p w:rsidR="001A6556" w:rsidRPr="008C316F" w:rsidRDefault="001A6556" w:rsidP="00E011B7">
            <w:pPr>
              <w:rPr>
                <w:rFonts w:ascii="Arial" w:hAnsi="Arial" w:cs="Arial"/>
                <w:sz w:val="20"/>
                <w:szCs w:val="20"/>
                <w:lang w:eastAsia="zh-CN"/>
              </w:rPr>
            </w:pPr>
            <w:r w:rsidRPr="008C316F">
              <w:rPr>
                <w:rFonts w:ascii="Arial" w:hAnsi="Arial" w:cs="Arial"/>
                <w:sz w:val="20"/>
                <w:szCs w:val="20"/>
                <w:lang w:eastAsia="zh-CN"/>
              </w:rPr>
              <w:t>NA</w:t>
            </w:r>
          </w:p>
        </w:tc>
        <w:tc>
          <w:tcPr>
            <w:tcW w:w="883" w:type="pct"/>
            <w:noWrap/>
          </w:tcPr>
          <w:p w:rsidR="001A6556" w:rsidRPr="008C316F" w:rsidRDefault="001A6556" w:rsidP="00E011B7">
            <w:pPr>
              <w:cnfStyle w:val="000000100000"/>
              <w:rPr>
                <w:rFonts w:ascii="Arial" w:hAnsi="Arial" w:cs="Arial"/>
                <w:sz w:val="20"/>
                <w:szCs w:val="20"/>
                <w:lang w:eastAsia="zh-CN"/>
              </w:rPr>
            </w:pPr>
            <w:r w:rsidRPr="008C316F">
              <w:rPr>
                <w:rFonts w:ascii="Arial" w:hAnsi="Arial" w:cs="Arial"/>
                <w:sz w:val="20"/>
                <w:szCs w:val="20"/>
                <w:lang w:eastAsia="zh-CN"/>
              </w:rPr>
              <w:t>NA</w:t>
            </w:r>
          </w:p>
        </w:tc>
        <w:tc>
          <w:tcPr>
            <w:cnfStyle w:val="000010000000"/>
            <w:tcW w:w="689" w:type="pct"/>
            <w:noWrap/>
          </w:tcPr>
          <w:p w:rsidR="001A6556" w:rsidRPr="008C316F" w:rsidRDefault="001A6556" w:rsidP="00E011B7">
            <w:pPr>
              <w:rPr>
                <w:rFonts w:ascii="Arial" w:hAnsi="Arial" w:cs="Arial"/>
                <w:sz w:val="20"/>
                <w:szCs w:val="20"/>
                <w:lang w:eastAsia="zh-CN"/>
              </w:rPr>
            </w:pPr>
            <w:r w:rsidRPr="008C316F">
              <w:rPr>
                <w:rFonts w:ascii="Arial" w:hAnsi="Arial" w:cs="Arial"/>
                <w:sz w:val="20"/>
                <w:szCs w:val="20"/>
                <w:lang w:eastAsia="zh-CN"/>
              </w:rPr>
              <w:t>NA</w:t>
            </w:r>
          </w:p>
        </w:tc>
      </w:tr>
      <w:tr w:rsidR="001A6556" w:rsidTr="00E011B7">
        <w:trPr>
          <w:trHeight w:val="377"/>
        </w:trPr>
        <w:tc>
          <w:tcPr>
            <w:cnfStyle w:val="001000000000"/>
            <w:tcW w:w="787" w:type="pct"/>
            <w:noWrap/>
          </w:tcPr>
          <w:p w:rsidR="001A6556" w:rsidRPr="008C316F" w:rsidRDefault="001A6556" w:rsidP="00E011B7">
            <w:pPr>
              <w:rPr>
                <w:rFonts w:ascii="Arial" w:hAnsi="Arial" w:cs="Arial"/>
                <w:b w:val="0"/>
                <w:bCs w:val="0"/>
                <w:sz w:val="20"/>
                <w:szCs w:val="20"/>
                <w:lang w:eastAsia="zh-CN"/>
              </w:rPr>
            </w:pPr>
            <w:r w:rsidRPr="008C316F">
              <w:rPr>
                <w:rFonts w:ascii="Arial" w:hAnsi="Arial" w:cs="Arial"/>
                <w:sz w:val="20"/>
                <w:szCs w:val="20"/>
                <w:lang w:eastAsia="zh-CN"/>
              </w:rPr>
              <w:t>LPG</w:t>
            </w:r>
          </w:p>
        </w:tc>
        <w:tc>
          <w:tcPr>
            <w:cnfStyle w:val="000010000000"/>
            <w:tcW w:w="1015" w:type="pct"/>
            <w:noWrap/>
          </w:tcPr>
          <w:p w:rsidR="001A6556" w:rsidRPr="008C316F" w:rsidRDefault="001A6556" w:rsidP="00E011B7">
            <w:pPr>
              <w:rPr>
                <w:rFonts w:ascii="Arial" w:hAnsi="Arial" w:cs="Arial"/>
                <w:sz w:val="20"/>
                <w:szCs w:val="20"/>
                <w:lang w:eastAsia="zh-CN"/>
              </w:rPr>
            </w:pPr>
            <w:r w:rsidRPr="008C316F">
              <w:rPr>
                <w:rFonts w:ascii="Arial" w:hAnsi="Arial" w:cs="Arial"/>
                <w:sz w:val="20"/>
                <w:szCs w:val="20"/>
                <w:lang w:eastAsia="zh-CN"/>
              </w:rPr>
              <w:t>2.5</w:t>
            </w:r>
          </w:p>
        </w:tc>
        <w:tc>
          <w:tcPr>
            <w:tcW w:w="813" w:type="pct"/>
            <w:noWrap/>
          </w:tcPr>
          <w:p w:rsidR="001A6556" w:rsidRPr="008C316F" w:rsidRDefault="001A6556" w:rsidP="00E011B7">
            <w:pPr>
              <w:cnfStyle w:val="000000000000"/>
              <w:rPr>
                <w:rFonts w:ascii="Arial" w:hAnsi="Arial" w:cs="Arial"/>
                <w:sz w:val="20"/>
                <w:szCs w:val="20"/>
                <w:lang w:eastAsia="zh-CN"/>
              </w:rPr>
            </w:pPr>
            <w:r w:rsidRPr="008C316F">
              <w:rPr>
                <w:rFonts w:ascii="Arial" w:hAnsi="Arial" w:cs="Arial"/>
                <w:sz w:val="20"/>
                <w:szCs w:val="20"/>
                <w:lang w:eastAsia="zh-CN"/>
              </w:rPr>
              <w:t>2.5</w:t>
            </w:r>
          </w:p>
        </w:tc>
        <w:tc>
          <w:tcPr>
            <w:cnfStyle w:val="000010000000"/>
            <w:tcW w:w="813" w:type="pct"/>
            <w:noWrap/>
          </w:tcPr>
          <w:p w:rsidR="001A6556" w:rsidRPr="008C316F" w:rsidRDefault="001A6556" w:rsidP="00E011B7">
            <w:pPr>
              <w:rPr>
                <w:rFonts w:ascii="Arial" w:hAnsi="Arial" w:cs="Arial"/>
                <w:sz w:val="20"/>
                <w:szCs w:val="20"/>
                <w:lang w:eastAsia="zh-CN"/>
              </w:rPr>
            </w:pPr>
            <w:r w:rsidRPr="008C316F">
              <w:rPr>
                <w:rFonts w:ascii="Arial" w:hAnsi="Arial" w:cs="Arial"/>
                <w:sz w:val="20"/>
                <w:szCs w:val="20"/>
                <w:lang w:eastAsia="zh-CN"/>
              </w:rPr>
              <w:t>30</w:t>
            </w:r>
          </w:p>
        </w:tc>
        <w:tc>
          <w:tcPr>
            <w:tcW w:w="883" w:type="pct"/>
            <w:noWrap/>
          </w:tcPr>
          <w:p w:rsidR="001A6556" w:rsidRPr="008C316F" w:rsidRDefault="001A6556" w:rsidP="00E011B7">
            <w:pPr>
              <w:cnfStyle w:val="000000000000"/>
              <w:rPr>
                <w:rFonts w:ascii="Arial" w:hAnsi="Arial" w:cs="Arial"/>
                <w:sz w:val="20"/>
                <w:szCs w:val="20"/>
                <w:lang w:eastAsia="zh-CN"/>
              </w:rPr>
            </w:pPr>
            <w:r w:rsidRPr="008C316F">
              <w:rPr>
                <w:rFonts w:ascii="Arial" w:hAnsi="Arial" w:cs="Arial"/>
                <w:sz w:val="20"/>
                <w:szCs w:val="20"/>
                <w:lang w:eastAsia="zh-CN"/>
              </w:rPr>
              <w:t>65</w:t>
            </w:r>
          </w:p>
        </w:tc>
        <w:tc>
          <w:tcPr>
            <w:cnfStyle w:val="000010000000"/>
            <w:tcW w:w="689" w:type="pct"/>
            <w:noWrap/>
          </w:tcPr>
          <w:p w:rsidR="001A6556" w:rsidRPr="008C316F" w:rsidRDefault="001A6556" w:rsidP="00E011B7">
            <w:pPr>
              <w:rPr>
                <w:rFonts w:ascii="Arial" w:hAnsi="Arial" w:cs="Arial"/>
                <w:sz w:val="20"/>
                <w:szCs w:val="20"/>
                <w:lang w:eastAsia="zh-CN"/>
              </w:rPr>
            </w:pPr>
            <w:r w:rsidRPr="008C316F">
              <w:rPr>
                <w:rFonts w:ascii="Arial" w:hAnsi="Arial" w:cs="Arial"/>
                <w:sz w:val="20"/>
                <w:szCs w:val="20"/>
                <w:lang w:eastAsia="zh-CN"/>
              </w:rPr>
              <w:t>55</w:t>
            </w:r>
          </w:p>
        </w:tc>
      </w:tr>
      <w:tr w:rsidR="001A6556" w:rsidTr="00E011B7">
        <w:trPr>
          <w:cnfStyle w:val="000000100000"/>
          <w:trHeight w:val="377"/>
        </w:trPr>
        <w:tc>
          <w:tcPr>
            <w:cnfStyle w:val="001000000000"/>
            <w:tcW w:w="787" w:type="pct"/>
            <w:noWrap/>
          </w:tcPr>
          <w:p w:rsidR="001A6556" w:rsidRPr="008C316F" w:rsidRDefault="001A6556" w:rsidP="00E011B7">
            <w:pPr>
              <w:rPr>
                <w:rFonts w:ascii="Arial" w:hAnsi="Arial" w:cs="Arial"/>
                <w:b w:val="0"/>
                <w:bCs w:val="0"/>
                <w:sz w:val="20"/>
                <w:szCs w:val="20"/>
                <w:lang w:eastAsia="zh-CN"/>
              </w:rPr>
            </w:pPr>
            <w:r w:rsidRPr="008C316F">
              <w:rPr>
                <w:rFonts w:ascii="Arial" w:hAnsi="Arial" w:cs="Arial"/>
                <w:sz w:val="20"/>
                <w:szCs w:val="20"/>
                <w:lang w:eastAsia="zh-CN"/>
              </w:rPr>
              <w:t>CNG</w:t>
            </w:r>
          </w:p>
        </w:tc>
        <w:tc>
          <w:tcPr>
            <w:cnfStyle w:val="000010000000"/>
            <w:tcW w:w="1015" w:type="pct"/>
            <w:noWrap/>
          </w:tcPr>
          <w:p w:rsidR="001A6556" w:rsidRPr="008C316F" w:rsidRDefault="001A6556" w:rsidP="00E011B7">
            <w:pPr>
              <w:rPr>
                <w:rFonts w:ascii="Arial" w:hAnsi="Arial" w:cs="Arial"/>
                <w:sz w:val="20"/>
                <w:szCs w:val="20"/>
                <w:lang w:eastAsia="zh-CN"/>
              </w:rPr>
            </w:pPr>
            <w:r w:rsidRPr="008C316F">
              <w:rPr>
                <w:rFonts w:ascii="Arial" w:hAnsi="Arial" w:cs="Arial"/>
                <w:sz w:val="20"/>
                <w:szCs w:val="20"/>
                <w:lang w:eastAsia="zh-CN"/>
              </w:rPr>
              <w:t>5.5</w:t>
            </w:r>
          </w:p>
        </w:tc>
        <w:tc>
          <w:tcPr>
            <w:tcW w:w="813" w:type="pct"/>
            <w:noWrap/>
          </w:tcPr>
          <w:p w:rsidR="001A6556" w:rsidRPr="008C316F" w:rsidRDefault="001A6556" w:rsidP="00E011B7">
            <w:pPr>
              <w:cnfStyle w:val="000000100000"/>
              <w:rPr>
                <w:rFonts w:ascii="Arial" w:hAnsi="Arial" w:cs="Arial"/>
                <w:sz w:val="20"/>
                <w:szCs w:val="20"/>
                <w:lang w:eastAsia="zh-CN"/>
              </w:rPr>
            </w:pPr>
            <w:r w:rsidRPr="008C316F">
              <w:rPr>
                <w:rFonts w:ascii="Arial" w:hAnsi="Arial" w:cs="Arial"/>
                <w:sz w:val="20"/>
                <w:szCs w:val="20"/>
                <w:lang w:eastAsia="zh-CN"/>
              </w:rPr>
              <w:t>5.5</w:t>
            </w:r>
          </w:p>
        </w:tc>
        <w:tc>
          <w:tcPr>
            <w:cnfStyle w:val="000010000000"/>
            <w:tcW w:w="813" w:type="pct"/>
            <w:noWrap/>
          </w:tcPr>
          <w:p w:rsidR="001A6556" w:rsidRPr="008C316F" w:rsidRDefault="001A6556" w:rsidP="00E011B7">
            <w:pPr>
              <w:rPr>
                <w:rFonts w:ascii="Arial" w:hAnsi="Arial" w:cs="Arial"/>
                <w:sz w:val="20"/>
                <w:szCs w:val="20"/>
                <w:lang w:eastAsia="zh-CN"/>
              </w:rPr>
            </w:pPr>
            <w:r w:rsidRPr="008C316F">
              <w:rPr>
                <w:rFonts w:ascii="Arial" w:hAnsi="Arial" w:cs="Arial"/>
                <w:sz w:val="20"/>
                <w:szCs w:val="20"/>
                <w:lang w:eastAsia="zh-CN"/>
              </w:rPr>
              <w:t>37</w:t>
            </w:r>
          </w:p>
        </w:tc>
        <w:tc>
          <w:tcPr>
            <w:tcW w:w="883" w:type="pct"/>
            <w:noWrap/>
          </w:tcPr>
          <w:p w:rsidR="001A6556" w:rsidRPr="008C316F" w:rsidRDefault="001A6556" w:rsidP="00E011B7">
            <w:pPr>
              <w:cnfStyle w:val="000000100000"/>
              <w:rPr>
                <w:rFonts w:ascii="Arial" w:hAnsi="Arial" w:cs="Arial"/>
                <w:sz w:val="20"/>
                <w:szCs w:val="20"/>
                <w:lang w:eastAsia="zh-CN"/>
              </w:rPr>
            </w:pPr>
            <w:r w:rsidRPr="008C316F">
              <w:rPr>
                <w:rFonts w:ascii="Arial" w:hAnsi="Arial" w:cs="Arial"/>
                <w:sz w:val="20"/>
                <w:szCs w:val="20"/>
                <w:lang w:eastAsia="zh-CN"/>
              </w:rPr>
              <w:t>NA</w:t>
            </w:r>
          </w:p>
        </w:tc>
        <w:tc>
          <w:tcPr>
            <w:cnfStyle w:val="000010000000"/>
            <w:tcW w:w="689" w:type="pct"/>
            <w:noWrap/>
          </w:tcPr>
          <w:p w:rsidR="001A6556" w:rsidRPr="008C316F" w:rsidRDefault="001A6556" w:rsidP="00E011B7">
            <w:pPr>
              <w:rPr>
                <w:rFonts w:ascii="Arial" w:hAnsi="Arial" w:cs="Arial"/>
                <w:sz w:val="20"/>
                <w:szCs w:val="20"/>
                <w:lang w:eastAsia="zh-CN"/>
              </w:rPr>
            </w:pPr>
            <w:r w:rsidRPr="008C316F">
              <w:rPr>
                <w:rFonts w:ascii="Arial" w:hAnsi="Arial" w:cs="Arial"/>
                <w:sz w:val="20"/>
                <w:szCs w:val="20"/>
                <w:lang w:eastAsia="zh-CN"/>
              </w:rPr>
              <w:t>60</w:t>
            </w:r>
          </w:p>
        </w:tc>
      </w:tr>
      <w:tr w:rsidR="001A6556" w:rsidTr="00E011B7">
        <w:trPr>
          <w:trHeight w:val="377"/>
        </w:trPr>
        <w:tc>
          <w:tcPr>
            <w:cnfStyle w:val="001000000000"/>
            <w:tcW w:w="787" w:type="pct"/>
            <w:noWrap/>
          </w:tcPr>
          <w:p w:rsidR="001A6556" w:rsidRPr="008C316F" w:rsidRDefault="001A6556" w:rsidP="00E011B7">
            <w:pPr>
              <w:rPr>
                <w:rFonts w:ascii="Arial" w:hAnsi="Arial" w:cs="Arial"/>
                <w:b w:val="0"/>
                <w:bCs w:val="0"/>
                <w:sz w:val="20"/>
                <w:szCs w:val="20"/>
                <w:lang w:eastAsia="zh-CN"/>
              </w:rPr>
            </w:pPr>
            <w:r w:rsidRPr="008C316F">
              <w:rPr>
                <w:rFonts w:ascii="Arial" w:hAnsi="Arial" w:cs="Arial"/>
                <w:sz w:val="20"/>
                <w:szCs w:val="20"/>
                <w:lang w:eastAsia="zh-CN"/>
              </w:rPr>
              <w:t>LNG</w:t>
            </w:r>
          </w:p>
        </w:tc>
        <w:tc>
          <w:tcPr>
            <w:cnfStyle w:val="000010000000"/>
            <w:tcW w:w="1015" w:type="pct"/>
            <w:noWrap/>
          </w:tcPr>
          <w:p w:rsidR="001A6556" w:rsidRPr="008C316F" w:rsidRDefault="001A6556" w:rsidP="00E011B7">
            <w:pPr>
              <w:rPr>
                <w:rFonts w:ascii="Arial" w:hAnsi="Arial" w:cs="Arial"/>
                <w:sz w:val="20"/>
                <w:szCs w:val="20"/>
                <w:lang w:eastAsia="zh-CN"/>
              </w:rPr>
            </w:pPr>
            <w:r w:rsidRPr="008C316F">
              <w:rPr>
                <w:rFonts w:ascii="Arial" w:hAnsi="Arial" w:cs="Arial"/>
                <w:sz w:val="20"/>
                <w:szCs w:val="20"/>
                <w:lang w:eastAsia="zh-CN"/>
              </w:rPr>
              <w:t>NA</w:t>
            </w:r>
          </w:p>
        </w:tc>
        <w:tc>
          <w:tcPr>
            <w:tcW w:w="813" w:type="pct"/>
            <w:noWrap/>
          </w:tcPr>
          <w:p w:rsidR="001A6556" w:rsidRPr="008C316F" w:rsidRDefault="001A6556" w:rsidP="00E011B7">
            <w:pPr>
              <w:cnfStyle w:val="000000000000"/>
              <w:rPr>
                <w:rFonts w:ascii="Arial" w:hAnsi="Arial" w:cs="Arial"/>
                <w:sz w:val="20"/>
                <w:szCs w:val="20"/>
                <w:lang w:eastAsia="zh-CN"/>
              </w:rPr>
            </w:pPr>
            <w:r w:rsidRPr="008C316F">
              <w:rPr>
                <w:rFonts w:ascii="Arial" w:hAnsi="Arial" w:cs="Arial"/>
                <w:sz w:val="20"/>
                <w:szCs w:val="20"/>
                <w:lang w:eastAsia="zh-CN"/>
              </w:rPr>
              <w:t>NA</w:t>
            </w:r>
          </w:p>
        </w:tc>
        <w:tc>
          <w:tcPr>
            <w:cnfStyle w:val="000010000000"/>
            <w:tcW w:w="813" w:type="pct"/>
            <w:noWrap/>
          </w:tcPr>
          <w:p w:rsidR="001A6556" w:rsidRPr="008C316F" w:rsidRDefault="001A6556" w:rsidP="00E011B7">
            <w:pPr>
              <w:rPr>
                <w:rFonts w:ascii="Arial" w:hAnsi="Arial" w:cs="Arial"/>
                <w:sz w:val="20"/>
                <w:szCs w:val="20"/>
                <w:lang w:eastAsia="zh-CN"/>
              </w:rPr>
            </w:pPr>
            <w:r w:rsidRPr="008C316F">
              <w:rPr>
                <w:rFonts w:ascii="Arial" w:hAnsi="Arial" w:cs="Arial"/>
                <w:sz w:val="20"/>
                <w:szCs w:val="20"/>
                <w:lang w:eastAsia="zh-CN"/>
              </w:rPr>
              <w:t>NA</w:t>
            </w:r>
          </w:p>
        </w:tc>
        <w:tc>
          <w:tcPr>
            <w:tcW w:w="883" w:type="pct"/>
            <w:noWrap/>
          </w:tcPr>
          <w:p w:rsidR="001A6556" w:rsidRPr="008C316F" w:rsidRDefault="001A6556" w:rsidP="00E011B7">
            <w:pPr>
              <w:cnfStyle w:val="000000000000"/>
              <w:rPr>
                <w:rFonts w:ascii="Arial" w:hAnsi="Arial" w:cs="Arial"/>
                <w:sz w:val="20"/>
                <w:szCs w:val="20"/>
                <w:lang w:eastAsia="zh-CN"/>
              </w:rPr>
            </w:pPr>
            <w:r w:rsidRPr="008C316F">
              <w:rPr>
                <w:rFonts w:ascii="Arial" w:hAnsi="Arial" w:cs="Arial"/>
                <w:sz w:val="20"/>
                <w:szCs w:val="20"/>
                <w:lang w:eastAsia="zh-CN"/>
              </w:rPr>
              <w:t>50</w:t>
            </w:r>
          </w:p>
        </w:tc>
        <w:tc>
          <w:tcPr>
            <w:cnfStyle w:val="000010000000"/>
            <w:tcW w:w="689" w:type="pct"/>
            <w:noWrap/>
          </w:tcPr>
          <w:p w:rsidR="001A6556" w:rsidRPr="008C316F" w:rsidRDefault="001A6556" w:rsidP="00E011B7">
            <w:pPr>
              <w:rPr>
                <w:rFonts w:ascii="Arial" w:hAnsi="Arial" w:cs="Arial"/>
                <w:sz w:val="20"/>
                <w:szCs w:val="20"/>
                <w:lang w:eastAsia="zh-CN"/>
              </w:rPr>
            </w:pPr>
            <w:r w:rsidRPr="008C316F">
              <w:rPr>
                <w:rFonts w:ascii="Arial" w:hAnsi="Arial" w:cs="Arial"/>
                <w:sz w:val="20"/>
                <w:szCs w:val="20"/>
                <w:lang w:eastAsia="zh-CN"/>
              </w:rPr>
              <w:t>NA</w:t>
            </w:r>
          </w:p>
        </w:tc>
      </w:tr>
      <w:tr w:rsidR="001A6556" w:rsidTr="00E011B7">
        <w:trPr>
          <w:cnfStyle w:val="000000100000"/>
          <w:trHeight w:val="377"/>
        </w:trPr>
        <w:tc>
          <w:tcPr>
            <w:cnfStyle w:val="001000000000"/>
            <w:tcW w:w="787" w:type="pct"/>
            <w:noWrap/>
          </w:tcPr>
          <w:p w:rsidR="001A6556" w:rsidRPr="008C316F" w:rsidRDefault="001A6556" w:rsidP="00E011B7">
            <w:pPr>
              <w:rPr>
                <w:rFonts w:ascii="Arial" w:hAnsi="Arial" w:cs="Arial"/>
                <w:b w:val="0"/>
                <w:bCs w:val="0"/>
                <w:sz w:val="20"/>
                <w:szCs w:val="20"/>
                <w:lang w:eastAsia="zh-CN"/>
              </w:rPr>
            </w:pPr>
            <w:r w:rsidRPr="008C316F">
              <w:rPr>
                <w:rFonts w:ascii="Arial" w:hAnsi="Arial" w:cs="Arial"/>
                <w:sz w:val="20"/>
                <w:szCs w:val="20"/>
                <w:lang w:eastAsia="zh-CN"/>
              </w:rPr>
              <w:t>B100</w:t>
            </w:r>
          </w:p>
        </w:tc>
        <w:tc>
          <w:tcPr>
            <w:cnfStyle w:val="000010000000"/>
            <w:tcW w:w="1015" w:type="pct"/>
            <w:noWrap/>
          </w:tcPr>
          <w:p w:rsidR="001A6556" w:rsidRPr="008C316F" w:rsidRDefault="001A6556" w:rsidP="00E011B7">
            <w:pPr>
              <w:rPr>
                <w:rFonts w:ascii="Arial" w:hAnsi="Arial" w:cs="Arial"/>
                <w:sz w:val="20"/>
                <w:szCs w:val="20"/>
                <w:lang w:eastAsia="zh-CN"/>
              </w:rPr>
            </w:pPr>
            <w:r w:rsidRPr="008C316F">
              <w:rPr>
                <w:rFonts w:ascii="Arial" w:hAnsi="Arial" w:cs="Arial"/>
                <w:sz w:val="20"/>
                <w:szCs w:val="20"/>
                <w:lang w:eastAsia="zh-CN"/>
              </w:rPr>
              <w:t>0</w:t>
            </w:r>
          </w:p>
        </w:tc>
        <w:tc>
          <w:tcPr>
            <w:tcW w:w="813" w:type="pct"/>
            <w:noWrap/>
          </w:tcPr>
          <w:p w:rsidR="001A6556" w:rsidRPr="008C316F" w:rsidRDefault="001A6556" w:rsidP="00E011B7">
            <w:pPr>
              <w:cnfStyle w:val="000000100000"/>
              <w:rPr>
                <w:rFonts w:ascii="Arial" w:hAnsi="Arial" w:cs="Arial"/>
                <w:sz w:val="20"/>
                <w:szCs w:val="20"/>
                <w:lang w:eastAsia="zh-CN"/>
              </w:rPr>
            </w:pPr>
            <w:r w:rsidRPr="008C316F">
              <w:rPr>
                <w:rFonts w:ascii="Arial" w:hAnsi="Arial" w:cs="Arial"/>
                <w:sz w:val="20"/>
                <w:szCs w:val="20"/>
                <w:lang w:eastAsia="zh-CN"/>
              </w:rPr>
              <w:t>0</w:t>
            </w:r>
          </w:p>
        </w:tc>
        <w:tc>
          <w:tcPr>
            <w:cnfStyle w:val="000010000000"/>
            <w:tcW w:w="813" w:type="pct"/>
            <w:noWrap/>
          </w:tcPr>
          <w:p w:rsidR="001A6556" w:rsidRPr="008C316F" w:rsidRDefault="001A6556" w:rsidP="00E011B7">
            <w:pPr>
              <w:rPr>
                <w:rFonts w:ascii="Arial" w:hAnsi="Arial" w:cs="Arial"/>
                <w:sz w:val="20"/>
                <w:szCs w:val="20"/>
                <w:lang w:eastAsia="zh-CN"/>
              </w:rPr>
            </w:pPr>
            <w:r w:rsidRPr="008C316F">
              <w:rPr>
                <w:rFonts w:ascii="Arial" w:hAnsi="Arial" w:cs="Arial"/>
                <w:sz w:val="20"/>
                <w:szCs w:val="20"/>
                <w:lang w:eastAsia="zh-CN"/>
              </w:rPr>
              <w:t>0</w:t>
            </w:r>
          </w:p>
        </w:tc>
        <w:tc>
          <w:tcPr>
            <w:tcW w:w="883" w:type="pct"/>
            <w:noWrap/>
          </w:tcPr>
          <w:p w:rsidR="001A6556" w:rsidRPr="008C316F" w:rsidRDefault="001A6556" w:rsidP="00E011B7">
            <w:pPr>
              <w:cnfStyle w:val="000000100000"/>
              <w:rPr>
                <w:rFonts w:ascii="Arial" w:hAnsi="Arial" w:cs="Arial"/>
                <w:sz w:val="20"/>
                <w:szCs w:val="20"/>
                <w:lang w:eastAsia="zh-CN"/>
              </w:rPr>
            </w:pPr>
            <w:r w:rsidRPr="008C316F">
              <w:rPr>
                <w:rFonts w:ascii="Arial" w:hAnsi="Arial" w:cs="Arial"/>
                <w:sz w:val="20"/>
                <w:szCs w:val="20"/>
                <w:lang w:eastAsia="zh-CN"/>
              </w:rPr>
              <w:t>0</w:t>
            </w:r>
          </w:p>
        </w:tc>
        <w:tc>
          <w:tcPr>
            <w:cnfStyle w:val="000010000000"/>
            <w:tcW w:w="689" w:type="pct"/>
            <w:noWrap/>
          </w:tcPr>
          <w:p w:rsidR="001A6556" w:rsidRPr="008C316F" w:rsidRDefault="001A6556" w:rsidP="00E011B7">
            <w:pPr>
              <w:rPr>
                <w:rFonts w:ascii="Arial" w:hAnsi="Arial" w:cs="Arial"/>
                <w:sz w:val="20"/>
                <w:szCs w:val="20"/>
                <w:lang w:eastAsia="zh-CN"/>
              </w:rPr>
            </w:pPr>
            <w:r w:rsidRPr="008C316F">
              <w:rPr>
                <w:rFonts w:ascii="Arial" w:hAnsi="Arial" w:cs="Arial"/>
                <w:sz w:val="20"/>
                <w:szCs w:val="20"/>
                <w:lang w:eastAsia="zh-CN"/>
              </w:rPr>
              <w:t>0</w:t>
            </w:r>
          </w:p>
        </w:tc>
      </w:tr>
      <w:tr w:rsidR="001A6556" w:rsidTr="00E011B7">
        <w:trPr>
          <w:trHeight w:val="377"/>
        </w:trPr>
        <w:tc>
          <w:tcPr>
            <w:cnfStyle w:val="001000000000"/>
            <w:tcW w:w="787" w:type="pct"/>
            <w:noWrap/>
          </w:tcPr>
          <w:p w:rsidR="001A6556" w:rsidRPr="008C316F" w:rsidRDefault="001A6556" w:rsidP="00E011B7">
            <w:pPr>
              <w:rPr>
                <w:rFonts w:ascii="Arial" w:hAnsi="Arial" w:cs="Arial"/>
                <w:b w:val="0"/>
                <w:bCs w:val="0"/>
                <w:sz w:val="20"/>
                <w:szCs w:val="20"/>
                <w:lang w:eastAsia="zh-CN"/>
              </w:rPr>
            </w:pPr>
            <w:r w:rsidRPr="008C316F">
              <w:rPr>
                <w:rFonts w:ascii="Arial" w:hAnsi="Arial" w:cs="Arial"/>
                <w:sz w:val="20"/>
                <w:szCs w:val="20"/>
                <w:lang w:eastAsia="zh-CN"/>
              </w:rPr>
              <w:t>B20</w:t>
            </w:r>
          </w:p>
        </w:tc>
        <w:tc>
          <w:tcPr>
            <w:cnfStyle w:val="000010000000"/>
            <w:tcW w:w="1015" w:type="pct"/>
            <w:noWrap/>
          </w:tcPr>
          <w:p w:rsidR="001A6556" w:rsidRPr="008C316F" w:rsidRDefault="001A6556" w:rsidP="00E011B7">
            <w:pPr>
              <w:rPr>
                <w:rFonts w:ascii="Arial" w:hAnsi="Arial" w:cs="Arial"/>
                <w:sz w:val="20"/>
                <w:szCs w:val="20"/>
                <w:lang w:eastAsia="zh-CN"/>
              </w:rPr>
            </w:pPr>
            <w:r w:rsidRPr="008C316F">
              <w:rPr>
                <w:rFonts w:ascii="Arial" w:hAnsi="Arial" w:cs="Arial"/>
                <w:sz w:val="20"/>
                <w:szCs w:val="20"/>
                <w:lang w:eastAsia="zh-CN"/>
              </w:rPr>
              <w:t>0</w:t>
            </w:r>
          </w:p>
        </w:tc>
        <w:tc>
          <w:tcPr>
            <w:tcW w:w="813" w:type="pct"/>
            <w:noWrap/>
          </w:tcPr>
          <w:p w:rsidR="001A6556" w:rsidRPr="008C316F" w:rsidRDefault="001A6556" w:rsidP="00E011B7">
            <w:pPr>
              <w:cnfStyle w:val="000000000000"/>
              <w:rPr>
                <w:rFonts w:ascii="Arial" w:hAnsi="Arial" w:cs="Arial"/>
                <w:sz w:val="20"/>
                <w:szCs w:val="20"/>
                <w:lang w:eastAsia="zh-CN"/>
              </w:rPr>
            </w:pPr>
            <w:r w:rsidRPr="008C316F">
              <w:rPr>
                <w:rFonts w:ascii="Arial" w:hAnsi="Arial" w:cs="Arial"/>
                <w:sz w:val="20"/>
                <w:szCs w:val="20"/>
                <w:lang w:eastAsia="zh-CN"/>
              </w:rPr>
              <w:t>0</w:t>
            </w:r>
          </w:p>
        </w:tc>
        <w:tc>
          <w:tcPr>
            <w:cnfStyle w:val="000010000000"/>
            <w:tcW w:w="813" w:type="pct"/>
            <w:noWrap/>
          </w:tcPr>
          <w:p w:rsidR="001A6556" w:rsidRPr="008C316F" w:rsidRDefault="001A6556" w:rsidP="00E011B7">
            <w:pPr>
              <w:rPr>
                <w:rFonts w:ascii="Arial" w:hAnsi="Arial" w:cs="Arial"/>
                <w:sz w:val="20"/>
                <w:szCs w:val="20"/>
                <w:lang w:eastAsia="zh-CN"/>
              </w:rPr>
            </w:pPr>
            <w:r w:rsidRPr="008C316F">
              <w:rPr>
                <w:rFonts w:ascii="Arial" w:hAnsi="Arial" w:cs="Arial"/>
                <w:sz w:val="20"/>
                <w:szCs w:val="20"/>
                <w:lang w:eastAsia="zh-CN"/>
              </w:rPr>
              <w:t>0</w:t>
            </w:r>
          </w:p>
        </w:tc>
        <w:tc>
          <w:tcPr>
            <w:tcW w:w="883" w:type="pct"/>
            <w:noWrap/>
          </w:tcPr>
          <w:p w:rsidR="001A6556" w:rsidRPr="008C316F" w:rsidRDefault="001A6556" w:rsidP="00E011B7">
            <w:pPr>
              <w:cnfStyle w:val="000000000000"/>
              <w:rPr>
                <w:rFonts w:ascii="Arial" w:hAnsi="Arial" w:cs="Arial"/>
                <w:sz w:val="20"/>
                <w:szCs w:val="20"/>
                <w:lang w:eastAsia="zh-CN"/>
              </w:rPr>
            </w:pPr>
            <w:r w:rsidRPr="008C316F">
              <w:rPr>
                <w:rFonts w:ascii="Arial" w:hAnsi="Arial" w:cs="Arial"/>
                <w:sz w:val="20"/>
                <w:szCs w:val="20"/>
                <w:lang w:eastAsia="zh-CN"/>
              </w:rPr>
              <w:t>0</w:t>
            </w:r>
          </w:p>
        </w:tc>
        <w:tc>
          <w:tcPr>
            <w:cnfStyle w:val="000010000000"/>
            <w:tcW w:w="689" w:type="pct"/>
            <w:noWrap/>
          </w:tcPr>
          <w:p w:rsidR="001A6556" w:rsidRPr="008C316F" w:rsidRDefault="001A6556" w:rsidP="00E011B7">
            <w:pPr>
              <w:rPr>
                <w:rFonts w:ascii="Arial" w:hAnsi="Arial" w:cs="Arial"/>
                <w:sz w:val="20"/>
                <w:szCs w:val="20"/>
                <w:lang w:eastAsia="zh-CN"/>
              </w:rPr>
            </w:pPr>
            <w:r w:rsidRPr="008C316F">
              <w:rPr>
                <w:rFonts w:ascii="Arial" w:hAnsi="Arial" w:cs="Arial"/>
                <w:sz w:val="20"/>
                <w:szCs w:val="20"/>
                <w:lang w:eastAsia="zh-CN"/>
              </w:rPr>
              <w:t>0</w:t>
            </w:r>
          </w:p>
        </w:tc>
      </w:tr>
      <w:tr w:rsidR="001A6556" w:rsidTr="00E011B7">
        <w:trPr>
          <w:cnfStyle w:val="000000100000"/>
          <w:trHeight w:val="377"/>
        </w:trPr>
        <w:tc>
          <w:tcPr>
            <w:cnfStyle w:val="001000000000"/>
            <w:tcW w:w="787" w:type="pct"/>
            <w:noWrap/>
          </w:tcPr>
          <w:p w:rsidR="001A6556" w:rsidRPr="008C316F" w:rsidRDefault="001A6556" w:rsidP="00E011B7">
            <w:pPr>
              <w:rPr>
                <w:rFonts w:ascii="Arial" w:hAnsi="Arial" w:cs="Arial"/>
                <w:b w:val="0"/>
                <w:bCs w:val="0"/>
                <w:sz w:val="20"/>
                <w:szCs w:val="20"/>
                <w:lang w:eastAsia="zh-CN"/>
              </w:rPr>
            </w:pPr>
            <w:r w:rsidRPr="008C316F">
              <w:rPr>
                <w:rFonts w:ascii="Arial" w:hAnsi="Arial" w:cs="Arial"/>
                <w:sz w:val="20"/>
                <w:szCs w:val="20"/>
                <w:lang w:eastAsia="zh-CN"/>
              </w:rPr>
              <w:t>E85</w:t>
            </w:r>
          </w:p>
        </w:tc>
        <w:tc>
          <w:tcPr>
            <w:cnfStyle w:val="000010000000"/>
            <w:tcW w:w="1015" w:type="pct"/>
            <w:noWrap/>
          </w:tcPr>
          <w:p w:rsidR="001A6556" w:rsidRPr="008C316F" w:rsidRDefault="001A6556" w:rsidP="00E011B7">
            <w:pPr>
              <w:rPr>
                <w:rFonts w:ascii="Arial" w:hAnsi="Arial" w:cs="Arial"/>
                <w:sz w:val="20"/>
                <w:szCs w:val="20"/>
                <w:lang w:eastAsia="zh-CN"/>
              </w:rPr>
            </w:pPr>
            <w:r w:rsidRPr="008C316F">
              <w:rPr>
                <w:rFonts w:ascii="Arial" w:hAnsi="Arial" w:cs="Arial"/>
                <w:sz w:val="20"/>
                <w:szCs w:val="20"/>
                <w:lang w:eastAsia="zh-CN"/>
              </w:rPr>
              <w:t>0</w:t>
            </w:r>
          </w:p>
        </w:tc>
        <w:tc>
          <w:tcPr>
            <w:tcW w:w="813" w:type="pct"/>
            <w:noWrap/>
          </w:tcPr>
          <w:p w:rsidR="001A6556" w:rsidRPr="008C316F" w:rsidRDefault="001A6556" w:rsidP="00E011B7">
            <w:pPr>
              <w:cnfStyle w:val="000000100000"/>
              <w:rPr>
                <w:rFonts w:ascii="Arial" w:hAnsi="Arial" w:cs="Arial"/>
                <w:sz w:val="20"/>
                <w:szCs w:val="20"/>
                <w:lang w:eastAsia="zh-CN"/>
              </w:rPr>
            </w:pPr>
            <w:r w:rsidRPr="008C316F">
              <w:rPr>
                <w:rFonts w:ascii="Arial" w:hAnsi="Arial" w:cs="Arial"/>
                <w:sz w:val="20"/>
                <w:szCs w:val="20"/>
                <w:lang w:eastAsia="zh-CN"/>
              </w:rPr>
              <w:t>0</w:t>
            </w:r>
          </w:p>
        </w:tc>
        <w:tc>
          <w:tcPr>
            <w:cnfStyle w:val="000010000000"/>
            <w:tcW w:w="813" w:type="pct"/>
            <w:noWrap/>
          </w:tcPr>
          <w:p w:rsidR="001A6556" w:rsidRPr="008C316F" w:rsidRDefault="001A6556" w:rsidP="00E011B7">
            <w:pPr>
              <w:rPr>
                <w:rFonts w:ascii="Arial" w:hAnsi="Arial" w:cs="Arial"/>
                <w:sz w:val="20"/>
                <w:szCs w:val="20"/>
                <w:lang w:eastAsia="zh-CN"/>
              </w:rPr>
            </w:pPr>
            <w:r w:rsidRPr="008C316F">
              <w:rPr>
                <w:rFonts w:ascii="Arial" w:hAnsi="Arial" w:cs="Arial"/>
                <w:sz w:val="20"/>
                <w:szCs w:val="20"/>
                <w:lang w:eastAsia="zh-CN"/>
              </w:rPr>
              <w:t>NA</w:t>
            </w:r>
          </w:p>
        </w:tc>
        <w:tc>
          <w:tcPr>
            <w:tcW w:w="883" w:type="pct"/>
            <w:noWrap/>
          </w:tcPr>
          <w:p w:rsidR="001A6556" w:rsidRPr="008C316F" w:rsidRDefault="001A6556" w:rsidP="00E011B7">
            <w:pPr>
              <w:cnfStyle w:val="000000100000"/>
              <w:rPr>
                <w:rFonts w:ascii="Arial" w:hAnsi="Arial" w:cs="Arial"/>
                <w:sz w:val="20"/>
                <w:szCs w:val="20"/>
                <w:lang w:eastAsia="zh-CN"/>
              </w:rPr>
            </w:pPr>
            <w:r w:rsidRPr="008C316F">
              <w:rPr>
                <w:rFonts w:ascii="Arial" w:hAnsi="Arial" w:cs="Arial"/>
                <w:sz w:val="20"/>
                <w:szCs w:val="20"/>
                <w:lang w:eastAsia="zh-CN"/>
              </w:rPr>
              <w:t>NA</w:t>
            </w:r>
          </w:p>
        </w:tc>
        <w:tc>
          <w:tcPr>
            <w:cnfStyle w:val="000010000000"/>
            <w:tcW w:w="689" w:type="pct"/>
            <w:noWrap/>
          </w:tcPr>
          <w:p w:rsidR="001A6556" w:rsidRPr="008C316F" w:rsidRDefault="001A6556" w:rsidP="00E011B7">
            <w:pPr>
              <w:rPr>
                <w:rFonts w:ascii="Arial" w:hAnsi="Arial" w:cs="Arial"/>
                <w:sz w:val="20"/>
                <w:szCs w:val="20"/>
                <w:lang w:eastAsia="zh-CN"/>
              </w:rPr>
            </w:pPr>
            <w:r w:rsidRPr="008C316F">
              <w:rPr>
                <w:rFonts w:ascii="Arial" w:hAnsi="Arial" w:cs="Arial"/>
                <w:sz w:val="20"/>
                <w:szCs w:val="20"/>
                <w:lang w:eastAsia="zh-CN"/>
              </w:rPr>
              <w:t>NA</w:t>
            </w:r>
          </w:p>
        </w:tc>
      </w:tr>
      <w:tr w:rsidR="001A6556" w:rsidTr="00E011B7">
        <w:trPr>
          <w:trHeight w:val="377"/>
        </w:trPr>
        <w:tc>
          <w:tcPr>
            <w:cnfStyle w:val="001000000000"/>
            <w:tcW w:w="787" w:type="pct"/>
            <w:noWrap/>
          </w:tcPr>
          <w:p w:rsidR="001A6556" w:rsidRPr="008C316F" w:rsidRDefault="001A6556" w:rsidP="00E011B7">
            <w:pPr>
              <w:rPr>
                <w:rFonts w:ascii="Arial" w:hAnsi="Arial" w:cs="Arial"/>
                <w:b w:val="0"/>
                <w:bCs w:val="0"/>
                <w:sz w:val="20"/>
                <w:szCs w:val="20"/>
                <w:lang w:eastAsia="zh-CN"/>
              </w:rPr>
            </w:pPr>
            <w:r w:rsidRPr="008C316F">
              <w:rPr>
                <w:rFonts w:ascii="Arial" w:hAnsi="Arial" w:cs="Arial"/>
                <w:sz w:val="20"/>
                <w:szCs w:val="20"/>
                <w:lang w:eastAsia="zh-CN"/>
              </w:rPr>
              <w:t>E10</w:t>
            </w:r>
          </w:p>
        </w:tc>
        <w:tc>
          <w:tcPr>
            <w:cnfStyle w:val="000010000000"/>
            <w:tcW w:w="1015" w:type="pct"/>
            <w:noWrap/>
          </w:tcPr>
          <w:p w:rsidR="001A6556" w:rsidRPr="008C316F" w:rsidRDefault="001A6556" w:rsidP="00E011B7">
            <w:pPr>
              <w:rPr>
                <w:rFonts w:ascii="Arial" w:hAnsi="Arial" w:cs="Arial"/>
                <w:sz w:val="20"/>
                <w:szCs w:val="20"/>
                <w:lang w:eastAsia="zh-CN"/>
              </w:rPr>
            </w:pPr>
            <w:r w:rsidRPr="008C316F">
              <w:rPr>
                <w:rFonts w:ascii="Arial" w:hAnsi="Arial" w:cs="Arial"/>
                <w:sz w:val="20"/>
                <w:szCs w:val="20"/>
                <w:lang w:eastAsia="zh-CN"/>
              </w:rPr>
              <w:t>0</w:t>
            </w:r>
          </w:p>
        </w:tc>
        <w:tc>
          <w:tcPr>
            <w:tcW w:w="813" w:type="pct"/>
            <w:noWrap/>
          </w:tcPr>
          <w:p w:rsidR="001A6556" w:rsidRPr="008C316F" w:rsidRDefault="001A6556" w:rsidP="00E011B7">
            <w:pPr>
              <w:cnfStyle w:val="000000000000"/>
              <w:rPr>
                <w:rFonts w:ascii="Arial" w:hAnsi="Arial" w:cs="Arial"/>
                <w:sz w:val="20"/>
                <w:szCs w:val="20"/>
                <w:lang w:eastAsia="zh-CN"/>
              </w:rPr>
            </w:pPr>
            <w:r w:rsidRPr="008C316F">
              <w:rPr>
                <w:rFonts w:ascii="Arial" w:hAnsi="Arial" w:cs="Arial"/>
                <w:sz w:val="20"/>
                <w:szCs w:val="20"/>
                <w:lang w:eastAsia="zh-CN"/>
              </w:rPr>
              <w:t>0</w:t>
            </w:r>
          </w:p>
        </w:tc>
        <w:tc>
          <w:tcPr>
            <w:cnfStyle w:val="000010000000"/>
            <w:tcW w:w="813" w:type="pct"/>
            <w:noWrap/>
          </w:tcPr>
          <w:p w:rsidR="001A6556" w:rsidRPr="008C316F" w:rsidRDefault="001A6556" w:rsidP="00E011B7">
            <w:pPr>
              <w:rPr>
                <w:rFonts w:ascii="Arial" w:hAnsi="Arial" w:cs="Arial"/>
                <w:sz w:val="20"/>
                <w:szCs w:val="20"/>
                <w:lang w:eastAsia="zh-CN"/>
              </w:rPr>
            </w:pPr>
            <w:r w:rsidRPr="008C316F">
              <w:rPr>
                <w:rFonts w:ascii="Arial" w:hAnsi="Arial" w:cs="Arial"/>
                <w:sz w:val="20"/>
                <w:szCs w:val="20"/>
                <w:lang w:eastAsia="zh-CN"/>
              </w:rPr>
              <w:t>NA</w:t>
            </w:r>
          </w:p>
        </w:tc>
        <w:tc>
          <w:tcPr>
            <w:tcW w:w="883" w:type="pct"/>
            <w:noWrap/>
          </w:tcPr>
          <w:p w:rsidR="001A6556" w:rsidRPr="008C316F" w:rsidRDefault="001A6556" w:rsidP="00E011B7">
            <w:pPr>
              <w:cnfStyle w:val="000000000000"/>
              <w:rPr>
                <w:rFonts w:ascii="Arial" w:hAnsi="Arial" w:cs="Arial"/>
                <w:sz w:val="20"/>
                <w:szCs w:val="20"/>
                <w:lang w:eastAsia="zh-CN"/>
              </w:rPr>
            </w:pPr>
            <w:r w:rsidRPr="008C316F">
              <w:rPr>
                <w:rFonts w:ascii="Arial" w:hAnsi="Arial" w:cs="Arial"/>
                <w:sz w:val="20"/>
                <w:szCs w:val="20"/>
                <w:lang w:eastAsia="zh-CN"/>
              </w:rPr>
              <w:t>NA</w:t>
            </w:r>
          </w:p>
        </w:tc>
        <w:tc>
          <w:tcPr>
            <w:cnfStyle w:val="000010000000"/>
            <w:tcW w:w="689" w:type="pct"/>
            <w:noWrap/>
          </w:tcPr>
          <w:p w:rsidR="001A6556" w:rsidRPr="008C316F" w:rsidRDefault="001A6556" w:rsidP="00E011B7">
            <w:pPr>
              <w:rPr>
                <w:rFonts w:ascii="Arial" w:hAnsi="Arial" w:cs="Arial"/>
                <w:sz w:val="20"/>
                <w:szCs w:val="20"/>
                <w:lang w:eastAsia="zh-CN"/>
              </w:rPr>
            </w:pPr>
            <w:r w:rsidRPr="008C316F">
              <w:rPr>
                <w:rFonts w:ascii="Arial" w:hAnsi="Arial" w:cs="Arial"/>
                <w:sz w:val="20"/>
                <w:szCs w:val="20"/>
                <w:lang w:eastAsia="zh-CN"/>
              </w:rPr>
              <w:t>NA</w:t>
            </w:r>
          </w:p>
        </w:tc>
      </w:tr>
      <w:tr w:rsidR="001A6556" w:rsidTr="00E011B7">
        <w:trPr>
          <w:cnfStyle w:val="000000100000"/>
          <w:trHeight w:val="377"/>
        </w:trPr>
        <w:tc>
          <w:tcPr>
            <w:cnfStyle w:val="001000000000"/>
            <w:tcW w:w="787" w:type="pct"/>
            <w:noWrap/>
          </w:tcPr>
          <w:p w:rsidR="001A6556" w:rsidRPr="008C316F" w:rsidRDefault="001A6556" w:rsidP="00E011B7">
            <w:pPr>
              <w:rPr>
                <w:rFonts w:ascii="Arial" w:hAnsi="Arial" w:cs="Arial"/>
                <w:b w:val="0"/>
                <w:bCs w:val="0"/>
                <w:sz w:val="20"/>
                <w:szCs w:val="20"/>
                <w:lang w:eastAsia="zh-CN"/>
              </w:rPr>
            </w:pPr>
            <w:r w:rsidRPr="008C316F">
              <w:rPr>
                <w:rFonts w:ascii="Arial" w:hAnsi="Arial" w:cs="Arial"/>
                <w:sz w:val="20"/>
                <w:szCs w:val="20"/>
                <w:lang w:eastAsia="zh-CN"/>
              </w:rPr>
              <w:t>Fuel cell</w:t>
            </w:r>
          </w:p>
        </w:tc>
        <w:tc>
          <w:tcPr>
            <w:cnfStyle w:val="000010000000"/>
            <w:tcW w:w="1015" w:type="pct"/>
            <w:noWrap/>
          </w:tcPr>
          <w:p w:rsidR="001A6556" w:rsidRPr="008C316F" w:rsidRDefault="001A6556" w:rsidP="00E011B7">
            <w:pPr>
              <w:rPr>
                <w:rFonts w:ascii="Arial" w:hAnsi="Arial" w:cs="Arial"/>
                <w:sz w:val="20"/>
                <w:szCs w:val="20"/>
                <w:lang w:eastAsia="zh-CN"/>
              </w:rPr>
            </w:pPr>
            <w:r w:rsidRPr="008C316F">
              <w:rPr>
                <w:rFonts w:ascii="Arial" w:hAnsi="Arial" w:cs="Arial"/>
                <w:sz w:val="20"/>
                <w:szCs w:val="20"/>
                <w:lang w:eastAsia="zh-CN"/>
              </w:rPr>
              <w:t>35</w:t>
            </w:r>
          </w:p>
        </w:tc>
        <w:tc>
          <w:tcPr>
            <w:tcW w:w="813" w:type="pct"/>
            <w:noWrap/>
          </w:tcPr>
          <w:p w:rsidR="001A6556" w:rsidRPr="008C316F" w:rsidRDefault="001A6556" w:rsidP="00E011B7">
            <w:pPr>
              <w:cnfStyle w:val="000000100000"/>
              <w:rPr>
                <w:rFonts w:ascii="Arial" w:hAnsi="Arial" w:cs="Arial"/>
                <w:sz w:val="20"/>
                <w:szCs w:val="20"/>
                <w:lang w:eastAsia="zh-CN"/>
              </w:rPr>
            </w:pPr>
            <w:r w:rsidRPr="008C316F">
              <w:rPr>
                <w:rFonts w:ascii="Arial" w:hAnsi="Arial" w:cs="Arial"/>
                <w:sz w:val="20"/>
                <w:szCs w:val="20"/>
                <w:lang w:eastAsia="zh-CN"/>
              </w:rPr>
              <w:t>35</w:t>
            </w:r>
          </w:p>
        </w:tc>
        <w:tc>
          <w:tcPr>
            <w:cnfStyle w:val="000010000000"/>
            <w:tcW w:w="813" w:type="pct"/>
            <w:noWrap/>
          </w:tcPr>
          <w:p w:rsidR="001A6556" w:rsidRPr="008C316F" w:rsidRDefault="001A6556" w:rsidP="00E011B7">
            <w:pPr>
              <w:rPr>
                <w:rFonts w:ascii="Arial" w:hAnsi="Arial" w:cs="Arial"/>
                <w:sz w:val="20"/>
                <w:szCs w:val="20"/>
                <w:lang w:eastAsia="zh-CN"/>
              </w:rPr>
            </w:pPr>
            <w:r w:rsidRPr="008C316F">
              <w:rPr>
                <w:rFonts w:ascii="Arial" w:hAnsi="Arial" w:cs="Arial"/>
                <w:sz w:val="20"/>
                <w:szCs w:val="20"/>
                <w:lang w:eastAsia="zh-CN"/>
              </w:rPr>
              <w:t>80</w:t>
            </w:r>
          </w:p>
        </w:tc>
        <w:tc>
          <w:tcPr>
            <w:tcW w:w="883" w:type="pct"/>
            <w:noWrap/>
          </w:tcPr>
          <w:p w:rsidR="001A6556" w:rsidRPr="008C316F" w:rsidRDefault="001A6556" w:rsidP="00E011B7">
            <w:pPr>
              <w:cnfStyle w:val="000000100000"/>
              <w:rPr>
                <w:rFonts w:ascii="Arial" w:hAnsi="Arial" w:cs="Arial"/>
                <w:sz w:val="20"/>
                <w:szCs w:val="20"/>
                <w:lang w:eastAsia="zh-CN"/>
              </w:rPr>
            </w:pPr>
            <w:r w:rsidRPr="008C316F">
              <w:rPr>
                <w:rFonts w:ascii="Arial" w:hAnsi="Arial" w:cs="Arial"/>
                <w:sz w:val="20"/>
                <w:szCs w:val="20"/>
                <w:lang w:eastAsia="zh-CN"/>
              </w:rPr>
              <w:t>150</w:t>
            </w:r>
          </w:p>
        </w:tc>
        <w:tc>
          <w:tcPr>
            <w:cnfStyle w:val="000010000000"/>
            <w:tcW w:w="689" w:type="pct"/>
            <w:noWrap/>
          </w:tcPr>
          <w:p w:rsidR="001A6556" w:rsidRPr="008C316F" w:rsidRDefault="001A6556" w:rsidP="00E011B7">
            <w:pPr>
              <w:rPr>
                <w:rFonts w:ascii="Arial" w:hAnsi="Arial" w:cs="Arial"/>
                <w:sz w:val="20"/>
                <w:szCs w:val="20"/>
                <w:lang w:eastAsia="zh-CN"/>
              </w:rPr>
            </w:pPr>
            <w:r w:rsidRPr="008C316F">
              <w:rPr>
                <w:rFonts w:ascii="Arial" w:hAnsi="Arial" w:cs="Arial"/>
                <w:sz w:val="20"/>
                <w:szCs w:val="20"/>
                <w:lang w:eastAsia="zh-CN"/>
              </w:rPr>
              <w:t>140</w:t>
            </w:r>
          </w:p>
        </w:tc>
      </w:tr>
      <w:tr w:rsidR="001A6556" w:rsidTr="00E011B7">
        <w:trPr>
          <w:trHeight w:val="377"/>
        </w:trPr>
        <w:tc>
          <w:tcPr>
            <w:cnfStyle w:val="001000000000"/>
            <w:tcW w:w="787" w:type="pct"/>
            <w:noWrap/>
          </w:tcPr>
          <w:p w:rsidR="001A6556" w:rsidRPr="008C316F" w:rsidRDefault="001A6556" w:rsidP="00E011B7">
            <w:pPr>
              <w:rPr>
                <w:rFonts w:ascii="Arial" w:hAnsi="Arial" w:cs="Arial"/>
                <w:b w:val="0"/>
                <w:bCs w:val="0"/>
                <w:sz w:val="20"/>
                <w:szCs w:val="20"/>
                <w:lang w:eastAsia="zh-CN"/>
              </w:rPr>
            </w:pPr>
            <w:r w:rsidRPr="008C316F">
              <w:rPr>
                <w:rFonts w:ascii="Arial" w:hAnsi="Arial" w:cs="Arial"/>
                <w:sz w:val="20"/>
                <w:szCs w:val="20"/>
                <w:lang w:eastAsia="zh-CN"/>
              </w:rPr>
              <w:t>GTL</w:t>
            </w:r>
          </w:p>
        </w:tc>
        <w:tc>
          <w:tcPr>
            <w:cnfStyle w:val="000010000000"/>
            <w:tcW w:w="1015" w:type="pct"/>
            <w:noWrap/>
          </w:tcPr>
          <w:p w:rsidR="001A6556" w:rsidRPr="008C316F" w:rsidRDefault="001A6556" w:rsidP="00E011B7">
            <w:pPr>
              <w:rPr>
                <w:rFonts w:ascii="Arial" w:hAnsi="Arial" w:cs="Arial"/>
                <w:sz w:val="20"/>
                <w:szCs w:val="20"/>
                <w:lang w:eastAsia="zh-CN"/>
              </w:rPr>
            </w:pPr>
            <w:r w:rsidRPr="008C316F">
              <w:rPr>
                <w:rFonts w:ascii="Arial" w:hAnsi="Arial" w:cs="Arial"/>
                <w:sz w:val="20"/>
                <w:szCs w:val="20"/>
                <w:lang w:eastAsia="zh-CN"/>
              </w:rPr>
              <w:t>0</w:t>
            </w:r>
          </w:p>
        </w:tc>
        <w:tc>
          <w:tcPr>
            <w:tcW w:w="813" w:type="pct"/>
            <w:noWrap/>
          </w:tcPr>
          <w:p w:rsidR="001A6556" w:rsidRPr="008C316F" w:rsidRDefault="001A6556" w:rsidP="00E011B7">
            <w:pPr>
              <w:cnfStyle w:val="000000000000"/>
              <w:rPr>
                <w:rFonts w:ascii="Arial" w:hAnsi="Arial" w:cs="Arial"/>
                <w:sz w:val="20"/>
                <w:szCs w:val="20"/>
                <w:lang w:eastAsia="zh-CN"/>
              </w:rPr>
            </w:pPr>
            <w:r w:rsidRPr="008C316F">
              <w:rPr>
                <w:rFonts w:ascii="Arial" w:hAnsi="Arial" w:cs="Arial"/>
                <w:sz w:val="20"/>
                <w:szCs w:val="20"/>
                <w:lang w:eastAsia="zh-CN"/>
              </w:rPr>
              <w:t>0</w:t>
            </w:r>
          </w:p>
        </w:tc>
        <w:tc>
          <w:tcPr>
            <w:cnfStyle w:val="000010000000"/>
            <w:tcW w:w="813" w:type="pct"/>
            <w:noWrap/>
          </w:tcPr>
          <w:p w:rsidR="001A6556" w:rsidRPr="008C316F" w:rsidRDefault="001A6556" w:rsidP="00E011B7">
            <w:pPr>
              <w:rPr>
                <w:rFonts w:ascii="Arial" w:hAnsi="Arial" w:cs="Arial"/>
                <w:sz w:val="20"/>
                <w:szCs w:val="20"/>
                <w:lang w:eastAsia="zh-CN"/>
              </w:rPr>
            </w:pPr>
            <w:r w:rsidRPr="008C316F">
              <w:rPr>
                <w:rFonts w:ascii="Arial" w:hAnsi="Arial" w:cs="Arial"/>
                <w:sz w:val="20"/>
                <w:szCs w:val="20"/>
                <w:lang w:eastAsia="zh-CN"/>
              </w:rPr>
              <w:t>0</w:t>
            </w:r>
          </w:p>
        </w:tc>
        <w:tc>
          <w:tcPr>
            <w:tcW w:w="883" w:type="pct"/>
            <w:noWrap/>
          </w:tcPr>
          <w:p w:rsidR="001A6556" w:rsidRPr="008C316F" w:rsidRDefault="001A6556" w:rsidP="00E011B7">
            <w:pPr>
              <w:cnfStyle w:val="000000000000"/>
              <w:rPr>
                <w:rFonts w:ascii="Arial" w:hAnsi="Arial" w:cs="Arial"/>
                <w:sz w:val="20"/>
                <w:szCs w:val="20"/>
                <w:lang w:eastAsia="zh-CN"/>
              </w:rPr>
            </w:pPr>
            <w:r w:rsidRPr="008C316F">
              <w:rPr>
                <w:rFonts w:ascii="Arial" w:hAnsi="Arial" w:cs="Arial"/>
                <w:sz w:val="20"/>
                <w:szCs w:val="20"/>
                <w:lang w:eastAsia="zh-CN"/>
              </w:rPr>
              <w:t>0</w:t>
            </w:r>
          </w:p>
        </w:tc>
        <w:tc>
          <w:tcPr>
            <w:cnfStyle w:val="000010000000"/>
            <w:tcW w:w="689" w:type="pct"/>
            <w:noWrap/>
          </w:tcPr>
          <w:p w:rsidR="001A6556" w:rsidRPr="008C316F" w:rsidRDefault="001A6556" w:rsidP="00E011B7">
            <w:pPr>
              <w:rPr>
                <w:rFonts w:ascii="Arial" w:hAnsi="Arial" w:cs="Arial"/>
                <w:sz w:val="20"/>
                <w:szCs w:val="20"/>
                <w:lang w:eastAsia="zh-CN"/>
              </w:rPr>
            </w:pPr>
            <w:r w:rsidRPr="008C316F">
              <w:rPr>
                <w:rFonts w:ascii="Arial" w:hAnsi="Arial" w:cs="Arial"/>
                <w:sz w:val="20"/>
                <w:szCs w:val="20"/>
                <w:lang w:eastAsia="zh-CN"/>
              </w:rPr>
              <w:t>0</w:t>
            </w:r>
          </w:p>
        </w:tc>
      </w:tr>
      <w:tr w:rsidR="001A6556" w:rsidTr="00E011B7">
        <w:trPr>
          <w:cnfStyle w:val="000000100000"/>
          <w:trHeight w:val="377"/>
        </w:trPr>
        <w:tc>
          <w:tcPr>
            <w:cnfStyle w:val="001000000000"/>
            <w:tcW w:w="787" w:type="pct"/>
            <w:noWrap/>
          </w:tcPr>
          <w:p w:rsidR="001A6556" w:rsidRPr="008C316F" w:rsidRDefault="001A6556" w:rsidP="00E011B7">
            <w:pPr>
              <w:rPr>
                <w:rFonts w:ascii="Arial" w:hAnsi="Arial" w:cs="Arial"/>
                <w:b w:val="0"/>
                <w:bCs w:val="0"/>
                <w:sz w:val="20"/>
                <w:szCs w:val="20"/>
                <w:lang w:eastAsia="zh-CN"/>
              </w:rPr>
            </w:pPr>
            <w:r w:rsidRPr="008C316F">
              <w:rPr>
                <w:rFonts w:ascii="Arial" w:hAnsi="Arial" w:cs="Arial"/>
                <w:sz w:val="20"/>
                <w:szCs w:val="20"/>
                <w:lang w:eastAsia="zh-CN"/>
              </w:rPr>
              <w:t>CTL</w:t>
            </w:r>
          </w:p>
        </w:tc>
        <w:tc>
          <w:tcPr>
            <w:cnfStyle w:val="000010000000"/>
            <w:tcW w:w="1015" w:type="pct"/>
            <w:noWrap/>
          </w:tcPr>
          <w:p w:rsidR="001A6556" w:rsidRPr="008C316F" w:rsidRDefault="001A6556" w:rsidP="00E011B7">
            <w:pPr>
              <w:rPr>
                <w:rFonts w:ascii="Arial" w:hAnsi="Arial" w:cs="Arial"/>
                <w:sz w:val="20"/>
                <w:szCs w:val="20"/>
                <w:lang w:eastAsia="zh-CN"/>
              </w:rPr>
            </w:pPr>
            <w:r w:rsidRPr="008C316F">
              <w:rPr>
                <w:rFonts w:ascii="Arial" w:hAnsi="Arial" w:cs="Arial"/>
                <w:sz w:val="20"/>
                <w:szCs w:val="20"/>
                <w:lang w:eastAsia="zh-CN"/>
              </w:rPr>
              <w:t>0</w:t>
            </w:r>
          </w:p>
        </w:tc>
        <w:tc>
          <w:tcPr>
            <w:tcW w:w="813" w:type="pct"/>
            <w:noWrap/>
          </w:tcPr>
          <w:p w:rsidR="001A6556" w:rsidRPr="008C316F" w:rsidRDefault="001A6556" w:rsidP="00E011B7">
            <w:pPr>
              <w:cnfStyle w:val="000000100000"/>
              <w:rPr>
                <w:rFonts w:ascii="Arial" w:hAnsi="Arial" w:cs="Arial"/>
                <w:sz w:val="20"/>
                <w:szCs w:val="20"/>
                <w:lang w:eastAsia="zh-CN"/>
              </w:rPr>
            </w:pPr>
            <w:r w:rsidRPr="008C316F">
              <w:rPr>
                <w:rFonts w:ascii="Arial" w:hAnsi="Arial" w:cs="Arial"/>
                <w:sz w:val="20"/>
                <w:szCs w:val="20"/>
                <w:lang w:eastAsia="zh-CN"/>
              </w:rPr>
              <w:t>0</w:t>
            </w:r>
          </w:p>
        </w:tc>
        <w:tc>
          <w:tcPr>
            <w:cnfStyle w:val="000010000000"/>
            <w:tcW w:w="813" w:type="pct"/>
            <w:noWrap/>
          </w:tcPr>
          <w:p w:rsidR="001A6556" w:rsidRPr="008C316F" w:rsidRDefault="001A6556" w:rsidP="00E011B7">
            <w:pPr>
              <w:rPr>
                <w:rFonts w:ascii="Arial" w:hAnsi="Arial" w:cs="Arial"/>
                <w:sz w:val="20"/>
                <w:szCs w:val="20"/>
                <w:lang w:eastAsia="zh-CN"/>
              </w:rPr>
            </w:pPr>
            <w:r w:rsidRPr="008C316F">
              <w:rPr>
                <w:rFonts w:ascii="Arial" w:hAnsi="Arial" w:cs="Arial"/>
                <w:sz w:val="20"/>
                <w:szCs w:val="20"/>
                <w:lang w:eastAsia="zh-CN"/>
              </w:rPr>
              <w:t>0</w:t>
            </w:r>
          </w:p>
        </w:tc>
        <w:tc>
          <w:tcPr>
            <w:tcW w:w="883" w:type="pct"/>
            <w:noWrap/>
          </w:tcPr>
          <w:p w:rsidR="001A6556" w:rsidRPr="008C316F" w:rsidRDefault="001A6556" w:rsidP="00E011B7">
            <w:pPr>
              <w:cnfStyle w:val="000000100000"/>
              <w:rPr>
                <w:rFonts w:ascii="Arial" w:hAnsi="Arial" w:cs="Arial"/>
                <w:sz w:val="20"/>
                <w:szCs w:val="20"/>
                <w:lang w:eastAsia="zh-CN"/>
              </w:rPr>
            </w:pPr>
            <w:r w:rsidRPr="008C316F">
              <w:rPr>
                <w:rFonts w:ascii="Arial" w:hAnsi="Arial" w:cs="Arial"/>
                <w:sz w:val="20"/>
                <w:szCs w:val="20"/>
                <w:lang w:eastAsia="zh-CN"/>
              </w:rPr>
              <w:t>0</w:t>
            </w:r>
          </w:p>
        </w:tc>
        <w:tc>
          <w:tcPr>
            <w:cnfStyle w:val="000010000000"/>
            <w:tcW w:w="689" w:type="pct"/>
            <w:noWrap/>
          </w:tcPr>
          <w:p w:rsidR="001A6556" w:rsidRPr="008C316F" w:rsidRDefault="001A6556" w:rsidP="00E011B7">
            <w:pPr>
              <w:rPr>
                <w:rFonts w:ascii="Arial" w:hAnsi="Arial" w:cs="Arial"/>
                <w:sz w:val="20"/>
                <w:szCs w:val="20"/>
                <w:lang w:eastAsia="zh-CN"/>
              </w:rPr>
            </w:pPr>
            <w:r w:rsidRPr="008C316F">
              <w:rPr>
                <w:rFonts w:ascii="Arial" w:hAnsi="Arial" w:cs="Arial"/>
                <w:sz w:val="20"/>
                <w:szCs w:val="20"/>
                <w:lang w:eastAsia="zh-CN"/>
              </w:rPr>
              <w:t>0</w:t>
            </w:r>
          </w:p>
        </w:tc>
      </w:tr>
      <w:tr w:rsidR="001A6556" w:rsidTr="00E011B7">
        <w:trPr>
          <w:trHeight w:val="377"/>
        </w:trPr>
        <w:tc>
          <w:tcPr>
            <w:cnfStyle w:val="001000000000"/>
            <w:tcW w:w="787" w:type="pct"/>
            <w:noWrap/>
          </w:tcPr>
          <w:p w:rsidR="001A6556" w:rsidRPr="008C316F" w:rsidRDefault="001A6556" w:rsidP="00E011B7">
            <w:pPr>
              <w:rPr>
                <w:rFonts w:ascii="Arial" w:hAnsi="Arial" w:cs="Arial"/>
                <w:b w:val="0"/>
                <w:bCs w:val="0"/>
                <w:sz w:val="20"/>
                <w:szCs w:val="20"/>
                <w:lang w:eastAsia="zh-CN"/>
              </w:rPr>
            </w:pPr>
            <w:r w:rsidRPr="008C316F">
              <w:rPr>
                <w:rFonts w:ascii="Arial" w:hAnsi="Arial" w:cs="Arial"/>
                <w:sz w:val="20"/>
                <w:szCs w:val="20"/>
                <w:lang w:eastAsia="zh-CN"/>
              </w:rPr>
              <w:t>STL</w:t>
            </w:r>
          </w:p>
        </w:tc>
        <w:tc>
          <w:tcPr>
            <w:cnfStyle w:val="000010000000"/>
            <w:tcW w:w="1015" w:type="pct"/>
            <w:noWrap/>
          </w:tcPr>
          <w:p w:rsidR="001A6556" w:rsidRPr="008C316F" w:rsidRDefault="001A6556" w:rsidP="00E011B7">
            <w:pPr>
              <w:rPr>
                <w:rFonts w:ascii="Arial" w:hAnsi="Arial" w:cs="Arial"/>
                <w:sz w:val="20"/>
                <w:szCs w:val="20"/>
                <w:lang w:eastAsia="zh-CN"/>
              </w:rPr>
            </w:pPr>
            <w:r w:rsidRPr="008C316F">
              <w:rPr>
                <w:rFonts w:ascii="Arial" w:hAnsi="Arial" w:cs="Arial"/>
                <w:sz w:val="20"/>
                <w:szCs w:val="20"/>
                <w:lang w:eastAsia="zh-CN"/>
              </w:rPr>
              <w:t>0</w:t>
            </w:r>
          </w:p>
        </w:tc>
        <w:tc>
          <w:tcPr>
            <w:tcW w:w="813" w:type="pct"/>
            <w:noWrap/>
          </w:tcPr>
          <w:p w:rsidR="001A6556" w:rsidRPr="008C316F" w:rsidRDefault="001A6556" w:rsidP="00E011B7">
            <w:pPr>
              <w:cnfStyle w:val="000000000000"/>
              <w:rPr>
                <w:rFonts w:ascii="Arial" w:hAnsi="Arial" w:cs="Arial"/>
                <w:sz w:val="20"/>
                <w:szCs w:val="20"/>
                <w:lang w:eastAsia="zh-CN"/>
              </w:rPr>
            </w:pPr>
            <w:r w:rsidRPr="008C316F">
              <w:rPr>
                <w:rFonts w:ascii="Arial" w:hAnsi="Arial" w:cs="Arial"/>
                <w:sz w:val="20"/>
                <w:szCs w:val="20"/>
                <w:lang w:eastAsia="zh-CN"/>
              </w:rPr>
              <w:t>0</w:t>
            </w:r>
          </w:p>
        </w:tc>
        <w:tc>
          <w:tcPr>
            <w:cnfStyle w:val="000010000000"/>
            <w:tcW w:w="813" w:type="pct"/>
            <w:noWrap/>
          </w:tcPr>
          <w:p w:rsidR="001A6556" w:rsidRPr="008C316F" w:rsidRDefault="001A6556" w:rsidP="00E011B7">
            <w:pPr>
              <w:rPr>
                <w:rFonts w:ascii="Arial" w:hAnsi="Arial" w:cs="Arial"/>
                <w:sz w:val="20"/>
                <w:szCs w:val="20"/>
                <w:lang w:eastAsia="zh-CN"/>
              </w:rPr>
            </w:pPr>
            <w:r w:rsidRPr="008C316F">
              <w:rPr>
                <w:rFonts w:ascii="Arial" w:hAnsi="Arial" w:cs="Arial"/>
                <w:sz w:val="20"/>
                <w:szCs w:val="20"/>
                <w:lang w:eastAsia="zh-CN"/>
              </w:rPr>
              <w:t>0</w:t>
            </w:r>
          </w:p>
        </w:tc>
        <w:tc>
          <w:tcPr>
            <w:tcW w:w="883" w:type="pct"/>
            <w:noWrap/>
          </w:tcPr>
          <w:p w:rsidR="001A6556" w:rsidRPr="008C316F" w:rsidRDefault="001A6556" w:rsidP="00E011B7">
            <w:pPr>
              <w:cnfStyle w:val="000000000000"/>
              <w:rPr>
                <w:rFonts w:ascii="Arial" w:hAnsi="Arial" w:cs="Arial"/>
                <w:sz w:val="20"/>
                <w:szCs w:val="20"/>
                <w:lang w:eastAsia="zh-CN"/>
              </w:rPr>
            </w:pPr>
            <w:r w:rsidRPr="008C316F">
              <w:rPr>
                <w:rFonts w:ascii="Arial" w:hAnsi="Arial" w:cs="Arial"/>
                <w:sz w:val="20"/>
                <w:szCs w:val="20"/>
                <w:lang w:eastAsia="zh-CN"/>
              </w:rPr>
              <w:t>0</w:t>
            </w:r>
          </w:p>
        </w:tc>
        <w:tc>
          <w:tcPr>
            <w:cnfStyle w:val="000010000000"/>
            <w:tcW w:w="689" w:type="pct"/>
            <w:noWrap/>
          </w:tcPr>
          <w:p w:rsidR="001A6556" w:rsidRPr="008C316F" w:rsidRDefault="001A6556" w:rsidP="00E011B7">
            <w:pPr>
              <w:rPr>
                <w:rFonts w:ascii="Arial" w:hAnsi="Arial" w:cs="Arial"/>
                <w:sz w:val="20"/>
                <w:szCs w:val="20"/>
                <w:lang w:eastAsia="zh-CN"/>
              </w:rPr>
            </w:pPr>
            <w:r w:rsidRPr="008C316F">
              <w:rPr>
                <w:rFonts w:ascii="Arial" w:hAnsi="Arial" w:cs="Arial"/>
                <w:sz w:val="20"/>
                <w:szCs w:val="20"/>
                <w:lang w:eastAsia="zh-CN"/>
              </w:rPr>
              <w:t>0</w:t>
            </w:r>
          </w:p>
        </w:tc>
      </w:tr>
    </w:tbl>
    <w:p w:rsidR="001A6556" w:rsidRPr="0064218D" w:rsidRDefault="001A6556" w:rsidP="001A6556">
      <w:pPr>
        <w:rPr>
          <w:sz w:val="20"/>
          <w:szCs w:val="20"/>
        </w:rPr>
      </w:pPr>
      <w:proofErr w:type="gramStart"/>
      <w:r w:rsidRPr="0064218D">
        <w:rPr>
          <w:sz w:val="20"/>
          <w:szCs w:val="20"/>
        </w:rPr>
        <w:t>a</w:t>
      </w:r>
      <w:proofErr w:type="gramEnd"/>
      <w:r w:rsidRPr="0064218D">
        <w:rPr>
          <w:sz w:val="20"/>
          <w:szCs w:val="20"/>
        </w:rPr>
        <w:t xml:space="preserve"> Larger sized vehicle</w:t>
      </w:r>
    </w:p>
    <w:p w:rsidR="001A6556" w:rsidRDefault="001A6556" w:rsidP="001A6556">
      <w:pPr>
        <w:pStyle w:val="BodyText1"/>
        <w:rPr>
          <w:bCs/>
        </w:rPr>
      </w:pPr>
    </w:p>
    <w:p w:rsidR="001A6556" w:rsidRDefault="001A6556" w:rsidP="001A6556">
      <w:pPr>
        <w:pStyle w:val="Heading4"/>
      </w:pPr>
      <w:r>
        <w:t>Social constraints to the uptake of electric road vehicles</w:t>
      </w:r>
    </w:p>
    <w:p w:rsidR="001A6556" w:rsidRDefault="001A6556" w:rsidP="001A6556">
      <w:r>
        <w:t>Most alternative vehicles require little adaptation by the user. For example some gas fuelled vehicles require a change in location of the fuel tank. However, electric vehicles (EVs) could require more significant adaptation because of their reduced range of around 100 km and battery recharge could take several hours depending on the technology. Sensitivity cases examining that issue were explored in Graham and Smart (2011). We use the “Scenario 2” assumptions for electric vehicle uptake from that previous work which assumes a reasonable level of social acceptance, particularly amongst two vehicle households.</w:t>
      </w:r>
    </w:p>
    <w:p w:rsidR="001A6556" w:rsidRDefault="001A6556" w:rsidP="001A6556"/>
    <w:p w:rsidR="001A6556" w:rsidRDefault="001A6556" w:rsidP="001A6556">
      <w:pPr>
        <w:pStyle w:val="Heading3"/>
        <w:tabs>
          <w:tab w:val="num" w:pos="643"/>
        </w:tabs>
        <w:suppressAutoHyphens/>
        <w:spacing w:before="240"/>
        <w:ind w:left="643" w:hanging="360"/>
      </w:pPr>
      <w:bookmarkStart w:id="42" w:name="_Toc306802117"/>
      <w:r w:rsidRPr="002C06C7">
        <w:t>Expected fuel efficiency in the road sector</w:t>
      </w:r>
      <w:bookmarkEnd w:id="42"/>
    </w:p>
    <w:p w:rsidR="001A6556" w:rsidRDefault="001A6556" w:rsidP="001A6556">
      <w:r w:rsidRPr="00067131">
        <w:t>The U</w:t>
      </w:r>
      <w:r>
        <w:t xml:space="preserve">nited </w:t>
      </w:r>
      <w:r w:rsidRPr="00067131">
        <w:t>K</w:t>
      </w:r>
      <w:r>
        <w:t>ingdom</w:t>
      </w:r>
      <w:r w:rsidRPr="00067131">
        <w:t xml:space="preserve">’s </w:t>
      </w:r>
      <w:r w:rsidRPr="005E4F63">
        <w:rPr>
          <w:i/>
        </w:rPr>
        <w:t>King Review</w:t>
      </w:r>
      <w:r>
        <w:t xml:space="preserve"> (2007) </w:t>
      </w:r>
      <w:r w:rsidRPr="00067131">
        <w:t xml:space="preserve">and various other </w:t>
      </w:r>
      <w:r>
        <w:t>recent studies</w:t>
      </w:r>
      <w:r w:rsidRPr="00067131">
        <w:t xml:space="preserve"> </w:t>
      </w:r>
      <w:r>
        <w:t>tend to agree that a 15 to 25 percent</w:t>
      </w:r>
      <w:r w:rsidRPr="00067131">
        <w:t xml:space="preserve"> improvement in </w:t>
      </w:r>
      <w:r>
        <w:t xml:space="preserve">the fuel </w:t>
      </w:r>
      <w:r w:rsidRPr="00067131">
        <w:t>efficiency of internal combustion engine</w:t>
      </w:r>
      <w:r>
        <w:t>s</w:t>
      </w:r>
      <w:r w:rsidRPr="00067131">
        <w:t xml:space="preserve"> can be expected</w:t>
      </w:r>
      <w:r>
        <w:t xml:space="preserve"> in the next 10 to 20 years. This</w:t>
      </w:r>
      <w:r w:rsidRPr="00067131">
        <w:t xml:space="preserve"> modelling </w:t>
      </w:r>
      <w:r>
        <w:t xml:space="preserve">exercise </w:t>
      </w:r>
      <w:r w:rsidRPr="00067131">
        <w:t xml:space="preserve">assumes this </w:t>
      </w:r>
      <w:r>
        <w:t xml:space="preserve">improvement in fuel efficiency is achieved by 2030. It is further assumed that </w:t>
      </w:r>
      <w:r w:rsidRPr="00067131">
        <w:t xml:space="preserve">a significant amount </w:t>
      </w:r>
      <w:r>
        <w:t xml:space="preserve">of the improvement occurs in the first half of the period to 2030 owing to the deployment of </w:t>
      </w:r>
      <w:r w:rsidRPr="00067131">
        <w:t>innovations</w:t>
      </w:r>
      <w:r>
        <w:t xml:space="preserve"> that were</w:t>
      </w:r>
      <w:r w:rsidRPr="00067131">
        <w:t xml:space="preserve"> sparked by the hi</w:t>
      </w:r>
      <w:r>
        <w:t>gh oil prices in the mid-2000s.</w:t>
      </w:r>
    </w:p>
    <w:p w:rsidR="001A6556" w:rsidRDefault="001A6556" w:rsidP="001A6556">
      <w:r>
        <w:t>Petrol vehicles are assumed</w:t>
      </w:r>
      <w:r w:rsidRPr="00067131">
        <w:t xml:space="preserve"> to improve at the higher end of this range </w:t>
      </w:r>
      <w:r>
        <w:t xml:space="preserve">(25 percent) </w:t>
      </w:r>
      <w:r w:rsidRPr="00067131">
        <w:t>due to their lesser state of development relative to diesel engines.</w:t>
      </w:r>
      <w:r>
        <w:t xml:space="preserve"> Diesel engines improve at the lower rate of 15 percent. LPG and natural gas vehicles are assumed to rapidly catch up to and keep pace with diesel energy fuel efficiency. The more rapid change in their fuel efficiency reflects the fact that since they have a relatively small vehicle stock it will take less time for improvements in new vehicles to raise the average fleet efficiency.</w:t>
      </w:r>
    </w:p>
    <w:p w:rsidR="001A6556" w:rsidRPr="00E11B03" w:rsidRDefault="001A6556" w:rsidP="001A6556">
      <w:pPr>
        <w:rPr>
          <w:color w:val="auto"/>
        </w:rPr>
      </w:pPr>
      <w:r w:rsidRPr="00E11B03">
        <w:rPr>
          <w:color w:val="auto"/>
        </w:rPr>
        <w:lastRenderedPageBreak/>
        <w:t>The efficien</w:t>
      </w:r>
      <w:r>
        <w:rPr>
          <w:color w:val="auto"/>
        </w:rPr>
        <w:t>c</w:t>
      </w:r>
      <w:r w:rsidRPr="00E11B03">
        <w:rPr>
          <w:color w:val="auto"/>
        </w:rPr>
        <w:t xml:space="preserve">y improvements will occur independently of changes to vehicle drivetrains such that </w:t>
      </w:r>
      <w:proofErr w:type="gramStart"/>
      <w:r w:rsidRPr="00E11B03">
        <w:rPr>
          <w:color w:val="auto"/>
        </w:rPr>
        <w:t>overall fuel efficiency improvements after vehicle electrification and/or hybridisation is</w:t>
      </w:r>
      <w:proofErr w:type="gramEnd"/>
      <w:r w:rsidRPr="00E11B03">
        <w:rPr>
          <w:color w:val="auto"/>
        </w:rPr>
        <w:t xml:space="preserve"> adopted will be </w:t>
      </w:r>
      <w:r>
        <w:rPr>
          <w:color w:val="auto"/>
        </w:rPr>
        <w:t xml:space="preserve">even </w:t>
      </w:r>
      <w:r w:rsidRPr="00E11B03">
        <w:rPr>
          <w:color w:val="auto"/>
        </w:rPr>
        <w:t>greater. The adoption of alternative drivetr</w:t>
      </w:r>
      <w:r>
        <w:rPr>
          <w:color w:val="auto"/>
        </w:rPr>
        <w:t>ains is endogenously determined</w:t>
      </w:r>
      <w:r w:rsidRPr="00E11B03">
        <w:rPr>
          <w:color w:val="auto"/>
        </w:rPr>
        <w:t xml:space="preserve"> within the model based on cost minimisation.</w:t>
      </w:r>
    </w:p>
    <w:p w:rsidR="001A6556" w:rsidRPr="0066419B" w:rsidRDefault="001A6556" w:rsidP="001A6556">
      <w:pPr>
        <w:pStyle w:val="Caption"/>
        <w:rPr>
          <w:color w:val="1F497D"/>
        </w:rPr>
      </w:pPr>
      <w:bookmarkStart w:id="43" w:name="_Toc366227381"/>
      <w:r>
        <w:t xml:space="preserve">Table </w:t>
      </w:r>
      <w:r w:rsidR="00C14EF7">
        <w:fldChar w:fldCharType="begin"/>
      </w:r>
      <w:r w:rsidR="00970F7D">
        <w:instrText xml:space="preserve"> STYLEREF 1 \s </w:instrText>
      </w:r>
      <w:r w:rsidR="00C14EF7">
        <w:fldChar w:fldCharType="separate"/>
      </w:r>
      <w:r w:rsidR="003E0F65">
        <w:rPr>
          <w:noProof/>
        </w:rPr>
        <w:t>4</w:t>
      </w:r>
      <w:r w:rsidR="00C14EF7">
        <w:rPr>
          <w:noProof/>
        </w:rPr>
        <w:fldChar w:fldCharType="end"/>
      </w:r>
      <w:r w:rsidR="00AB35C1">
        <w:noBreakHyphen/>
      </w:r>
      <w:r w:rsidR="00C14EF7">
        <w:fldChar w:fldCharType="begin"/>
      </w:r>
      <w:r w:rsidR="00970F7D">
        <w:instrText xml:space="preserve"> SEQ Table \* ARABIC \s 1 </w:instrText>
      </w:r>
      <w:r w:rsidR="00C14EF7">
        <w:fldChar w:fldCharType="separate"/>
      </w:r>
      <w:r w:rsidR="003E0F65">
        <w:rPr>
          <w:noProof/>
        </w:rPr>
        <w:t>3</w:t>
      </w:r>
      <w:r w:rsidR="00C14EF7">
        <w:rPr>
          <w:noProof/>
        </w:rPr>
        <w:fldChar w:fldCharType="end"/>
      </w:r>
      <w:r>
        <w:t xml:space="preserve">: </w:t>
      </w:r>
      <w:r w:rsidRPr="00E11B03">
        <w:t>CSIRO average light vehicle fuel efficiency improvements inclusive of uptake of alternative vehicle drivetrains</w:t>
      </w:r>
      <w:r>
        <w:t xml:space="preserve"> (percent per annum)</w:t>
      </w:r>
      <w:bookmarkEnd w:id="43"/>
    </w:p>
    <w:tbl>
      <w:tblPr>
        <w:tblStyle w:val="LightList-Accent11"/>
        <w:tblW w:w="5000" w:type="pct"/>
        <w:tblLook w:val="04A0"/>
      </w:tblPr>
      <w:tblGrid>
        <w:gridCol w:w="2905"/>
        <w:gridCol w:w="1452"/>
        <w:gridCol w:w="1452"/>
        <w:gridCol w:w="1452"/>
        <w:gridCol w:w="1452"/>
      </w:tblGrid>
      <w:tr w:rsidR="001A6556" w:rsidRPr="0066419B" w:rsidTr="00E011B7">
        <w:trPr>
          <w:cnfStyle w:val="100000000000"/>
          <w:trHeight w:val="300"/>
        </w:trPr>
        <w:tc>
          <w:tcPr>
            <w:cnfStyle w:val="001000000000"/>
            <w:tcW w:w="1667" w:type="pct"/>
            <w:noWrap/>
            <w:hideMark/>
          </w:tcPr>
          <w:p w:rsidR="001A6556" w:rsidRPr="0066419B" w:rsidRDefault="001A6556" w:rsidP="00E011B7">
            <w:pPr>
              <w:rPr>
                <w:rFonts w:eastAsiaTheme="minorEastAsia"/>
              </w:rPr>
            </w:pPr>
          </w:p>
        </w:tc>
        <w:tc>
          <w:tcPr>
            <w:tcW w:w="833" w:type="pct"/>
            <w:noWrap/>
            <w:hideMark/>
          </w:tcPr>
          <w:p w:rsidR="001A6556" w:rsidRPr="0066419B" w:rsidRDefault="001A6556" w:rsidP="00E011B7">
            <w:pPr>
              <w:cnfStyle w:val="100000000000"/>
              <w:rPr>
                <w:rFonts w:eastAsiaTheme="minorHAnsi"/>
              </w:rPr>
            </w:pPr>
            <w:r w:rsidRPr="0066419B">
              <w:t>2010-2020</w:t>
            </w:r>
          </w:p>
        </w:tc>
        <w:tc>
          <w:tcPr>
            <w:tcW w:w="833" w:type="pct"/>
            <w:noWrap/>
            <w:hideMark/>
          </w:tcPr>
          <w:p w:rsidR="001A6556" w:rsidRPr="0066419B" w:rsidRDefault="001A6556" w:rsidP="00E011B7">
            <w:pPr>
              <w:cnfStyle w:val="100000000000"/>
              <w:rPr>
                <w:rFonts w:eastAsiaTheme="minorHAnsi"/>
              </w:rPr>
            </w:pPr>
            <w:r w:rsidRPr="0066419B">
              <w:t>2020-2030</w:t>
            </w:r>
          </w:p>
        </w:tc>
        <w:tc>
          <w:tcPr>
            <w:tcW w:w="833" w:type="pct"/>
            <w:noWrap/>
            <w:hideMark/>
          </w:tcPr>
          <w:p w:rsidR="001A6556" w:rsidRPr="0066419B" w:rsidRDefault="001A6556" w:rsidP="00E011B7">
            <w:pPr>
              <w:cnfStyle w:val="100000000000"/>
              <w:rPr>
                <w:rFonts w:eastAsiaTheme="minorHAnsi"/>
              </w:rPr>
            </w:pPr>
            <w:r w:rsidRPr="0066419B">
              <w:t>2030-2040</w:t>
            </w:r>
          </w:p>
        </w:tc>
        <w:tc>
          <w:tcPr>
            <w:tcW w:w="833" w:type="pct"/>
            <w:noWrap/>
            <w:hideMark/>
          </w:tcPr>
          <w:p w:rsidR="001A6556" w:rsidRPr="0066419B" w:rsidRDefault="001A6556" w:rsidP="00E011B7">
            <w:pPr>
              <w:cnfStyle w:val="100000000000"/>
              <w:rPr>
                <w:rFonts w:eastAsiaTheme="minorHAnsi"/>
              </w:rPr>
            </w:pPr>
            <w:r w:rsidRPr="0066419B">
              <w:t>2040-2050</w:t>
            </w:r>
          </w:p>
        </w:tc>
      </w:tr>
      <w:tr w:rsidR="00C47A20" w:rsidRPr="0066419B" w:rsidTr="003357EB">
        <w:trPr>
          <w:cnfStyle w:val="000000100000"/>
          <w:trHeight w:val="300"/>
        </w:trPr>
        <w:tc>
          <w:tcPr>
            <w:cnfStyle w:val="001000000000"/>
            <w:tcW w:w="1667" w:type="pct"/>
            <w:noWrap/>
            <w:hideMark/>
          </w:tcPr>
          <w:p w:rsidR="00C47A20" w:rsidRPr="0066419B" w:rsidRDefault="00C47A20" w:rsidP="005A5D0F">
            <w:pPr>
              <w:rPr>
                <w:rFonts w:eastAsiaTheme="minorHAnsi"/>
              </w:rPr>
            </w:pPr>
            <w:r w:rsidRPr="0066419B">
              <w:t xml:space="preserve">No </w:t>
            </w:r>
            <w:r>
              <w:t>carbon price</w:t>
            </w:r>
          </w:p>
        </w:tc>
        <w:tc>
          <w:tcPr>
            <w:tcW w:w="833" w:type="pct"/>
            <w:noWrap/>
            <w:vAlign w:val="bottom"/>
            <w:hideMark/>
          </w:tcPr>
          <w:p w:rsidR="00C47A20" w:rsidRPr="0066419B" w:rsidRDefault="00C47A20" w:rsidP="00E011B7">
            <w:pPr>
              <w:jc w:val="right"/>
              <w:cnfStyle w:val="000000100000"/>
              <w:rPr>
                <w:rFonts w:eastAsiaTheme="minorHAnsi"/>
              </w:rPr>
            </w:pPr>
            <w:r>
              <w:rPr>
                <w:rFonts w:ascii="Calibri" w:hAnsi="Calibri"/>
              </w:rPr>
              <w:t>1.7</w:t>
            </w:r>
          </w:p>
        </w:tc>
        <w:tc>
          <w:tcPr>
            <w:tcW w:w="833" w:type="pct"/>
            <w:noWrap/>
            <w:vAlign w:val="bottom"/>
            <w:hideMark/>
          </w:tcPr>
          <w:p w:rsidR="00C47A20" w:rsidRPr="0066419B" w:rsidRDefault="00C47A20" w:rsidP="00E011B7">
            <w:pPr>
              <w:jc w:val="right"/>
              <w:cnfStyle w:val="000000100000"/>
              <w:rPr>
                <w:rFonts w:eastAsiaTheme="minorHAnsi"/>
              </w:rPr>
            </w:pPr>
            <w:r>
              <w:rPr>
                <w:rFonts w:ascii="Calibri" w:hAnsi="Calibri"/>
              </w:rPr>
              <w:t>1.5</w:t>
            </w:r>
          </w:p>
        </w:tc>
        <w:tc>
          <w:tcPr>
            <w:tcW w:w="833" w:type="pct"/>
            <w:noWrap/>
            <w:vAlign w:val="bottom"/>
            <w:hideMark/>
          </w:tcPr>
          <w:p w:rsidR="00C47A20" w:rsidRPr="0066419B" w:rsidRDefault="00C47A20" w:rsidP="00E011B7">
            <w:pPr>
              <w:jc w:val="right"/>
              <w:cnfStyle w:val="000000100000"/>
              <w:rPr>
                <w:rFonts w:eastAsiaTheme="minorHAnsi"/>
              </w:rPr>
            </w:pPr>
            <w:r>
              <w:rPr>
                <w:rFonts w:ascii="Calibri" w:hAnsi="Calibri"/>
              </w:rPr>
              <w:t>1.4</w:t>
            </w:r>
          </w:p>
        </w:tc>
        <w:tc>
          <w:tcPr>
            <w:tcW w:w="833" w:type="pct"/>
            <w:noWrap/>
            <w:vAlign w:val="bottom"/>
            <w:hideMark/>
          </w:tcPr>
          <w:p w:rsidR="00C47A20" w:rsidRPr="0066419B" w:rsidRDefault="00C47A20" w:rsidP="00E011B7">
            <w:pPr>
              <w:jc w:val="right"/>
              <w:cnfStyle w:val="000000100000"/>
              <w:rPr>
                <w:rFonts w:eastAsiaTheme="minorHAnsi"/>
              </w:rPr>
            </w:pPr>
            <w:r>
              <w:rPr>
                <w:rFonts w:ascii="Calibri" w:hAnsi="Calibri"/>
              </w:rPr>
              <w:t>0.6</w:t>
            </w:r>
          </w:p>
        </w:tc>
      </w:tr>
      <w:tr w:rsidR="00C47A20" w:rsidRPr="0066419B" w:rsidTr="003357EB">
        <w:trPr>
          <w:trHeight w:val="300"/>
        </w:trPr>
        <w:tc>
          <w:tcPr>
            <w:cnfStyle w:val="001000000000"/>
            <w:tcW w:w="1667" w:type="pct"/>
            <w:noWrap/>
            <w:hideMark/>
          </w:tcPr>
          <w:p w:rsidR="00C47A20" w:rsidRPr="0066419B" w:rsidRDefault="00C47A20" w:rsidP="00E011B7">
            <w:pPr>
              <w:rPr>
                <w:rFonts w:eastAsiaTheme="minorHAnsi"/>
              </w:rPr>
            </w:pPr>
            <w:r>
              <w:t>Central p</w:t>
            </w:r>
            <w:r w:rsidRPr="0066419B">
              <w:t>olicy</w:t>
            </w:r>
          </w:p>
        </w:tc>
        <w:tc>
          <w:tcPr>
            <w:tcW w:w="833" w:type="pct"/>
            <w:noWrap/>
            <w:vAlign w:val="bottom"/>
            <w:hideMark/>
          </w:tcPr>
          <w:p w:rsidR="00C47A20" w:rsidRPr="0066419B" w:rsidRDefault="00C47A20" w:rsidP="00E011B7">
            <w:pPr>
              <w:jc w:val="right"/>
              <w:cnfStyle w:val="000000000000"/>
              <w:rPr>
                <w:rFonts w:eastAsiaTheme="minorHAnsi"/>
              </w:rPr>
            </w:pPr>
            <w:r>
              <w:rPr>
                <w:rFonts w:ascii="Calibri" w:hAnsi="Calibri"/>
              </w:rPr>
              <w:t>1.7</w:t>
            </w:r>
          </w:p>
        </w:tc>
        <w:tc>
          <w:tcPr>
            <w:tcW w:w="833" w:type="pct"/>
            <w:noWrap/>
            <w:vAlign w:val="bottom"/>
            <w:hideMark/>
          </w:tcPr>
          <w:p w:rsidR="00C47A20" w:rsidRPr="0066419B" w:rsidRDefault="00C47A20" w:rsidP="00E011B7">
            <w:pPr>
              <w:jc w:val="right"/>
              <w:cnfStyle w:val="000000000000"/>
              <w:rPr>
                <w:rFonts w:eastAsiaTheme="minorHAnsi"/>
              </w:rPr>
            </w:pPr>
            <w:r>
              <w:rPr>
                <w:rFonts w:ascii="Calibri" w:hAnsi="Calibri"/>
              </w:rPr>
              <w:t>1.8</w:t>
            </w:r>
          </w:p>
        </w:tc>
        <w:tc>
          <w:tcPr>
            <w:tcW w:w="833" w:type="pct"/>
            <w:noWrap/>
            <w:vAlign w:val="bottom"/>
            <w:hideMark/>
          </w:tcPr>
          <w:p w:rsidR="00C47A20" w:rsidRPr="0066419B" w:rsidRDefault="00C47A20" w:rsidP="00E011B7">
            <w:pPr>
              <w:jc w:val="right"/>
              <w:cnfStyle w:val="000000000000"/>
              <w:rPr>
                <w:rFonts w:eastAsiaTheme="minorHAnsi"/>
              </w:rPr>
            </w:pPr>
            <w:r>
              <w:rPr>
                <w:rFonts w:ascii="Calibri" w:hAnsi="Calibri"/>
              </w:rPr>
              <w:t>1.9</w:t>
            </w:r>
          </w:p>
        </w:tc>
        <w:tc>
          <w:tcPr>
            <w:tcW w:w="833" w:type="pct"/>
            <w:noWrap/>
            <w:vAlign w:val="bottom"/>
            <w:hideMark/>
          </w:tcPr>
          <w:p w:rsidR="00C47A20" w:rsidRPr="0066419B" w:rsidRDefault="00C47A20" w:rsidP="00E011B7">
            <w:pPr>
              <w:jc w:val="right"/>
              <w:cnfStyle w:val="000000000000"/>
              <w:rPr>
                <w:rFonts w:eastAsiaTheme="minorHAnsi"/>
              </w:rPr>
            </w:pPr>
            <w:r>
              <w:rPr>
                <w:rFonts w:ascii="Calibri" w:hAnsi="Calibri"/>
              </w:rPr>
              <w:t>0.6</w:t>
            </w:r>
          </w:p>
        </w:tc>
      </w:tr>
      <w:tr w:rsidR="00C47A20" w:rsidRPr="0066419B" w:rsidTr="003357EB">
        <w:trPr>
          <w:cnfStyle w:val="000000100000"/>
          <w:trHeight w:val="300"/>
        </w:trPr>
        <w:tc>
          <w:tcPr>
            <w:cnfStyle w:val="001000000000"/>
            <w:tcW w:w="1667" w:type="pct"/>
            <w:noWrap/>
            <w:hideMark/>
          </w:tcPr>
          <w:p w:rsidR="00C47A20" w:rsidRPr="0066419B" w:rsidRDefault="00C47A20" w:rsidP="00E011B7">
            <w:pPr>
              <w:rPr>
                <w:rFonts w:eastAsiaTheme="minorHAnsi"/>
              </w:rPr>
            </w:pPr>
            <w:r w:rsidRPr="0066419B">
              <w:t>High carbon price</w:t>
            </w:r>
          </w:p>
        </w:tc>
        <w:tc>
          <w:tcPr>
            <w:tcW w:w="833" w:type="pct"/>
            <w:noWrap/>
            <w:vAlign w:val="bottom"/>
            <w:hideMark/>
          </w:tcPr>
          <w:p w:rsidR="00C47A20" w:rsidRPr="0066419B" w:rsidRDefault="00C47A20" w:rsidP="00E011B7">
            <w:pPr>
              <w:jc w:val="right"/>
              <w:cnfStyle w:val="000000100000"/>
              <w:rPr>
                <w:rFonts w:eastAsiaTheme="minorHAnsi"/>
              </w:rPr>
            </w:pPr>
            <w:r>
              <w:rPr>
                <w:rFonts w:ascii="Calibri" w:hAnsi="Calibri"/>
              </w:rPr>
              <w:t>1.7</w:t>
            </w:r>
          </w:p>
        </w:tc>
        <w:tc>
          <w:tcPr>
            <w:tcW w:w="833" w:type="pct"/>
            <w:noWrap/>
            <w:vAlign w:val="bottom"/>
            <w:hideMark/>
          </w:tcPr>
          <w:p w:rsidR="00C47A20" w:rsidRPr="0066419B" w:rsidRDefault="00C47A20" w:rsidP="00E011B7">
            <w:pPr>
              <w:jc w:val="right"/>
              <w:cnfStyle w:val="000000100000"/>
              <w:rPr>
                <w:rFonts w:eastAsiaTheme="minorHAnsi"/>
              </w:rPr>
            </w:pPr>
            <w:r>
              <w:rPr>
                <w:rFonts w:ascii="Calibri" w:hAnsi="Calibri"/>
              </w:rPr>
              <w:t>2.4</w:t>
            </w:r>
          </w:p>
        </w:tc>
        <w:tc>
          <w:tcPr>
            <w:tcW w:w="833" w:type="pct"/>
            <w:noWrap/>
            <w:vAlign w:val="bottom"/>
            <w:hideMark/>
          </w:tcPr>
          <w:p w:rsidR="00C47A20" w:rsidRPr="0066419B" w:rsidRDefault="00C47A20" w:rsidP="00E011B7">
            <w:pPr>
              <w:jc w:val="right"/>
              <w:cnfStyle w:val="000000100000"/>
              <w:rPr>
                <w:rFonts w:eastAsiaTheme="minorHAnsi"/>
              </w:rPr>
            </w:pPr>
            <w:r>
              <w:rPr>
                <w:rFonts w:ascii="Calibri" w:hAnsi="Calibri"/>
              </w:rPr>
              <w:t>2.9</w:t>
            </w:r>
          </w:p>
        </w:tc>
        <w:tc>
          <w:tcPr>
            <w:tcW w:w="833" w:type="pct"/>
            <w:noWrap/>
            <w:vAlign w:val="bottom"/>
            <w:hideMark/>
          </w:tcPr>
          <w:p w:rsidR="00C47A20" w:rsidRPr="0066419B" w:rsidRDefault="00C47A20" w:rsidP="00E011B7">
            <w:pPr>
              <w:jc w:val="right"/>
              <w:cnfStyle w:val="000000100000"/>
              <w:rPr>
                <w:rFonts w:eastAsiaTheme="minorHAnsi"/>
              </w:rPr>
            </w:pPr>
            <w:r>
              <w:rPr>
                <w:rFonts w:ascii="Calibri" w:hAnsi="Calibri"/>
              </w:rPr>
              <w:t>0.6</w:t>
            </w:r>
          </w:p>
        </w:tc>
      </w:tr>
      <w:tr w:rsidR="00C47A20" w:rsidTr="003357EB">
        <w:trPr>
          <w:trHeight w:val="300"/>
        </w:trPr>
        <w:tc>
          <w:tcPr>
            <w:cnfStyle w:val="001000000000"/>
            <w:tcW w:w="1667" w:type="pct"/>
            <w:noWrap/>
            <w:hideMark/>
          </w:tcPr>
          <w:p w:rsidR="00C47A20" w:rsidRPr="0066419B" w:rsidRDefault="00C47A20" w:rsidP="00E011B7">
            <w:pPr>
              <w:rPr>
                <w:rFonts w:eastAsiaTheme="minorHAnsi"/>
              </w:rPr>
            </w:pPr>
            <w:r w:rsidRPr="0066419B">
              <w:t>Low carbon price</w:t>
            </w:r>
          </w:p>
        </w:tc>
        <w:tc>
          <w:tcPr>
            <w:tcW w:w="833" w:type="pct"/>
            <w:noWrap/>
            <w:vAlign w:val="bottom"/>
            <w:hideMark/>
          </w:tcPr>
          <w:p w:rsidR="00C47A20" w:rsidRPr="0066419B" w:rsidRDefault="00C47A20" w:rsidP="00E011B7">
            <w:pPr>
              <w:jc w:val="right"/>
              <w:cnfStyle w:val="000000000000"/>
              <w:rPr>
                <w:rFonts w:eastAsiaTheme="minorHAnsi"/>
              </w:rPr>
            </w:pPr>
            <w:r>
              <w:rPr>
                <w:rFonts w:ascii="Calibri" w:hAnsi="Calibri"/>
              </w:rPr>
              <w:t>1.7</w:t>
            </w:r>
          </w:p>
        </w:tc>
        <w:tc>
          <w:tcPr>
            <w:tcW w:w="833" w:type="pct"/>
            <w:noWrap/>
            <w:vAlign w:val="bottom"/>
            <w:hideMark/>
          </w:tcPr>
          <w:p w:rsidR="00C47A20" w:rsidRPr="0066419B" w:rsidRDefault="00C47A20" w:rsidP="00E011B7">
            <w:pPr>
              <w:jc w:val="right"/>
              <w:cnfStyle w:val="000000000000"/>
              <w:rPr>
                <w:rFonts w:eastAsiaTheme="minorHAnsi"/>
              </w:rPr>
            </w:pPr>
            <w:r>
              <w:rPr>
                <w:rFonts w:ascii="Calibri" w:hAnsi="Calibri"/>
              </w:rPr>
              <w:t>1.9</w:t>
            </w:r>
          </w:p>
        </w:tc>
        <w:tc>
          <w:tcPr>
            <w:tcW w:w="833" w:type="pct"/>
            <w:noWrap/>
            <w:vAlign w:val="bottom"/>
            <w:hideMark/>
          </w:tcPr>
          <w:p w:rsidR="00C47A20" w:rsidRPr="0066419B" w:rsidRDefault="00C47A20" w:rsidP="00E011B7">
            <w:pPr>
              <w:jc w:val="right"/>
              <w:cnfStyle w:val="000000000000"/>
              <w:rPr>
                <w:rFonts w:eastAsiaTheme="minorHAnsi"/>
              </w:rPr>
            </w:pPr>
            <w:r>
              <w:rPr>
                <w:rFonts w:ascii="Calibri" w:hAnsi="Calibri"/>
              </w:rPr>
              <w:t>1.8</w:t>
            </w:r>
          </w:p>
        </w:tc>
        <w:tc>
          <w:tcPr>
            <w:tcW w:w="833" w:type="pct"/>
            <w:noWrap/>
            <w:vAlign w:val="bottom"/>
            <w:hideMark/>
          </w:tcPr>
          <w:p w:rsidR="00C47A20" w:rsidRDefault="00C47A20" w:rsidP="00E011B7">
            <w:pPr>
              <w:jc w:val="right"/>
              <w:cnfStyle w:val="000000000000"/>
              <w:rPr>
                <w:rFonts w:eastAsiaTheme="minorHAnsi"/>
              </w:rPr>
            </w:pPr>
            <w:r>
              <w:rPr>
                <w:rFonts w:ascii="Calibri" w:hAnsi="Calibri"/>
              </w:rPr>
              <w:t>0.6</w:t>
            </w:r>
          </w:p>
        </w:tc>
      </w:tr>
    </w:tbl>
    <w:p w:rsidR="001A6556" w:rsidRPr="002C06C7" w:rsidRDefault="001A6556" w:rsidP="001A6556"/>
    <w:p w:rsidR="001A6556" w:rsidRDefault="001A6556" w:rsidP="001A6556">
      <w:pPr>
        <w:pStyle w:val="Heading3"/>
        <w:tabs>
          <w:tab w:val="num" w:pos="643"/>
        </w:tabs>
        <w:suppressAutoHyphens/>
        <w:spacing w:before="240"/>
        <w:ind w:left="643" w:hanging="360"/>
      </w:pPr>
      <w:bookmarkStart w:id="44" w:name="_Toc306802118"/>
      <w:r w:rsidRPr="002C06C7">
        <w:t>Fuel mix</w:t>
      </w:r>
      <w:r>
        <w:t xml:space="preserve"> and fuel efficiency changes</w:t>
      </w:r>
      <w:r w:rsidRPr="002C06C7">
        <w:t xml:space="preserve"> in </w:t>
      </w:r>
      <w:r>
        <w:t xml:space="preserve">the </w:t>
      </w:r>
      <w:r w:rsidRPr="002C06C7">
        <w:t>non-road sector</w:t>
      </w:r>
      <w:bookmarkEnd w:id="44"/>
    </w:p>
    <w:p w:rsidR="001A6556" w:rsidRDefault="001A6556" w:rsidP="001A6556">
      <w:pPr>
        <w:pStyle w:val="Heading4"/>
      </w:pPr>
      <w:bookmarkStart w:id="45" w:name="_Toc292373229"/>
      <w:r>
        <w:t>Aviation</w:t>
      </w:r>
      <w:bookmarkEnd w:id="45"/>
    </w:p>
    <w:p w:rsidR="001A6556" w:rsidRDefault="001A6556" w:rsidP="001A6556">
      <w:r>
        <w:t xml:space="preserve">Jet fuel is a type of kerosene. Jet fuels must meet stringent international technical and safety standards. Synthetic jet fuel with the same properties as petroleum-based jet fuel can be made from coal, natural gas or biomass. These synthetic fuels are referred to as ‘drop-in’ fuels because they can be used without changes to engine fuel systems and distribution and storage systems.  </w:t>
      </w:r>
    </w:p>
    <w:p w:rsidR="001A6556" w:rsidRDefault="001A6556" w:rsidP="001A6556">
      <w:pPr>
        <w:jc w:val="both"/>
      </w:pPr>
      <w:bookmarkStart w:id="46" w:name="OLE_LINK33"/>
      <w:r>
        <w:t xml:space="preserve">While more advanced processes are under development to reduce costs, refining processes already exist which can convert biomass into jet fuel. Standards for two types of bio-derived jet fuels have approved by the global governing body, ASTM International. They are Synthetic Paraffinic Kerosene (FT-SPK) based on the Fischer Tropsch gasification process for solid fuels such as lignocellulosic biomass; and Bio-SPK based on deoxyhydrogenation of vegetable oils and animal fats. </w:t>
      </w:r>
      <w:bookmarkEnd w:id="46"/>
    </w:p>
    <w:p w:rsidR="001A6556" w:rsidRDefault="001A6556" w:rsidP="001A6556">
      <w:pPr>
        <w:jc w:val="both"/>
      </w:pPr>
      <w:r>
        <w:t xml:space="preserve">An updated view of aviation sector fuel options was released in May 2011 in an industry road map report called </w:t>
      </w:r>
      <w:r w:rsidRPr="00911C25">
        <w:rPr>
          <w:i/>
        </w:rPr>
        <w:t>Flight Path to Sustainable Aviation</w:t>
      </w:r>
      <w:r>
        <w:rPr>
          <w:rStyle w:val="FootnoteReference"/>
          <w:i/>
        </w:rPr>
        <w:footnoteReference w:id="4"/>
      </w:r>
      <w:r>
        <w:rPr>
          <w:i/>
        </w:rPr>
        <w:t>.</w:t>
      </w:r>
      <w:r>
        <w:t xml:space="preserve"> The report outlines the reasoning why bio-derived jet fuel would appear to be the main sustainable alternative fuel option for the industry and its overall potential. Consequently, bio-derived jet fuel is the only alternative fuel considered for aviation within the model.</w:t>
      </w:r>
    </w:p>
    <w:p w:rsidR="001A6556" w:rsidRDefault="001A6556" w:rsidP="001A6556">
      <w:pPr>
        <w:pStyle w:val="BodyText"/>
      </w:pPr>
      <w:r>
        <w:t xml:space="preserve">The road map was supported by a modelling study by Graham et al. (2011) which outlines the refining process for bio-derived jet fuel, the potential feedstocks, emission factors and potential for future improvements. These assumptions remain hardwired into ESM and given their detailed coverage in the public reports referred to they are not repeated here. </w:t>
      </w:r>
    </w:p>
    <w:p w:rsidR="001A6556" w:rsidRDefault="001A6556" w:rsidP="001A6556">
      <w:pPr>
        <w:pStyle w:val="BodyText"/>
      </w:pPr>
      <w:r>
        <w:t>There is also a small quantity of aviation fuel consumed in Australia called avgas that is not jet fuel. Consumption of this avgas is assumed to be stable with no substitution of alternatives.</w:t>
      </w:r>
    </w:p>
    <w:p w:rsidR="001A6556" w:rsidRDefault="001A6556" w:rsidP="001A6556">
      <w:r>
        <w:lastRenderedPageBreak/>
        <w:t>Given t</w:t>
      </w:r>
      <w:r w:rsidRPr="00A77103">
        <w:t xml:space="preserve">he aviation sector is </w:t>
      </w:r>
      <w:r>
        <w:t xml:space="preserve">assumed to be </w:t>
      </w:r>
      <w:r w:rsidRPr="00A77103">
        <w:t>pursuing bio-derived jet fuels which meet the fuel standards for existing aircraft when supplied in up to a 50 percent blending ratio with conventional jet fuel</w:t>
      </w:r>
      <w:r>
        <w:t xml:space="preserve"> there are effectively no significant fuel switching costs in regard to aircraft modifications</w:t>
      </w:r>
      <w:r w:rsidRPr="00A77103">
        <w:t>.</w:t>
      </w:r>
      <w:r>
        <w:t xml:space="preserve"> ESM determines when it is economic to switch based on the relative fuel costs of fossil and bio-derived jet fuel inclusive of any carbon prices.</w:t>
      </w:r>
    </w:p>
    <w:p w:rsidR="001A6556" w:rsidRDefault="001A6556" w:rsidP="001A6556">
      <w:pPr>
        <w:pStyle w:val="BodyText"/>
      </w:pPr>
    </w:p>
    <w:p w:rsidR="001A6556" w:rsidRDefault="001A6556" w:rsidP="001A6556">
      <w:pPr>
        <w:pStyle w:val="Heading4"/>
      </w:pPr>
      <w:bookmarkStart w:id="47" w:name="_Toc292373230"/>
      <w:r>
        <w:t>Rail and marine transport</w:t>
      </w:r>
      <w:bookmarkEnd w:id="47"/>
    </w:p>
    <w:p w:rsidR="001A6556" w:rsidRPr="00A77103" w:rsidRDefault="001A6556" w:rsidP="001A6556">
      <w:r>
        <w:t>For the rail and marine sectors fuel choices are imposed rather than modelled outcomes. As such, t</w:t>
      </w:r>
      <w:r w:rsidRPr="00A77103">
        <w:t xml:space="preserve">he </w:t>
      </w:r>
      <w:r>
        <w:t xml:space="preserve">fuel </w:t>
      </w:r>
      <w:r w:rsidRPr="00A77103">
        <w:t xml:space="preserve">switching costs for the rail and marine sectors are not directly </w:t>
      </w:r>
      <w:r>
        <w:t>considered in</w:t>
      </w:r>
      <w:r w:rsidRPr="00A77103">
        <w:t xml:space="preserve"> the modelling. </w:t>
      </w:r>
      <w:r>
        <w:t xml:space="preserve">However, we justify </w:t>
      </w:r>
      <w:r w:rsidRPr="00A77103">
        <w:t>imposing a slow partial transition to diesel substitutes</w:t>
      </w:r>
      <w:r>
        <w:t xml:space="preserve"> such as natural gas and biofuel</w:t>
      </w:r>
      <w:r w:rsidR="005A5D0F">
        <w:t xml:space="preserve"> </w:t>
      </w:r>
      <w:r>
        <w:t>on the basis that these sectors have</w:t>
      </w:r>
      <w:r w:rsidRPr="00A77103">
        <w:t xml:space="preserve"> high transport asset cost</w:t>
      </w:r>
      <w:r>
        <w:t>s</w:t>
      </w:r>
      <w:r w:rsidRPr="00A77103">
        <w:t>, long commercial lives</w:t>
      </w:r>
      <w:r>
        <w:t xml:space="preserve"> of infrastructure</w:t>
      </w:r>
      <w:r w:rsidRPr="00A77103">
        <w:t xml:space="preserve">, and </w:t>
      </w:r>
      <w:r>
        <w:t xml:space="preserve">a high degree of </w:t>
      </w:r>
      <w:r w:rsidRPr="00A77103">
        <w:t xml:space="preserve">end-use customisation. These factors lead fuel users to look for fuels that work with existing diesel </w:t>
      </w:r>
      <w:r>
        <w:t xml:space="preserve">engine </w:t>
      </w:r>
      <w:r w:rsidRPr="00A77103">
        <w:t>platforms.</w:t>
      </w:r>
    </w:p>
    <w:p w:rsidR="001A6556" w:rsidRDefault="001A6556" w:rsidP="001A6556">
      <w:r>
        <w:t>Past trends in the fuel mix are extrapolated. In marine transport the change to greater use of automotive diesel is notable. It is assumed that coal is phased out in the 2030s. In rail transport the use of diesel and electricity is largely assumed to be fixed in their current share of servicing the passenger (predominantly electric) and freight (predominantly diesel) sectors.</w:t>
      </w:r>
    </w:p>
    <w:p w:rsidR="00FE2272" w:rsidRDefault="001A6556" w:rsidP="00FE2272">
      <w:pPr>
        <w:pStyle w:val="BodyText"/>
        <w:rPr>
          <w:sz w:val="20"/>
          <w:szCs w:val="20"/>
        </w:rPr>
      </w:pPr>
      <w:r w:rsidRPr="00D626BC">
        <w:rPr>
          <w:noProof/>
          <w:szCs w:val="20"/>
        </w:rPr>
        <w:drawing>
          <wp:inline distT="0" distB="0" distL="0" distR="0">
            <wp:extent cx="6120130" cy="4005297"/>
            <wp:effectExtent l="19050" t="0" r="0" b="0"/>
            <wp:docPr id="5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srcRect/>
                    <a:stretch>
                      <a:fillRect/>
                    </a:stretch>
                  </pic:blipFill>
                  <pic:spPr bwMode="auto">
                    <a:xfrm>
                      <a:off x="0" y="0"/>
                      <a:ext cx="6120130" cy="4005297"/>
                    </a:xfrm>
                    <a:prstGeom prst="rect">
                      <a:avLst/>
                    </a:prstGeom>
                    <a:noFill/>
                    <a:ln w="9525">
                      <a:noFill/>
                      <a:miter lim="800000"/>
                      <a:headEnd/>
                      <a:tailEnd/>
                    </a:ln>
                  </pic:spPr>
                </pic:pic>
              </a:graphicData>
            </a:graphic>
          </wp:inline>
        </w:drawing>
      </w:r>
      <w:r w:rsidRPr="0064218D">
        <w:rPr>
          <w:sz w:val="20"/>
          <w:szCs w:val="20"/>
        </w:rPr>
        <w:t xml:space="preserve">Source: </w:t>
      </w:r>
      <w:r>
        <w:rPr>
          <w:sz w:val="20"/>
          <w:szCs w:val="20"/>
        </w:rPr>
        <w:t>BREE</w:t>
      </w:r>
      <w:r w:rsidRPr="0064218D">
        <w:rPr>
          <w:sz w:val="20"/>
          <w:szCs w:val="20"/>
        </w:rPr>
        <w:t xml:space="preserve"> (201</w:t>
      </w:r>
      <w:r>
        <w:rPr>
          <w:sz w:val="20"/>
          <w:szCs w:val="20"/>
        </w:rPr>
        <w:t>3</w:t>
      </w:r>
      <w:r w:rsidRPr="0064218D">
        <w:rPr>
          <w:sz w:val="20"/>
          <w:szCs w:val="20"/>
        </w:rPr>
        <w:t>)</w:t>
      </w:r>
      <w:bookmarkStart w:id="48" w:name="_Toc292373256"/>
      <w:bookmarkStart w:id="49" w:name="_Toc306802207"/>
    </w:p>
    <w:p w:rsidR="001A6556" w:rsidRDefault="001A6556" w:rsidP="00FE2272">
      <w:pPr>
        <w:pStyle w:val="Caption"/>
      </w:pPr>
      <w:bookmarkStart w:id="50" w:name="_Toc366227333"/>
      <w:r>
        <w:t xml:space="preserve">Figure </w:t>
      </w:r>
      <w:r w:rsidR="00C14EF7">
        <w:fldChar w:fldCharType="begin"/>
      </w:r>
      <w:r w:rsidR="005B253B">
        <w:instrText xml:space="preserve"> STYLEREF 1 \s </w:instrText>
      </w:r>
      <w:r w:rsidR="00C14EF7">
        <w:fldChar w:fldCharType="separate"/>
      </w:r>
      <w:r w:rsidR="003E0F65">
        <w:rPr>
          <w:noProof/>
        </w:rPr>
        <w:t>4</w:t>
      </w:r>
      <w:r w:rsidR="00C14EF7">
        <w:fldChar w:fldCharType="end"/>
      </w:r>
      <w:r w:rsidR="005B253B">
        <w:noBreakHyphen/>
      </w:r>
      <w:r w:rsidR="00C14EF7">
        <w:fldChar w:fldCharType="begin"/>
      </w:r>
      <w:r w:rsidR="005B253B">
        <w:instrText xml:space="preserve"> SEQ Figure \* ARABIC \s 1 </w:instrText>
      </w:r>
      <w:r w:rsidR="00C14EF7">
        <w:fldChar w:fldCharType="separate"/>
      </w:r>
      <w:r w:rsidR="003E0F65">
        <w:rPr>
          <w:noProof/>
        </w:rPr>
        <w:t>4</w:t>
      </w:r>
      <w:r w:rsidR="00C14EF7">
        <w:fldChar w:fldCharType="end"/>
      </w:r>
      <w:r>
        <w:t>: Historical domestic marine transport fuel mix</w:t>
      </w:r>
      <w:bookmarkEnd w:id="48"/>
      <w:bookmarkEnd w:id="49"/>
      <w:bookmarkEnd w:id="50"/>
    </w:p>
    <w:p w:rsidR="00FE2272" w:rsidRPr="00FE2272" w:rsidRDefault="00FE2272" w:rsidP="00FE2272"/>
    <w:p w:rsidR="001A6556" w:rsidRDefault="001A6556" w:rsidP="001A6556">
      <w:pPr>
        <w:pStyle w:val="BodyText"/>
      </w:pPr>
      <w:r w:rsidRPr="0053003B">
        <w:rPr>
          <w:noProof/>
        </w:rPr>
        <w:lastRenderedPageBreak/>
        <w:drawing>
          <wp:inline distT="0" distB="0" distL="0" distR="0">
            <wp:extent cx="5941802" cy="3888591"/>
            <wp:effectExtent l="19050" t="0" r="1798" b="0"/>
            <wp:docPr id="5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srcRect/>
                    <a:stretch>
                      <a:fillRect/>
                    </a:stretch>
                  </pic:blipFill>
                  <pic:spPr bwMode="auto">
                    <a:xfrm>
                      <a:off x="0" y="0"/>
                      <a:ext cx="5945984" cy="3891328"/>
                    </a:xfrm>
                    <a:prstGeom prst="rect">
                      <a:avLst/>
                    </a:prstGeom>
                    <a:noFill/>
                    <a:ln w="9525">
                      <a:noFill/>
                      <a:miter lim="800000"/>
                      <a:headEnd/>
                      <a:tailEnd/>
                    </a:ln>
                  </pic:spPr>
                </pic:pic>
              </a:graphicData>
            </a:graphic>
          </wp:inline>
        </w:drawing>
      </w:r>
    </w:p>
    <w:p w:rsidR="001A6556" w:rsidRPr="0064218D" w:rsidRDefault="001A6556" w:rsidP="001A6556">
      <w:pPr>
        <w:pStyle w:val="BodyText"/>
        <w:rPr>
          <w:sz w:val="20"/>
          <w:szCs w:val="20"/>
        </w:rPr>
      </w:pPr>
      <w:r w:rsidRPr="0064218D">
        <w:rPr>
          <w:sz w:val="20"/>
          <w:szCs w:val="20"/>
        </w:rPr>
        <w:t xml:space="preserve">Source: </w:t>
      </w:r>
      <w:r>
        <w:rPr>
          <w:sz w:val="20"/>
          <w:szCs w:val="20"/>
        </w:rPr>
        <w:t>BREE (2013)</w:t>
      </w:r>
    </w:p>
    <w:p w:rsidR="001A6556" w:rsidRDefault="001A6556" w:rsidP="001A6556">
      <w:pPr>
        <w:pStyle w:val="Caption"/>
        <w:rPr>
          <w:bCs w:val="0"/>
        </w:rPr>
      </w:pPr>
      <w:bookmarkStart w:id="51" w:name="_Toc292373257"/>
      <w:bookmarkStart w:id="52" w:name="_Toc306802208"/>
      <w:bookmarkStart w:id="53" w:name="_Toc366227334"/>
      <w:r>
        <w:t xml:space="preserve">Figure </w:t>
      </w:r>
      <w:r w:rsidR="00C14EF7">
        <w:fldChar w:fldCharType="begin"/>
      </w:r>
      <w:r w:rsidR="005B253B">
        <w:instrText xml:space="preserve"> STYLEREF 1 \s </w:instrText>
      </w:r>
      <w:r w:rsidR="00C14EF7">
        <w:fldChar w:fldCharType="separate"/>
      </w:r>
      <w:r w:rsidR="003E0F65">
        <w:rPr>
          <w:noProof/>
        </w:rPr>
        <w:t>4</w:t>
      </w:r>
      <w:r w:rsidR="00C14EF7">
        <w:fldChar w:fldCharType="end"/>
      </w:r>
      <w:r w:rsidR="005B253B">
        <w:noBreakHyphen/>
      </w:r>
      <w:r w:rsidR="00C14EF7">
        <w:fldChar w:fldCharType="begin"/>
      </w:r>
      <w:r w:rsidR="005B253B">
        <w:instrText xml:space="preserve"> SEQ Figure \* ARABIC \s 1 </w:instrText>
      </w:r>
      <w:r w:rsidR="00C14EF7">
        <w:fldChar w:fldCharType="separate"/>
      </w:r>
      <w:r w:rsidR="003E0F65">
        <w:rPr>
          <w:noProof/>
        </w:rPr>
        <w:t>5</w:t>
      </w:r>
      <w:r w:rsidR="00C14EF7">
        <w:fldChar w:fldCharType="end"/>
      </w:r>
      <w:r>
        <w:t>: Historical rail transport fuel mix</w:t>
      </w:r>
      <w:bookmarkEnd w:id="51"/>
      <w:bookmarkEnd w:id="52"/>
      <w:bookmarkEnd w:id="53"/>
    </w:p>
    <w:p w:rsidR="001A6556" w:rsidRDefault="001A6556" w:rsidP="001A6556">
      <w:pPr>
        <w:pStyle w:val="Heading4"/>
      </w:pPr>
      <w:r>
        <w:t>Non-road alternative fuel shares and overall efficiency improvements</w:t>
      </w:r>
    </w:p>
    <w:p w:rsidR="00584961" w:rsidRDefault="001A6556" w:rsidP="00584961">
      <w:r>
        <w:t xml:space="preserve">A modest market share of biofuel and natural gas is assumed to be achieved by 2050 in both rail and water transport reducing the use of existing fuels. The assumptions differ by scenario and are presented in </w:t>
      </w:r>
      <w:fldSimple w:instr=" REF _Ref365648108 \h  \* MERGEFORMAT ">
        <w:r w:rsidR="003E0F65">
          <w:t xml:space="preserve">Table </w:t>
        </w:r>
        <w:r w:rsidR="003E0F65">
          <w:rPr>
            <w:noProof/>
          </w:rPr>
          <w:t>4</w:t>
        </w:r>
        <w:r w:rsidR="003E0F65">
          <w:rPr>
            <w:noProof/>
          </w:rPr>
          <w:noBreakHyphen/>
          <w:t>4</w:t>
        </w:r>
      </w:fldSimple>
      <w:r>
        <w:t>.</w:t>
      </w:r>
    </w:p>
    <w:p w:rsidR="001A6556" w:rsidRDefault="001A6556" w:rsidP="001A6556">
      <w:r>
        <w:t>The relatively conservative assumptions for rail and marine alternative fuel uptake reflect the fact that other parts of the transport sector will like have stronger drivers for natural gas and biofuel uptake. Therefore marine and rail use of these fuels will be somewhat more niche. The road and aviation sectors will be prepared to pay a larger premium for biofuels because of initial excise differences in the case of road and because of more limited fuel substitution choices in the case of aviation. The trucking sector will be a strong competitor for natural gas.</w:t>
      </w:r>
    </w:p>
    <w:p w:rsidR="001A6556" w:rsidRDefault="001A6556" w:rsidP="001A6556">
      <w:r>
        <w:t xml:space="preserve">The no carbon price scenario has relatively high uptake since the oil price is the main driver. However, incrementally more uptake is assumed to occur for higher carbon prices reflecting the lower greenhouse gas </w:t>
      </w:r>
      <w:r w:rsidR="00E508C0">
        <w:t xml:space="preserve">intensities </w:t>
      </w:r>
      <w:r>
        <w:t>of these fuels.</w:t>
      </w:r>
    </w:p>
    <w:p w:rsidR="001A6556" w:rsidRDefault="001A6556" w:rsidP="001A6556">
      <w:r>
        <w:t xml:space="preserve">Fuel efficiency improvements are based primarily on </w:t>
      </w:r>
      <w:r w:rsidR="00605C58">
        <w:t>Cosgrove</w:t>
      </w:r>
      <w:r>
        <w:t xml:space="preserve"> et al (2011) which provided estimates of the maximum achievable efficiency improvements on technical grounds by 2050 (largely ignoring costs but not imposing too much social change). For example aviation could achieve 40-50 percent improvements in efficiency, marine 30 percent. The approach taken is to assume a portion of this would be achievable given the oil and carbon price signals would overcome some cost barriers. Similar to the approach taken with alternative fuel shares, most of the efficiency improvement is achieved without a carbon price, but higher carbon prices lead to incrementally more efficiency improvement.</w:t>
      </w:r>
    </w:p>
    <w:p w:rsidR="001A6556" w:rsidRDefault="001A6556" w:rsidP="001A6556">
      <w:pPr>
        <w:pStyle w:val="Caption"/>
      </w:pPr>
      <w:bookmarkStart w:id="54" w:name="_Ref365648108"/>
      <w:bookmarkStart w:id="55" w:name="_Toc366227382"/>
      <w:r>
        <w:lastRenderedPageBreak/>
        <w:t xml:space="preserve">Table </w:t>
      </w:r>
      <w:r w:rsidR="00C14EF7">
        <w:fldChar w:fldCharType="begin"/>
      </w:r>
      <w:r w:rsidR="00970F7D">
        <w:instrText xml:space="preserve"> STYLEREF 1 \s </w:instrText>
      </w:r>
      <w:r w:rsidR="00C14EF7">
        <w:fldChar w:fldCharType="separate"/>
      </w:r>
      <w:r w:rsidR="003E0F65">
        <w:rPr>
          <w:noProof/>
        </w:rPr>
        <w:t>4</w:t>
      </w:r>
      <w:r w:rsidR="00C14EF7">
        <w:rPr>
          <w:noProof/>
        </w:rPr>
        <w:fldChar w:fldCharType="end"/>
      </w:r>
      <w:r w:rsidR="00AB35C1">
        <w:noBreakHyphen/>
      </w:r>
      <w:r w:rsidR="00C14EF7">
        <w:fldChar w:fldCharType="begin"/>
      </w:r>
      <w:r w:rsidR="00970F7D">
        <w:instrText xml:space="preserve"> SEQ Table \* ARABIC \s 1 </w:instrText>
      </w:r>
      <w:r w:rsidR="00C14EF7">
        <w:fldChar w:fldCharType="separate"/>
      </w:r>
      <w:r w:rsidR="003E0F65">
        <w:rPr>
          <w:noProof/>
        </w:rPr>
        <w:t>4</w:t>
      </w:r>
      <w:r w:rsidR="00C14EF7">
        <w:rPr>
          <w:noProof/>
        </w:rPr>
        <w:fldChar w:fldCharType="end"/>
      </w:r>
      <w:bookmarkEnd w:id="54"/>
      <w:r>
        <w:t>: Assumed shares of natural gas and biofuels in the fuel mix and fuel efficiency improvement by 2050</w:t>
      </w:r>
      <w:bookmarkEnd w:id="55"/>
    </w:p>
    <w:tbl>
      <w:tblPr>
        <w:tblStyle w:val="LightList-Accent12"/>
        <w:tblW w:w="5000" w:type="pct"/>
        <w:tblLook w:val="04A0"/>
      </w:tblPr>
      <w:tblGrid>
        <w:gridCol w:w="1256"/>
        <w:gridCol w:w="1899"/>
        <w:gridCol w:w="1368"/>
        <w:gridCol w:w="1369"/>
        <w:gridCol w:w="2821"/>
      </w:tblGrid>
      <w:tr w:rsidR="001A6556" w:rsidRPr="00492372" w:rsidTr="00E011B7">
        <w:trPr>
          <w:cnfStyle w:val="100000000000"/>
          <w:trHeight w:val="300"/>
        </w:trPr>
        <w:tc>
          <w:tcPr>
            <w:cnfStyle w:val="001000000000"/>
            <w:tcW w:w="768" w:type="pct"/>
            <w:noWrap/>
            <w:hideMark/>
          </w:tcPr>
          <w:p w:rsidR="001A6556" w:rsidRPr="00492372" w:rsidRDefault="001A6556" w:rsidP="00E011B7">
            <w:pPr>
              <w:spacing w:after="0"/>
              <w:rPr>
                <w:rFonts w:eastAsia="Times New Roman"/>
              </w:rPr>
            </w:pPr>
          </w:p>
        </w:tc>
        <w:tc>
          <w:tcPr>
            <w:tcW w:w="1137" w:type="pct"/>
            <w:noWrap/>
            <w:hideMark/>
          </w:tcPr>
          <w:p w:rsidR="001A6556" w:rsidRPr="00492372" w:rsidRDefault="001A6556" w:rsidP="00E011B7">
            <w:pPr>
              <w:spacing w:after="0"/>
              <w:cnfStyle w:val="100000000000"/>
              <w:rPr>
                <w:rFonts w:eastAsia="Times New Roman"/>
              </w:rPr>
            </w:pPr>
          </w:p>
        </w:tc>
        <w:tc>
          <w:tcPr>
            <w:tcW w:w="832" w:type="pct"/>
            <w:noWrap/>
            <w:hideMark/>
          </w:tcPr>
          <w:p w:rsidR="001A6556" w:rsidRPr="00492372" w:rsidRDefault="001A6556" w:rsidP="00E011B7">
            <w:pPr>
              <w:spacing w:after="0"/>
              <w:cnfStyle w:val="100000000000"/>
              <w:rPr>
                <w:rFonts w:eastAsia="Times New Roman"/>
              </w:rPr>
            </w:pPr>
            <w:r w:rsidRPr="00492372">
              <w:rPr>
                <w:rFonts w:eastAsia="Times New Roman"/>
              </w:rPr>
              <w:t>Natural gas</w:t>
            </w:r>
          </w:p>
        </w:tc>
        <w:tc>
          <w:tcPr>
            <w:tcW w:w="832" w:type="pct"/>
            <w:noWrap/>
            <w:hideMark/>
          </w:tcPr>
          <w:p w:rsidR="001A6556" w:rsidRPr="00492372" w:rsidRDefault="001A6556" w:rsidP="00E011B7">
            <w:pPr>
              <w:spacing w:after="0"/>
              <w:cnfStyle w:val="100000000000"/>
              <w:rPr>
                <w:rFonts w:eastAsia="Times New Roman"/>
              </w:rPr>
            </w:pPr>
            <w:r w:rsidRPr="00492372">
              <w:rPr>
                <w:rFonts w:eastAsia="Times New Roman"/>
              </w:rPr>
              <w:t>Biofuels</w:t>
            </w:r>
          </w:p>
        </w:tc>
        <w:tc>
          <w:tcPr>
            <w:tcW w:w="1431" w:type="pct"/>
            <w:noWrap/>
            <w:hideMark/>
          </w:tcPr>
          <w:p w:rsidR="001A6556" w:rsidRPr="00492372" w:rsidRDefault="001A6556" w:rsidP="00E011B7">
            <w:pPr>
              <w:spacing w:after="0"/>
              <w:cnfStyle w:val="100000000000"/>
              <w:rPr>
                <w:rFonts w:eastAsia="Times New Roman"/>
              </w:rPr>
            </w:pPr>
            <w:r w:rsidRPr="00492372">
              <w:rPr>
                <w:rFonts w:eastAsia="Times New Roman"/>
              </w:rPr>
              <w:t>Fuel efficiency improvement</w:t>
            </w:r>
          </w:p>
        </w:tc>
      </w:tr>
      <w:tr w:rsidR="001A6556" w:rsidRPr="00492372" w:rsidTr="00E011B7">
        <w:trPr>
          <w:cnfStyle w:val="000000100000"/>
          <w:trHeight w:val="300"/>
        </w:trPr>
        <w:tc>
          <w:tcPr>
            <w:cnfStyle w:val="001000000000"/>
            <w:tcW w:w="768" w:type="pct"/>
            <w:noWrap/>
            <w:hideMark/>
          </w:tcPr>
          <w:p w:rsidR="001A6556" w:rsidRPr="00492372" w:rsidRDefault="001A6556" w:rsidP="00E011B7">
            <w:pPr>
              <w:spacing w:after="0"/>
              <w:rPr>
                <w:rFonts w:eastAsia="Times New Roman"/>
              </w:rPr>
            </w:pPr>
          </w:p>
        </w:tc>
        <w:tc>
          <w:tcPr>
            <w:tcW w:w="1137" w:type="pct"/>
            <w:noWrap/>
            <w:hideMark/>
          </w:tcPr>
          <w:p w:rsidR="001A6556" w:rsidRPr="00492372" w:rsidRDefault="001A6556" w:rsidP="00E011B7">
            <w:pPr>
              <w:spacing w:after="0"/>
              <w:cnfStyle w:val="000000100000"/>
              <w:rPr>
                <w:rFonts w:eastAsia="Times New Roman"/>
              </w:rPr>
            </w:pPr>
          </w:p>
        </w:tc>
        <w:tc>
          <w:tcPr>
            <w:tcW w:w="832" w:type="pct"/>
            <w:noWrap/>
            <w:hideMark/>
          </w:tcPr>
          <w:p w:rsidR="001A6556" w:rsidRPr="00492372" w:rsidRDefault="001A6556" w:rsidP="00E011B7">
            <w:pPr>
              <w:spacing w:after="0"/>
              <w:jc w:val="center"/>
              <w:cnfStyle w:val="000000100000"/>
              <w:rPr>
                <w:rFonts w:eastAsia="Times New Roman"/>
              </w:rPr>
            </w:pPr>
            <w:r w:rsidRPr="00492372">
              <w:rPr>
                <w:rFonts w:eastAsia="Times New Roman"/>
              </w:rPr>
              <w:t>%</w:t>
            </w:r>
          </w:p>
        </w:tc>
        <w:tc>
          <w:tcPr>
            <w:tcW w:w="832" w:type="pct"/>
            <w:noWrap/>
            <w:hideMark/>
          </w:tcPr>
          <w:p w:rsidR="001A6556" w:rsidRPr="00492372" w:rsidRDefault="001A6556" w:rsidP="00E011B7">
            <w:pPr>
              <w:spacing w:after="0"/>
              <w:jc w:val="center"/>
              <w:cnfStyle w:val="000000100000"/>
              <w:rPr>
                <w:rFonts w:eastAsia="Times New Roman"/>
              </w:rPr>
            </w:pPr>
            <w:r w:rsidRPr="00492372">
              <w:rPr>
                <w:rFonts w:eastAsia="Times New Roman"/>
              </w:rPr>
              <w:t>%</w:t>
            </w:r>
          </w:p>
        </w:tc>
        <w:tc>
          <w:tcPr>
            <w:tcW w:w="1431" w:type="pct"/>
            <w:noWrap/>
            <w:hideMark/>
          </w:tcPr>
          <w:p w:rsidR="001A6556" w:rsidRPr="00492372" w:rsidRDefault="001A6556" w:rsidP="00E011B7">
            <w:pPr>
              <w:spacing w:after="0"/>
              <w:jc w:val="center"/>
              <w:cnfStyle w:val="000000100000"/>
              <w:rPr>
                <w:rFonts w:eastAsia="Times New Roman"/>
              </w:rPr>
            </w:pPr>
            <w:r w:rsidRPr="00492372">
              <w:rPr>
                <w:rFonts w:eastAsia="Times New Roman"/>
              </w:rPr>
              <w:t>%</w:t>
            </w:r>
          </w:p>
        </w:tc>
      </w:tr>
      <w:tr w:rsidR="001A6556" w:rsidRPr="00492372" w:rsidTr="00E011B7">
        <w:trPr>
          <w:trHeight w:val="300"/>
        </w:trPr>
        <w:tc>
          <w:tcPr>
            <w:cnfStyle w:val="001000000000"/>
            <w:tcW w:w="768" w:type="pct"/>
            <w:vMerge w:val="restart"/>
            <w:noWrap/>
            <w:hideMark/>
          </w:tcPr>
          <w:p w:rsidR="001A6556" w:rsidRPr="00492372" w:rsidRDefault="001A6556" w:rsidP="00E011B7">
            <w:pPr>
              <w:spacing w:after="0"/>
              <w:rPr>
                <w:rFonts w:eastAsia="Times New Roman"/>
              </w:rPr>
            </w:pPr>
            <w:r w:rsidRPr="00492372">
              <w:rPr>
                <w:rFonts w:eastAsia="Times New Roman"/>
              </w:rPr>
              <w:t>Marine</w:t>
            </w:r>
          </w:p>
        </w:tc>
        <w:tc>
          <w:tcPr>
            <w:tcW w:w="1137" w:type="pct"/>
            <w:noWrap/>
            <w:hideMark/>
          </w:tcPr>
          <w:p w:rsidR="001A6556" w:rsidRPr="00492372" w:rsidRDefault="001A6556" w:rsidP="00E011B7">
            <w:pPr>
              <w:spacing w:after="0"/>
              <w:cnfStyle w:val="000000000000"/>
              <w:rPr>
                <w:rFonts w:eastAsia="Times New Roman"/>
              </w:rPr>
            </w:pPr>
            <w:r w:rsidRPr="00492372">
              <w:rPr>
                <w:rFonts w:eastAsia="Times New Roman"/>
              </w:rPr>
              <w:t>Central policy</w:t>
            </w:r>
          </w:p>
        </w:tc>
        <w:tc>
          <w:tcPr>
            <w:tcW w:w="832" w:type="pct"/>
            <w:noWrap/>
            <w:hideMark/>
          </w:tcPr>
          <w:p w:rsidR="001A6556" w:rsidRPr="00492372" w:rsidRDefault="001A6556" w:rsidP="00E011B7">
            <w:pPr>
              <w:spacing w:after="0"/>
              <w:jc w:val="center"/>
              <w:cnfStyle w:val="000000000000"/>
              <w:rPr>
                <w:rFonts w:eastAsia="Times New Roman"/>
              </w:rPr>
            </w:pPr>
            <w:r w:rsidRPr="00492372">
              <w:rPr>
                <w:rFonts w:eastAsia="Times New Roman"/>
              </w:rPr>
              <w:t>12.5</w:t>
            </w:r>
          </w:p>
        </w:tc>
        <w:tc>
          <w:tcPr>
            <w:tcW w:w="832" w:type="pct"/>
            <w:noWrap/>
            <w:hideMark/>
          </w:tcPr>
          <w:p w:rsidR="001A6556" w:rsidRPr="00492372" w:rsidRDefault="001A6556" w:rsidP="00E011B7">
            <w:pPr>
              <w:spacing w:after="0"/>
              <w:jc w:val="center"/>
              <w:cnfStyle w:val="000000000000"/>
              <w:rPr>
                <w:rFonts w:eastAsia="Times New Roman"/>
              </w:rPr>
            </w:pPr>
            <w:r w:rsidRPr="00492372">
              <w:rPr>
                <w:rFonts w:eastAsia="Times New Roman"/>
              </w:rPr>
              <w:t>12.5</w:t>
            </w:r>
          </w:p>
        </w:tc>
        <w:tc>
          <w:tcPr>
            <w:tcW w:w="1431" w:type="pct"/>
            <w:noWrap/>
            <w:hideMark/>
          </w:tcPr>
          <w:p w:rsidR="001A6556" w:rsidRPr="00492372" w:rsidRDefault="001A6556" w:rsidP="00E011B7">
            <w:pPr>
              <w:spacing w:after="0"/>
              <w:jc w:val="center"/>
              <w:cnfStyle w:val="000000000000"/>
              <w:rPr>
                <w:rFonts w:eastAsia="Times New Roman"/>
              </w:rPr>
            </w:pPr>
            <w:r w:rsidRPr="00492372">
              <w:rPr>
                <w:rFonts w:eastAsia="Times New Roman"/>
              </w:rPr>
              <w:t>20</w:t>
            </w:r>
          </w:p>
        </w:tc>
      </w:tr>
      <w:tr w:rsidR="001A6556" w:rsidRPr="00492372" w:rsidTr="00E011B7">
        <w:trPr>
          <w:cnfStyle w:val="000000100000"/>
          <w:trHeight w:val="300"/>
        </w:trPr>
        <w:tc>
          <w:tcPr>
            <w:cnfStyle w:val="001000000000"/>
            <w:tcW w:w="768" w:type="pct"/>
            <w:vMerge/>
            <w:noWrap/>
            <w:hideMark/>
          </w:tcPr>
          <w:p w:rsidR="001A6556" w:rsidRPr="00492372" w:rsidRDefault="001A6556" w:rsidP="00E011B7">
            <w:pPr>
              <w:spacing w:after="0"/>
              <w:rPr>
                <w:rFonts w:eastAsia="Times New Roman"/>
              </w:rPr>
            </w:pPr>
          </w:p>
        </w:tc>
        <w:tc>
          <w:tcPr>
            <w:tcW w:w="1137" w:type="pct"/>
            <w:noWrap/>
            <w:hideMark/>
          </w:tcPr>
          <w:p w:rsidR="001A6556" w:rsidRPr="00492372" w:rsidRDefault="001A6556" w:rsidP="00E011B7">
            <w:pPr>
              <w:spacing w:after="0"/>
              <w:cnfStyle w:val="000000100000"/>
              <w:rPr>
                <w:rFonts w:eastAsia="Times New Roman"/>
              </w:rPr>
            </w:pPr>
            <w:r w:rsidRPr="00492372">
              <w:rPr>
                <w:rFonts w:eastAsia="Times New Roman"/>
              </w:rPr>
              <w:t>Low price</w:t>
            </w:r>
          </w:p>
        </w:tc>
        <w:tc>
          <w:tcPr>
            <w:tcW w:w="832" w:type="pct"/>
            <w:noWrap/>
            <w:hideMark/>
          </w:tcPr>
          <w:p w:rsidR="001A6556" w:rsidRPr="00492372" w:rsidRDefault="001A6556" w:rsidP="00E011B7">
            <w:pPr>
              <w:spacing w:after="0"/>
              <w:jc w:val="center"/>
              <w:cnfStyle w:val="000000100000"/>
              <w:rPr>
                <w:rFonts w:eastAsia="Times New Roman"/>
              </w:rPr>
            </w:pPr>
            <w:r w:rsidRPr="00492372">
              <w:rPr>
                <w:rFonts w:eastAsia="Times New Roman"/>
              </w:rPr>
              <w:t>12</w:t>
            </w:r>
          </w:p>
        </w:tc>
        <w:tc>
          <w:tcPr>
            <w:tcW w:w="832" w:type="pct"/>
            <w:noWrap/>
            <w:hideMark/>
          </w:tcPr>
          <w:p w:rsidR="001A6556" w:rsidRPr="00492372" w:rsidRDefault="001A6556" w:rsidP="00E011B7">
            <w:pPr>
              <w:spacing w:after="0"/>
              <w:jc w:val="center"/>
              <w:cnfStyle w:val="000000100000"/>
              <w:rPr>
                <w:rFonts w:eastAsia="Times New Roman"/>
              </w:rPr>
            </w:pPr>
            <w:r w:rsidRPr="00492372">
              <w:rPr>
                <w:rFonts w:eastAsia="Times New Roman"/>
              </w:rPr>
              <w:t>12</w:t>
            </w:r>
          </w:p>
        </w:tc>
        <w:tc>
          <w:tcPr>
            <w:tcW w:w="1431" w:type="pct"/>
            <w:noWrap/>
            <w:hideMark/>
          </w:tcPr>
          <w:p w:rsidR="001A6556" w:rsidRPr="00492372" w:rsidRDefault="001A6556" w:rsidP="00E011B7">
            <w:pPr>
              <w:spacing w:after="0"/>
              <w:jc w:val="center"/>
              <w:cnfStyle w:val="000000100000"/>
              <w:rPr>
                <w:rFonts w:eastAsia="Times New Roman"/>
              </w:rPr>
            </w:pPr>
            <w:r w:rsidRPr="00492372">
              <w:rPr>
                <w:rFonts w:eastAsia="Times New Roman"/>
              </w:rPr>
              <w:t>17.5</w:t>
            </w:r>
          </w:p>
        </w:tc>
      </w:tr>
      <w:tr w:rsidR="001A6556" w:rsidRPr="00492372" w:rsidTr="00E011B7">
        <w:trPr>
          <w:trHeight w:val="300"/>
        </w:trPr>
        <w:tc>
          <w:tcPr>
            <w:cnfStyle w:val="001000000000"/>
            <w:tcW w:w="768" w:type="pct"/>
            <w:vMerge/>
            <w:noWrap/>
            <w:hideMark/>
          </w:tcPr>
          <w:p w:rsidR="001A6556" w:rsidRPr="00492372" w:rsidRDefault="001A6556" w:rsidP="00E011B7">
            <w:pPr>
              <w:spacing w:after="0"/>
              <w:rPr>
                <w:rFonts w:eastAsia="Times New Roman"/>
              </w:rPr>
            </w:pPr>
          </w:p>
        </w:tc>
        <w:tc>
          <w:tcPr>
            <w:tcW w:w="1137" w:type="pct"/>
            <w:noWrap/>
            <w:hideMark/>
          </w:tcPr>
          <w:p w:rsidR="001A6556" w:rsidRPr="00492372" w:rsidRDefault="001A6556" w:rsidP="00E011B7">
            <w:pPr>
              <w:spacing w:after="0"/>
              <w:cnfStyle w:val="000000000000"/>
              <w:rPr>
                <w:rFonts w:eastAsia="Times New Roman"/>
              </w:rPr>
            </w:pPr>
            <w:r w:rsidRPr="00492372">
              <w:rPr>
                <w:rFonts w:eastAsia="Times New Roman"/>
              </w:rPr>
              <w:t>High price</w:t>
            </w:r>
          </w:p>
        </w:tc>
        <w:tc>
          <w:tcPr>
            <w:tcW w:w="832" w:type="pct"/>
            <w:noWrap/>
            <w:hideMark/>
          </w:tcPr>
          <w:p w:rsidR="001A6556" w:rsidRPr="00492372" w:rsidRDefault="001A6556" w:rsidP="00E011B7">
            <w:pPr>
              <w:spacing w:after="0"/>
              <w:jc w:val="center"/>
              <w:cnfStyle w:val="000000000000"/>
              <w:rPr>
                <w:rFonts w:eastAsia="Times New Roman"/>
              </w:rPr>
            </w:pPr>
            <w:r w:rsidRPr="00492372">
              <w:rPr>
                <w:rFonts w:eastAsia="Times New Roman"/>
              </w:rPr>
              <w:t>15</w:t>
            </w:r>
          </w:p>
        </w:tc>
        <w:tc>
          <w:tcPr>
            <w:tcW w:w="832" w:type="pct"/>
            <w:noWrap/>
            <w:hideMark/>
          </w:tcPr>
          <w:p w:rsidR="001A6556" w:rsidRPr="00492372" w:rsidRDefault="001A6556" w:rsidP="00E011B7">
            <w:pPr>
              <w:spacing w:after="0"/>
              <w:jc w:val="center"/>
              <w:cnfStyle w:val="000000000000"/>
              <w:rPr>
                <w:rFonts w:eastAsia="Times New Roman"/>
              </w:rPr>
            </w:pPr>
            <w:r w:rsidRPr="00492372">
              <w:rPr>
                <w:rFonts w:eastAsia="Times New Roman"/>
              </w:rPr>
              <w:t>15</w:t>
            </w:r>
          </w:p>
        </w:tc>
        <w:tc>
          <w:tcPr>
            <w:tcW w:w="1431" w:type="pct"/>
            <w:noWrap/>
            <w:hideMark/>
          </w:tcPr>
          <w:p w:rsidR="001A6556" w:rsidRPr="00492372" w:rsidRDefault="001A6556" w:rsidP="00E011B7">
            <w:pPr>
              <w:spacing w:after="0"/>
              <w:jc w:val="center"/>
              <w:cnfStyle w:val="000000000000"/>
              <w:rPr>
                <w:rFonts w:eastAsia="Times New Roman"/>
              </w:rPr>
            </w:pPr>
            <w:r w:rsidRPr="00492372">
              <w:rPr>
                <w:rFonts w:eastAsia="Times New Roman"/>
              </w:rPr>
              <w:t>22.5</w:t>
            </w:r>
          </w:p>
        </w:tc>
      </w:tr>
      <w:tr w:rsidR="001A6556" w:rsidRPr="00492372" w:rsidTr="00E011B7">
        <w:trPr>
          <w:cnfStyle w:val="000000100000"/>
          <w:trHeight w:val="300"/>
        </w:trPr>
        <w:tc>
          <w:tcPr>
            <w:cnfStyle w:val="001000000000"/>
            <w:tcW w:w="768" w:type="pct"/>
            <w:vMerge/>
            <w:noWrap/>
            <w:hideMark/>
          </w:tcPr>
          <w:p w:rsidR="001A6556" w:rsidRPr="00492372" w:rsidRDefault="001A6556" w:rsidP="00E011B7">
            <w:pPr>
              <w:spacing w:after="0"/>
              <w:rPr>
                <w:rFonts w:eastAsia="Times New Roman"/>
              </w:rPr>
            </w:pPr>
          </w:p>
        </w:tc>
        <w:tc>
          <w:tcPr>
            <w:tcW w:w="1137" w:type="pct"/>
            <w:noWrap/>
            <w:hideMark/>
          </w:tcPr>
          <w:p w:rsidR="001A6556" w:rsidRPr="00492372" w:rsidRDefault="001A6556" w:rsidP="00E011B7">
            <w:pPr>
              <w:spacing w:after="0"/>
              <w:cnfStyle w:val="000000100000"/>
              <w:rPr>
                <w:rFonts w:eastAsia="Times New Roman"/>
              </w:rPr>
            </w:pPr>
            <w:r w:rsidRPr="00492372">
              <w:rPr>
                <w:rFonts w:eastAsia="Times New Roman"/>
              </w:rPr>
              <w:t>No carbon price</w:t>
            </w:r>
          </w:p>
        </w:tc>
        <w:tc>
          <w:tcPr>
            <w:tcW w:w="832" w:type="pct"/>
            <w:noWrap/>
            <w:hideMark/>
          </w:tcPr>
          <w:p w:rsidR="001A6556" w:rsidRPr="00492372" w:rsidRDefault="001A6556" w:rsidP="00E011B7">
            <w:pPr>
              <w:spacing w:after="0"/>
              <w:jc w:val="center"/>
              <w:cnfStyle w:val="000000100000"/>
              <w:rPr>
                <w:rFonts w:eastAsia="Times New Roman"/>
              </w:rPr>
            </w:pPr>
            <w:r w:rsidRPr="00492372">
              <w:rPr>
                <w:rFonts w:eastAsia="Times New Roman"/>
              </w:rPr>
              <w:t>10</w:t>
            </w:r>
          </w:p>
        </w:tc>
        <w:tc>
          <w:tcPr>
            <w:tcW w:w="832" w:type="pct"/>
            <w:noWrap/>
            <w:hideMark/>
          </w:tcPr>
          <w:p w:rsidR="001A6556" w:rsidRPr="00492372" w:rsidRDefault="001A6556" w:rsidP="00E011B7">
            <w:pPr>
              <w:spacing w:after="0"/>
              <w:jc w:val="center"/>
              <w:cnfStyle w:val="000000100000"/>
              <w:rPr>
                <w:rFonts w:eastAsia="Times New Roman"/>
              </w:rPr>
            </w:pPr>
            <w:r w:rsidRPr="00492372">
              <w:rPr>
                <w:rFonts w:eastAsia="Times New Roman"/>
              </w:rPr>
              <w:t>10</w:t>
            </w:r>
          </w:p>
        </w:tc>
        <w:tc>
          <w:tcPr>
            <w:tcW w:w="1431" w:type="pct"/>
            <w:noWrap/>
            <w:hideMark/>
          </w:tcPr>
          <w:p w:rsidR="001A6556" w:rsidRPr="00492372" w:rsidRDefault="001A6556" w:rsidP="00E011B7">
            <w:pPr>
              <w:spacing w:after="0"/>
              <w:jc w:val="center"/>
              <w:cnfStyle w:val="000000100000"/>
              <w:rPr>
                <w:rFonts w:eastAsia="Times New Roman"/>
              </w:rPr>
            </w:pPr>
            <w:r w:rsidRPr="00492372">
              <w:rPr>
                <w:rFonts w:eastAsia="Times New Roman"/>
              </w:rPr>
              <w:t>15</w:t>
            </w:r>
          </w:p>
        </w:tc>
      </w:tr>
      <w:tr w:rsidR="001A6556" w:rsidRPr="00492372" w:rsidTr="00E011B7">
        <w:trPr>
          <w:trHeight w:val="300"/>
        </w:trPr>
        <w:tc>
          <w:tcPr>
            <w:cnfStyle w:val="001000000000"/>
            <w:tcW w:w="768" w:type="pct"/>
            <w:vMerge w:val="restart"/>
            <w:noWrap/>
            <w:hideMark/>
          </w:tcPr>
          <w:p w:rsidR="001A6556" w:rsidRPr="00492372" w:rsidRDefault="001A6556" w:rsidP="00E011B7">
            <w:pPr>
              <w:spacing w:after="0"/>
              <w:rPr>
                <w:rFonts w:eastAsia="Times New Roman"/>
              </w:rPr>
            </w:pPr>
            <w:r w:rsidRPr="00492372">
              <w:rPr>
                <w:rFonts w:eastAsia="Times New Roman"/>
              </w:rPr>
              <w:t>Rail</w:t>
            </w:r>
          </w:p>
        </w:tc>
        <w:tc>
          <w:tcPr>
            <w:tcW w:w="1137" w:type="pct"/>
            <w:noWrap/>
            <w:hideMark/>
          </w:tcPr>
          <w:p w:rsidR="001A6556" w:rsidRPr="00492372" w:rsidRDefault="001A6556" w:rsidP="00E011B7">
            <w:pPr>
              <w:spacing w:after="0"/>
              <w:cnfStyle w:val="000000000000"/>
              <w:rPr>
                <w:rFonts w:eastAsia="Times New Roman"/>
              </w:rPr>
            </w:pPr>
            <w:r w:rsidRPr="00492372">
              <w:rPr>
                <w:rFonts w:eastAsia="Times New Roman"/>
              </w:rPr>
              <w:t>Central policy</w:t>
            </w:r>
          </w:p>
        </w:tc>
        <w:tc>
          <w:tcPr>
            <w:tcW w:w="832" w:type="pct"/>
            <w:noWrap/>
            <w:hideMark/>
          </w:tcPr>
          <w:p w:rsidR="001A6556" w:rsidRPr="00492372" w:rsidRDefault="001A6556" w:rsidP="00E011B7">
            <w:pPr>
              <w:spacing w:after="0"/>
              <w:jc w:val="center"/>
              <w:cnfStyle w:val="000000000000"/>
              <w:rPr>
                <w:rFonts w:eastAsia="Times New Roman"/>
              </w:rPr>
            </w:pPr>
            <w:r w:rsidRPr="00492372">
              <w:rPr>
                <w:rFonts w:eastAsia="Times New Roman"/>
              </w:rPr>
              <w:t>12.5</w:t>
            </w:r>
          </w:p>
        </w:tc>
        <w:tc>
          <w:tcPr>
            <w:tcW w:w="832" w:type="pct"/>
            <w:noWrap/>
            <w:hideMark/>
          </w:tcPr>
          <w:p w:rsidR="001A6556" w:rsidRPr="00492372" w:rsidRDefault="001A6556" w:rsidP="00E011B7">
            <w:pPr>
              <w:spacing w:after="0"/>
              <w:jc w:val="center"/>
              <w:cnfStyle w:val="000000000000"/>
              <w:rPr>
                <w:rFonts w:eastAsia="Times New Roman"/>
              </w:rPr>
            </w:pPr>
            <w:r w:rsidRPr="00492372">
              <w:rPr>
                <w:rFonts w:eastAsia="Times New Roman"/>
              </w:rPr>
              <w:t>12.5</w:t>
            </w:r>
          </w:p>
        </w:tc>
        <w:tc>
          <w:tcPr>
            <w:tcW w:w="1431" w:type="pct"/>
            <w:noWrap/>
            <w:hideMark/>
          </w:tcPr>
          <w:p w:rsidR="001A6556" w:rsidRPr="00492372" w:rsidRDefault="001A6556" w:rsidP="00E011B7">
            <w:pPr>
              <w:spacing w:after="0"/>
              <w:jc w:val="center"/>
              <w:cnfStyle w:val="000000000000"/>
              <w:rPr>
                <w:rFonts w:eastAsia="Times New Roman"/>
              </w:rPr>
            </w:pPr>
            <w:r w:rsidRPr="00492372">
              <w:rPr>
                <w:rFonts w:eastAsia="Times New Roman"/>
              </w:rPr>
              <w:t>15</w:t>
            </w:r>
          </w:p>
        </w:tc>
      </w:tr>
      <w:tr w:rsidR="001A6556" w:rsidRPr="00492372" w:rsidTr="00E011B7">
        <w:trPr>
          <w:cnfStyle w:val="000000100000"/>
          <w:trHeight w:val="300"/>
        </w:trPr>
        <w:tc>
          <w:tcPr>
            <w:cnfStyle w:val="001000000000"/>
            <w:tcW w:w="768" w:type="pct"/>
            <w:vMerge/>
            <w:noWrap/>
            <w:hideMark/>
          </w:tcPr>
          <w:p w:rsidR="001A6556" w:rsidRPr="00492372" w:rsidRDefault="001A6556" w:rsidP="00E011B7">
            <w:pPr>
              <w:spacing w:after="0"/>
              <w:rPr>
                <w:rFonts w:eastAsia="Times New Roman"/>
              </w:rPr>
            </w:pPr>
          </w:p>
        </w:tc>
        <w:tc>
          <w:tcPr>
            <w:tcW w:w="1137" w:type="pct"/>
            <w:noWrap/>
            <w:hideMark/>
          </w:tcPr>
          <w:p w:rsidR="001A6556" w:rsidRPr="00492372" w:rsidRDefault="001A6556" w:rsidP="00E011B7">
            <w:pPr>
              <w:spacing w:after="0"/>
              <w:cnfStyle w:val="000000100000"/>
              <w:rPr>
                <w:rFonts w:eastAsia="Times New Roman"/>
              </w:rPr>
            </w:pPr>
            <w:r w:rsidRPr="00492372">
              <w:rPr>
                <w:rFonts w:eastAsia="Times New Roman"/>
              </w:rPr>
              <w:t>Low price</w:t>
            </w:r>
          </w:p>
        </w:tc>
        <w:tc>
          <w:tcPr>
            <w:tcW w:w="832" w:type="pct"/>
            <w:noWrap/>
            <w:hideMark/>
          </w:tcPr>
          <w:p w:rsidR="001A6556" w:rsidRPr="00492372" w:rsidRDefault="001A6556" w:rsidP="00E011B7">
            <w:pPr>
              <w:spacing w:after="0"/>
              <w:jc w:val="center"/>
              <w:cnfStyle w:val="000000100000"/>
              <w:rPr>
                <w:rFonts w:eastAsia="Times New Roman"/>
              </w:rPr>
            </w:pPr>
            <w:r w:rsidRPr="00492372">
              <w:rPr>
                <w:rFonts w:eastAsia="Times New Roman"/>
              </w:rPr>
              <w:t>12</w:t>
            </w:r>
          </w:p>
        </w:tc>
        <w:tc>
          <w:tcPr>
            <w:tcW w:w="832" w:type="pct"/>
            <w:noWrap/>
            <w:hideMark/>
          </w:tcPr>
          <w:p w:rsidR="001A6556" w:rsidRPr="00492372" w:rsidRDefault="001A6556" w:rsidP="00E011B7">
            <w:pPr>
              <w:spacing w:after="0"/>
              <w:jc w:val="center"/>
              <w:cnfStyle w:val="000000100000"/>
              <w:rPr>
                <w:rFonts w:eastAsia="Times New Roman"/>
              </w:rPr>
            </w:pPr>
            <w:r w:rsidRPr="00492372">
              <w:rPr>
                <w:rFonts w:eastAsia="Times New Roman"/>
              </w:rPr>
              <w:t>12</w:t>
            </w:r>
          </w:p>
        </w:tc>
        <w:tc>
          <w:tcPr>
            <w:tcW w:w="1431" w:type="pct"/>
            <w:noWrap/>
            <w:hideMark/>
          </w:tcPr>
          <w:p w:rsidR="001A6556" w:rsidRPr="00492372" w:rsidRDefault="001A6556" w:rsidP="00E011B7">
            <w:pPr>
              <w:spacing w:after="0"/>
              <w:jc w:val="center"/>
              <w:cnfStyle w:val="000000100000"/>
              <w:rPr>
                <w:rFonts w:eastAsia="Times New Roman"/>
              </w:rPr>
            </w:pPr>
            <w:r w:rsidRPr="00492372">
              <w:rPr>
                <w:rFonts w:eastAsia="Times New Roman"/>
              </w:rPr>
              <w:t>12.5</w:t>
            </w:r>
          </w:p>
        </w:tc>
      </w:tr>
      <w:tr w:rsidR="001A6556" w:rsidRPr="00492372" w:rsidTr="00E011B7">
        <w:trPr>
          <w:trHeight w:val="300"/>
        </w:trPr>
        <w:tc>
          <w:tcPr>
            <w:cnfStyle w:val="001000000000"/>
            <w:tcW w:w="768" w:type="pct"/>
            <w:vMerge/>
            <w:noWrap/>
            <w:hideMark/>
          </w:tcPr>
          <w:p w:rsidR="001A6556" w:rsidRPr="00492372" w:rsidRDefault="001A6556" w:rsidP="00E011B7">
            <w:pPr>
              <w:spacing w:after="0"/>
              <w:rPr>
                <w:rFonts w:eastAsia="Times New Roman"/>
              </w:rPr>
            </w:pPr>
          </w:p>
        </w:tc>
        <w:tc>
          <w:tcPr>
            <w:tcW w:w="1137" w:type="pct"/>
            <w:noWrap/>
            <w:hideMark/>
          </w:tcPr>
          <w:p w:rsidR="001A6556" w:rsidRPr="00492372" w:rsidRDefault="001A6556" w:rsidP="00E011B7">
            <w:pPr>
              <w:spacing w:after="0"/>
              <w:cnfStyle w:val="000000000000"/>
              <w:rPr>
                <w:rFonts w:eastAsia="Times New Roman"/>
              </w:rPr>
            </w:pPr>
            <w:r w:rsidRPr="00492372">
              <w:rPr>
                <w:rFonts w:eastAsia="Times New Roman"/>
              </w:rPr>
              <w:t>High price</w:t>
            </w:r>
          </w:p>
        </w:tc>
        <w:tc>
          <w:tcPr>
            <w:tcW w:w="832" w:type="pct"/>
            <w:noWrap/>
            <w:hideMark/>
          </w:tcPr>
          <w:p w:rsidR="001A6556" w:rsidRPr="00492372" w:rsidRDefault="001A6556" w:rsidP="00E011B7">
            <w:pPr>
              <w:spacing w:after="0"/>
              <w:jc w:val="center"/>
              <w:cnfStyle w:val="000000000000"/>
              <w:rPr>
                <w:rFonts w:eastAsia="Times New Roman"/>
              </w:rPr>
            </w:pPr>
            <w:r w:rsidRPr="00492372">
              <w:rPr>
                <w:rFonts w:eastAsia="Times New Roman"/>
              </w:rPr>
              <w:t>15</w:t>
            </w:r>
          </w:p>
        </w:tc>
        <w:tc>
          <w:tcPr>
            <w:tcW w:w="832" w:type="pct"/>
            <w:noWrap/>
            <w:hideMark/>
          </w:tcPr>
          <w:p w:rsidR="001A6556" w:rsidRPr="00492372" w:rsidRDefault="001A6556" w:rsidP="00E011B7">
            <w:pPr>
              <w:spacing w:after="0"/>
              <w:jc w:val="center"/>
              <w:cnfStyle w:val="000000000000"/>
              <w:rPr>
                <w:rFonts w:eastAsia="Times New Roman"/>
              </w:rPr>
            </w:pPr>
            <w:r w:rsidRPr="00492372">
              <w:rPr>
                <w:rFonts w:eastAsia="Times New Roman"/>
              </w:rPr>
              <w:t>15</w:t>
            </w:r>
          </w:p>
        </w:tc>
        <w:tc>
          <w:tcPr>
            <w:tcW w:w="1431" w:type="pct"/>
            <w:noWrap/>
            <w:hideMark/>
          </w:tcPr>
          <w:p w:rsidR="001A6556" w:rsidRPr="00492372" w:rsidRDefault="001A6556" w:rsidP="00E011B7">
            <w:pPr>
              <w:spacing w:after="0"/>
              <w:jc w:val="center"/>
              <w:cnfStyle w:val="000000000000"/>
              <w:rPr>
                <w:rFonts w:eastAsia="Times New Roman"/>
              </w:rPr>
            </w:pPr>
            <w:r w:rsidRPr="00492372">
              <w:rPr>
                <w:rFonts w:eastAsia="Times New Roman"/>
              </w:rPr>
              <w:t>17.5</w:t>
            </w:r>
          </w:p>
        </w:tc>
      </w:tr>
      <w:tr w:rsidR="001A6556" w:rsidRPr="00492372" w:rsidTr="00E011B7">
        <w:trPr>
          <w:cnfStyle w:val="000000100000"/>
          <w:trHeight w:val="300"/>
        </w:trPr>
        <w:tc>
          <w:tcPr>
            <w:cnfStyle w:val="001000000000"/>
            <w:tcW w:w="768" w:type="pct"/>
            <w:vMerge/>
            <w:noWrap/>
            <w:hideMark/>
          </w:tcPr>
          <w:p w:rsidR="001A6556" w:rsidRPr="00492372" w:rsidRDefault="001A6556" w:rsidP="00E011B7">
            <w:pPr>
              <w:spacing w:after="0"/>
              <w:rPr>
                <w:rFonts w:eastAsia="Times New Roman"/>
              </w:rPr>
            </w:pPr>
          </w:p>
        </w:tc>
        <w:tc>
          <w:tcPr>
            <w:tcW w:w="1137" w:type="pct"/>
            <w:noWrap/>
            <w:hideMark/>
          </w:tcPr>
          <w:p w:rsidR="001A6556" w:rsidRPr="00492372" w:rsidRDefault="001A6556" w:rsidP="00E011B7">
            <w:pPr>
              <w:spacing w:after="0"/>
              <w:cnfStyle w:val="000000100000"/>
              <w:rPr>
                <w:rFonts w:eastAsia="Times New Roman"/>
              </w:rPr>
            </w:pPr>
            <w:r w:rsidRPr="00492372">
              <w:rPr>
                <w:rFonts w:eastAsia="Times New Roman"/>
              </w:rPr>
              <w:t>No carbon price</w:t>
            </w:r>
          </w:p>
        </w:tc>
        <w:tc>
          <w:tcPr>
            <w:tcW w:w="832" w:type="pct"/>
            <w:noWrap/>
            <w:hideMark/>
          </w:tcPr>
          <w:p w:rsidR="001A6556" w:rsidRPr="00492372" w:rsidRDefault="001A6556" w:rsidP="00E011B7">
            <w:pPr>
              <w:spacing w:after="0"/>
              <w:jc w:val="center"/>
              <w:cnfStyle w:val="000000100000"/>
              <w:rPr>
                <w:rFonts w:eastAsia="Times New Roman"/>
              </w:rPr>
            </w:pPr>
            <w:r w:rsidRPr="00492372">
              <w:rPr>
                <w:rFonts w:eastAsia="Times New Roman"/>
              </w:rPr>
              <w:t>10</w:t>
            </w:r>
          </w:p>
        </w:tc>
        <w:tc>
          <w:tcPr>
            <w:tcW w:w="832" w:type="pct"/>
            <w:noWrap/>
            <w:hideMark/>
          </w:tcPr>
          <w:p w:rsidR="001A6556" w:rsidRPr="00492372" w:rsidRDefault="001A6556" w:rsidP="00E011B7">
            <w:pPr>
              <w:spacing w:after="0"/>
              <w:jc w:val="center"/>
              <w:cnfStyle w:val="000000100000"/>
              <w:rPr>
                <w:rFonts w:eastAsia="Times New Roman"/>
              </w:rPr>
            </w:pPr>
            <w:r w:rsidRPr="00492372">
              <w:rPr>
                <w:rFonts w:eastAsia="Times New Roman"/>
              </w:rPr>
              <w:t>10</w:t>
            </w:r>
          </w:p>
        </w:tc>
        <w:tc>
          <w:tcPr>
            <w:tcW w:w="1431" w:type="pct"/>
            <w:noWrap/>
            <w:hideMark/>
          </w:tcPr>
          <w:p w:rsidR="001A6556" w:rsidRPr="00492372" w:rsidRDefault="001A6556" w:rsidP="00E011B7">
            <w:pPr>
              <w:spacing w:after="0"/>
              <w:jc w:val="center"/>
              <w:cnfStyle w:val="000000100000"/>
              <w:rPr>
                <w:rFonts w:eastAsia="Times New Roman"/>
              </w:rPr>
            </w:pPr>
            <w:r w:rsidRPr="00492372">
              <w:rPr>
                <w:rFonts w:eastAsia="Times New Roman"/>
              </w:rPr>
              <w:t>10</w:t>
            </w:r>
          </w:p>
        </w:tc>
      </w:tr>
      <w:tr w:rsidR="001A6556" w:rsidRPr="00492372" w:rsidTr="00E011B7">
        <w:trPr>
          <w:trHeight w:val="300"/>
        </w:trPr>
        <w:tc>
          <w:tcPr>
            <w:cnfStyle w:val="001000000000"/>
            <w:tcW w:w="768" w:type="pct"/>
            <w:vMerge w:val="restart"/>
            <w:noWrap/>
            <w:hideMark/>
          </w:tcPr>
          <w:p w:rsidR="001A6556" w:rsidRPr="00492372" w:rsidRDefault="001A6556" w:rsidP="00E011B7">
            <w:pPr>
              <w:spacing w:after="0"/>
              <w:rPr>
                <w:rFonts w:eastAsia="Times New Roman"/>
              </w:rPr>
            </w:pPr>
            <w:r w:rsidRPr="00492372">
              <w:rPr>
                <w:rFonts w:eastAsia="Times New Roman"/>
              </w:rPr>
              <w:t>Aviation</w:t>
            </w:r>
          </w:p>
        </w:tc>
        <w:tc>
          <w:tcPr>
            <w:tcW w:w="1137" w:type="pct"/>
            <w:noWrap/>
            <w:hideMark/>
          </w:tcPr>
          <w:p w:rsidR="001A6556" w:rsidRPr="00492372" w:rsidRDefault="001A6556" w:rsidP="00E011B7">
            <w:pPr>
              <w:spacing w:after="0"/>
              <w:cnfStyle w:val="000000000000"/>
              <w:rPr>
                <w:rFonts w:eastAsia="Times New Roman"/>
              </w:rPr>
            </w:pPr>
            <w:r w:rsidRPr="00492372">
              <w:rPr>
                <w:rFonts w:eastAsia="Times New Roman"/>
              </w:rPr>
              <w:t>Central policy</w:t>
            </w:r>
          </w:p>
        </w:tc>
        <w:tc>
          <w:tcPr>
            <w:tcW w:w="832" w:type="pct"/>
            <w:noWrap/>
            <w:hideMark/>
          </w:tcPr>
          <w:p w:rsidR="001A6556" w:rsidRPr="00492372" w:rsidRDefault="001A6556" w:rsidP="00E011B7">
            <w:pPr>
              <w:spacing w:after="0"/>
              <w:jc w:val="center"/>
              <w:cnfStyle w:val="000000000000"/>
              <w:rPr>
                <w:rFonts w:eastAsia="Times New Roman"/>
              </w:rPr>
            </w:pPr>
            <w:r w:rsidRPr="00492372">
              <w:rPr>
                <w:rFonts w:eastAsia="Times New Roman"/>
              </w:rPr>
              <w:t>modelled</w:t>
            </w:r>
          </w:p>
        </w:tc>
        <w:tc>
          <w:tcPr>
            <w:tcW w:w="832" w:type="pct"/>
            <w:noWrap/>
            <w:hideMark/>
          </w:tcPr>
          <w:p w:rsidR="001A6556" w:rsidRPr="00492372" w:rsidRDefault="001A6556" w:rsidP="00E011B7">
            <w:pPr>
              <w:spacing w:after="0"/>
              <w:jc w:val="center"/>
              <w:cnfStyle w:val="000000000000"/>
              <w:rPr>
                <w:rFonts w:eastAsia="Times New Roman"/>
              </w:rPr>
            </w:pPr>
            <w:r w:rsidRPr="00492372">
              <w:rPr>
                <w:rFonts w:eastAsia="Times New Roman"/>
              </w:rPr>
              <w:t>modelled</w:t>
            </w:r>
          </w:p>
        </w:tc>
        <w:tc>
          <w:tcPr>
            <w:tcW w:w="1431" w:type="pct"/>
            <w:noWrap/>
            <w:hideMark/>
          </w:tcPr>
          <w:p w:rsidR="001A6556" w:rsidRPr="00492372" w:rsidRDefault="001A6556" w:rsidP="00E011B7">
            <w:pPr>
              <w:spacing w:after="0"/>
              <w:jc w:val="center"/>
              <w:cnfStyle w:val="000000000000"/>
              <w:rPr>
                <w:rFonts w:eastAsia="Times New Roman"/>
              </w:rPr>
            </w:pPr>
            <w:r w:rsidRPr="00492372">
              <w:rPr>
                <w:rFonts w:eastAsia="Times New Roman"/>
              </w:rPr>
              <w:t>25</w:t>
            </w:r>
          </w:p>
        </w:tc>
      </w:tr>
      <w:tr w:rsidR="001A6556" w:rsidRPr="00492372" w:rsidTr="00E011B7">
        <w:trPr>
          <w:cnfStyle w:val="000000100000"/>
          <w:trHeight w:val="300"/>
        </w:trPr>
        <w:tc>
          <w:tcPr>
            <w:cnfStyle w:val="001000000000"/>
            <w:tcW w:w="768" w:type="pct"/>
            <w:vMerge/>
            <w:noWrap/>
            <w:hideMark/>
          </w:tcPr>
          <w:p w:rsidR="001A6556" w:rsidRPr="00492372" w:rsidRDefault="001A6556" w:rsidP="00E011B7">
            <w:pPr>
              <w:spacing w:after="0"/>
              <w:rPr>
                <w:rFonts w:eastAsia="Times New Roman"/>
              </w:rPr>
            </w:pPr>
          </w:p>
        </w:tc>
        <w:tc>
          <w:tcPr>
            <w:tcW w:w="1137" w:type="pct"/>
            <w:noWrap/>
            <w:hideMark/>
          </w:tcPr>
          <w:p w:rsidR="001A6556" w:rsidRPr="00492372" w:rsidRDefault="001A6556" w:rsidP="00E011B7">
            <w:pPr>
              <w:spacing w:after="0"/>
              <w:cnfStyle w:val="000000100000"/>
              <w:rPr>
                <w:rFonts w:eastAsia="Times New Roman"/>
              </w:rPr>
            </w:pPr>
            <w:r w:rsidRPr="00492372">
              <w:rPr>
                <w:rFonts w:eastAsia="Times New Roman"/>
              </w:rPr>
              <w:t>Low price</w:t>
            </w:r>
          </w:p>
        </w:tc>
        <w:tc>
          <w:tcPr>
            <w:tcW w:w="832" w:type="pct"/>
            <w:noWrap/>
            <w:hideMark/>
          </w:tcPr>
          <w:p w:rsidR="001A6556" w:rsidRPr="00492372" w:rsidRDefault="001A6556" w:rsidP="00E011B7">
            <w:pPr>
              <w:spacing w:after="0"/>
              <w:jc w:val="center"/>
              <w:cnfStyle w:val="000000100000"/>
              <w:rPr>
                <w:rFonts w:eastAsia="Times New Roman"/>
              </w:rPr>
            </w:pPr>
            <w:r w:rsidRPr="00492372">
              <w:rPr>
                <w:rFonts w:eastAsia="Times New Roman"/>
              </w:rPr>
              <w:t>modelled</w:t>
            </w:r>
          </w:p>
        </w:tc>
        <w:tc>
          <w:tcPr>
            <w:tcW w:w="832" w:type="pct"/>
            <w:noWrap/>
            <w:hideMark/>
          </w:tcPr>
          <w:p w:rsidR="001A6556" w:rsidRPr="00492372" w:rsidRDefault="001A6556" w:rsidP="00E011B7">
            <w:pPr>
              <w:spacing w:after="0"/>
              <w:jc w:val="center"/>
              <w:cnfStyle w:val="000000100000"/>
              <w:rPr>
                <w:rFonts w:eastAsia="Times New Roman"/>
              </w:rPr>
            </w:pPr>
            <w:r w:rsidRPr="00492372">
              <w:rPr>
                <w:rFonts w:eastAsia="Times New Roman"/>
              </w:rPr>
              <w:t>modelled</w:t>
            </w:r>
          </w:p>
        </w:tc>
        <w:tc>
          <w:tcPr>
            <w:tcW w:w="1431" w:type="pct"/>
            <w:noWrap/>
            <w:hideMark/>
          </w:tcPr>
          <w:p w:rsidR="001A6556" w:rsidRPr="00492372" w:rsidRDefault="001A6556" w:rsidP="00E011B7">
            <w:pPr>
              <w:spacing w:after="0"/>
              <w:jc w:val="center"/>
              <w:cnfStyle w:val="000000100000"/>
              <w:rPr>
                <w:rFonts w:eastAsia="Times New Roman"/>
              </w:rPr>
            </w:pPr>
            <w:r w:rsidRPr="00492372">
              <w:rPr>
                <w:rFonts w:eastAsia="Times New Roman"/>
              </w:rPr>
              <w:t>22.5</w:t>
            </w:r>
          </w:p>
        </w:tc>
      </w:tr>
      <w:tr w:rsidR="001A6556" w:rsidRPr="00492372" w:rsidTr="00E011B7">
        <w:trPr>
          <w:trHeight w:val="300"/>
        </w:trPr>
        <w:tc>
          <w:tcPr>
            <w:cnfStyle w:val="001000000000"/>
            <w:tcW w:w="768" w:type="pct"/>
            <w:vMerge/>
            <w:noWrap/>
            <w:hideMark/>
          </w:tcPr>
          <w:p w:rsidR="001A6556" w:rsidRPr="00492372" w:rsidRDefault="001A6556" w:rsidP="00E011B7">
            <w:pPr>
              <w:spacing w:after="0"/>
              <w:rPr>
                <w:rFonts w:eastAsia="Times New Roman"/>
              </w:rPr>
            </w:pPr>
          </w:p>
        </w:tc>
        <w:tc>
          <w:tcPr>
            <w:tcW w:w="1137" w:type="pct"/>
            <w:noWrap/>
            <w:hideMark/>
          </w:tcPr>
          <w:p w:rsidR="001A6556" w:rsidRPr="00492372" w:rsidRDefault="001A6556" w:rsidP="00E011B7">
            <w:pPr>
              <w:spacing w:after="0"/>
              <w:cnfStyle w:val="000000000000"/>
              <w:rPr>
                <w:rFonts w:eastAsia="Times New Roman"/>
              </w:rPr>
            </w:pPr>
            <w:r w:rsidRPr="00492372">
              <w:rPr>
                <w:rFonts w:eastAsia="Times New Roman"/>
              </w:rPr>
              <w:t>High price</w:t>
            </w:r>
          </w:p>
        </w:tc>
        <w:tc>
          <w:tcPr>
            <w:tcW w:w="832" w:type="pct"/>
            <w:noWrap/>
            <w:hideMark/>
          </w:tcPr>
          <w:p w:rsidR="001A6556" w:rsidRPr="00492372" w:rsidRDefault="001A6556" w:rsidP="00E011B7">
            <w:pPr>
              <w:spacing w:after="0"/>
              <w:jc w:val="center"/>
              <w:cnfStyle w:val="000000000000"/>
              <w:rPr>
                <w:rFonts w:eastAsia="Times New Roman"/>
              </w:rPr>
            </w:pPr>
            <w:r w:rsidRPr="00492372">
              <w:rPr>
                <w:rFonts w:eastAsia="Times New Roman"/>
              </w:rPr>
              <w:t>modelled</w:t>
            </w:r>
          </w:p>
        </w:tc>
        <w:tc>
          <w:tcPr>
            <w:tcW w:w="832" w:type="pct"/>
            <w:noWrap/>
            <w:hideMark/>
          </w:tcPr>
          <w:p w:rsidR="001A6556" w:rsidRPr="00492372" w:rsidRDefault="001A6556" w:rsidP="00E011B7">
            <w:pPr>
              <w:spacing w:after="0"/>
              <w:jc w:val="center"/>
              <w:cnfStyle w:val="000000000000"/>
              <w:rPr>
                <w:rFonts w:eastAsia="Times New Roman"/>
              </w:rPr>
            </w:pPr>
            <w:r w:rsidRPr="00492372">
              <w:rPr>
                <w:rFonts w:eastAsia="Times New Roman"/>
              </w:rPr>
              <w:t>modelled</w:t>
            </w:r>
          </w:p>
        </w:tc>
        <w:tc>
          <w:tcPr>
            <w:tcW w:w="1431" w:type="pct"/>
            <w:noWrap/>
            <w:hideMark/>
          </w:tcPr>
          <w:p w:rsidR="001A6556" w:rsidRPr="00492372" w:rsidRDefault="001A6556" w:rsidP="00E011B7">
            <w:pPr>
              <w:spacing w:after="0"/>
              <w:jc w:val="center"/>
              <w:cnfStyle w:val="000000000000"/>
              <w:rPr>
                <w:rFonts w:eastAsia="Times New Roman"/>
              </w:rPr>
            </w:pPr>
            <w:r w:rsidRPr="00492372">
              <w:rPr>
                <w:rFonts w:eastAsia="Times New Roman"/>
              </w:rPr>
              <w:t>27.5</w:t>
            </w:r>
          </w:p>
        </w:tc>
      </w:tr>
      <w:tr w:rsidR="001A6556" w:rsidRPr="00492372" w:rsidTr="00E011B7">
        <w:trPr>
          <w:cnfStyle w:val="000000100000"/>
          <w:trHeight w:val="300"/>
        </w:trPr>
        <w:tc>
          <w:tcPr>
            <w:cnfStyle w:val="001000000000"/>
            <w:tcW w:w="768" w:type="pct"/>
            <w:vMerge/>
            <w:noWrap/>
            <w:hideMark/>
          </w:tcPr>
          <w:p w:rsidR="001A6556" w:rsidRPr="00492372" w:rsidRDefault="001A6556" w:rsidP="00E011B7">
            <w:pPr>
              <w:spacing w:after="0"/>
              <w:rPr>
                <w:rFonts w:eastAsia="Times New Roman"/>
              </w:rPr>
            </w:pPr>
          </w:p>
        </w:tc>
        <w:tc>
          <w:tcPr>
            <w:tcW w:w="1137" w:type="pct"/>
            <w:noWrap/>
            <w:hideMark/>
          </w:tcPr>
          <w:p w:rsidR="001A6556" w:rsidRPr="00492372" w:rsidRDefault="001A6556" w:rsidP="00E011B7">
            <w:pPr>
              <w:spacing w:after="0"/>
              <w:cnfStyle w:val="000000100000"/>
              <w:rPr>
                <w:rFonts w:eastAsia="Times New Roman"/>
              </w:rPr>
            </w:pPr>
            <w:r w:rsidRPr="00492372">
              <w:rPr>
                <w:rFonts w:eastAsia="Times New Roman"/>
              </w:rPr>
              <w:t>No carbon price</w:t>
            </w:r>
          </w:p>
        </w:tc>
        <w:tc>
          <w:tcPr>
            <w:tcW w:w="832" w:type="pct"/>
            <w:noWrap/>
            <w:hideMark/>
          </w:tcPr>
          <w:p w:rsidR="001A6556" w:rsidRPr="00492372" w:rsidRDefault="001A6556" w:rsidP="00E011B7">
            <w:pPr>
              <w:spacing w:after="0"/>
              <w:jc w:val="center"/>
              <w:cnfStyle w:val="000000100000"/>
              <w:rPr>
                <w:rFonts w:eastAsia="Times New Roman"/>
              </w:rPr>
            </w:pPr>
            <w:r w:rsidRPr="00492372">
              <w:rPr>
                <w:rFonts w:eastAsia="Times New Roman"/>
              </w:rPr>
              <w:t>modelled</w:t>
            </w:r>
          </w:p>
        </w:tc>
        <w:tc>
          <w:tcPr>
            <w:tcW w:w="832" w:type="pct"/>
            <w:noWrap/>
            <w:hideMark/>
          </w:tcPr>
          <w:p w:rsidR="001A6556" w:rsidRPr="00492372" w:rsidRDefault="001A6556" w:rsidP="00E011B7">
            <w:pPr>
              <w:spacing w:after="0"/>
              <w:jc w:val="center"/>
              <w:cnfStyle w:val="000000100000"/>
              <w:rPr>
                <w:rFonts w:eastAsia="Times New Roman"/>
              </w:rPr>
            </w:pPr>
            <w:r w:rsidRPr="00492372">
              <w:rPr>
                <w:rFonts w:eastAsia="Times New Roman"/>
              </w:rPr>
              <w:t>modelled</w:t>
            </w:r>
          </w:p>
        </w:tc>
        <w:tc>
          <w:tcPr>
            <w:tcW w:w="1431" w:type="pct"/>
            <w:noWrap/>
            <w:hideMark/>
          </w:tcPr>
          <w:p w:rsidR="001A6556" w:rsidRPr="00492372" w:rsidRDefault="001A6556" w:rsidP="00E011B7">
            <w:pPr>
              <w:spacing w:after="0"/>
              <w:jc w:val="center"/>
              <w:cnfStyle w:val="000000100000"/>
              <w:rPr>
                <w:rFonts w:eastAsia="Times New Roman"/>
              </w:rPr>
            </w:pPr>
            <w:r w:rsidRPr="00492372">
              <w:rPr>
                <w:rFonts w:eastAsia="Times New Roman"/>
              </w:rPr>
              <w:t>20</w:t>
            </w:r>
          </w:p>
        </w:tc>
      </w:tr>
    </w:tbl>
    <w:p w:rsidR="001A6556" w:rsidRPr="002C06C7" w:rsidRDefault="001A6556" w:rsidP="001A6556"/>
    <w:p w:rsidR="001A6556" w:rsidRPr="002C06C7" w:rsidRDefault="001A6556" w:rsidP="001A6556">
      <w:pPr>
        <w:pStyle w:val="Heading3"/>
        <w:tabs>
          <w:tab w:val="num" w:pos="643"/>
        </w:tabs>
        <w:suppressAutoHyphens/>
        <w:spacing w:before="240"/>
        <w:ind w:left="643" w:hanging="360"/>
      </w:pPr>
      <w:bookmarkStart w:id="56" w:name="_Toc306802119"/>
      <w:r>
        <w:t>Constraints on</w:t>
      </w:r>
      <w:r w:rsidRPr="002C06C7">
        <w:t xml:space="preserve"> the </w:t>
      </w:r>
      <w:r>
        <w:t>deployment</w:t>
      </w:r>
      <w:r w:rsidRPr="002C06C7">
        <w:t xml:space="preserve"> of alternative fuel infrastructure</w:t>
      </w:r>
      <w:bookmarkEnd w:id="56"/>
    </w:p>
    <w:p w:rsidR="001A6556" w:rsidRDefault="001A6556" w:rsidP="001A6556">
      <w:r>
        <w:t>Whilst ESM largely determines the uptake of alternative fuels on the basis of cost competitiveness, the rate at which alternative fuels can increase their share of the overall fuel mix is controlled by infrastructure constraints. Each fuel has its own unique vehicle and fuel distribution infrastructure requirements and the need to deploy this new infrastructure is the main source of delay in deploying new fuels into the fuel mix.</w:t>
      </w:r>
    </w:p>
    <w:p w:rsidR="001A6556" w:rsidRDefault="001A6556" w:rsidP="001A6556"/>
    <w:p w:rsidR="001A6556" w:rsidRDefault="001A6556" w:rsidP="001A6556">
      <w:pPr>
        <w:pStyle w:val="Heading4"/>
      </w:pPr>
      <w:r w:rsidRPr="002C06C7">
        <w:t>Natural Gas (LNG/CNG)</w:t>
      </w:r>
    </w:p>
    <w:p w:rsidR="001A6556" w:rsidRDefault="001A6556" w:rsidP="001A6556">
      <w:r>
        <w:t xml:space="preserve">Australia has an existing natural gas pipeline network and the technology for compressing or liquefying natural gas is well developed. Although very limited, some public compressed natural gas fuelling stations are available. </w:t>
      </w:r>
      <w:r w:rsidR="00584961">
        <w:t>Alternatively it is assumed h</w:t>
      </w:r>
      <w:r>
        <w:t>ome natural gas compression appliances can be purchased. LNG processing and fuelling stations would need to be developed at freight hubs. However, there is no reason to assume this would cause a long term delay.</w:t>
      </w:r>
    </w:p>
    <w:p w:rsidR="00387742" w:rsidRDefault="001A6556" w:rsidP="00A3284F">
      <w:pPr>
        <w:spacing w:after="0"/>
      </w:pPr>
      <w:r>
        <w:t xml:space="preserve">It is assumed that the supply of natural gas vehicles would be limited for a period. </w:t>
      </w:r>
      <w:proofErr w:type="gramStart"/>
      <w:r>
        <w:t xml:space="preserve">The economics of global vehicle manufacturing facilities results in some delay or lag between when the market signals demand for a new vehicle type, and when manufacturers increase </w:t>
      </w:r>
      <w:r w:rsidR="00584961">
        <w:t>the</w:t>
      </w:r>
      <w:r w:rsidR="000C66A5">
        <w:t>i</w:t>
      </w:r>
      <w:r w:rsidR="00584961">
        <w:t>r</w:t>
      </w:r>
      <w:r>
        <w:t xml:space="preserve"> supply.</w:t>
      </w:r>
      <w:proofErr w:type="gramEnd"/>
      <w:r>
        <w:t xml:space="preserve"> </w:t>
      </w:r>
      <w:r w:rsidR="00584961">
        <w:t xml:space="preserve">Demand is expected to be driven by the opportunity to save on fuel costs relative to diesel and petrol. </w:t>
      </w:r>
      <w:r>
        <w:t>The assumed rate of increase in CNG and LNG vehicles is shown in</w:t>
      </w:r>
      <w:r w:rsidR="00A3284F">
        <w:t xml:space="preserve"> Table 4</w:t>
      </w:r>
      <w:r w:rsidR="00A3284F">
        <w:noBreakHyphen/>
        <w:t xml:space="preserve">5. </w:t>
      </w:r>
      <w:bookmarkStart w:id="57" w:name="_Ref365649289"/>
      <w:bookmarkStart w:id="58" w:name="_Toc306802265"/>
    </w:p>
    <w:p w:rsidR="00A3284F" w:rsidRDefault="00A3284F" w:rsidP="00A3284F">
      <w:pPr>
        <w:spacing w:after="0"/>
      </w:pPr>
    </w:p>
    <w:p w:rsidR="00A3284F" w:rsidRDefault="00A3284F">
      <w:pPr>
        <w:spacing w:after="0"/>
        <w:rPr>
          <w:b/>
          <w:bCs/>
          <w:color w:val="00A9CE" w:themeColor="accent1"/>
          <w:sz w:val="20"/>
          <w:szCs w:val="18"/>
        </w:rPr>
      </w:pPr>
      <w:bookmarkStart w:id="59" w:name="_Toc366227383"/>
      <w:r>
        <w:br w:type="page"/>
      </w:r>
    </w:p>
    <w:p w:rsidR="001A6556" w:rsidRDefault="001A6556" w:rsidP="001A6556">
      <w:pPr>
        <w:pStyle w:val="Caption"/>
      </w:pPr>
      <w:r>
        <w:lastRenderedPageBreak/>
        <w:t xml:space="preserve">Table </w:t>
      </w:r>
      <w:r w:rsidR="00C14EF7">
        <w:fldChar w:fldCharType="begin"/>
      </w:r>
      <w:r w:rsidR="00970F7D">
        <w:instrText xml:space="preserve"> STYLEREF 1 \s </w:instrText>
      </w:r>
      <w:r w:rsidR="00C14EF7">
        <w:fldChar w:fldCharType="separate"/>
      </w:r>
      <w:r w:rsidR="003E0F65">
        <w:rPr>
          <w:noProof/>
        </w:rPr>
        <w:t>4</w:t>
      </w:r>
      <w:r w:rsidR="00C14EF7">
        <w:rPr>
          <w:noProof/>
        </w:rPr>
        <w:fldChar w:fldCharType="end"/>
      </w:r>
      <w:r w:rsidR="00AB35C1">
        <w:noBreakHyphen/>
      </w:r>
      <w:r w:rsidR="00C14EF7">
        <w:fldChar w:fldCharType="begin"/>
      </w:r>
      <w:r w:rsidR="00970F7D">
        <w:instrText xml:space="preserve"> SEQ Table \* ARABIC \s 1 </w:instrText>
      </w:r>
      <w:r w:rsidR="00C14EF7">
        <w:fldChar w:fldCharType="separate"/>
      </w:r>
      <w:r w:rsidR="003E0F65">
        <w:rPr>
          <w:noProof/>
        </w:rPr>
        <w:t>5</w:t>
      </w:r>
      <w:r w:rsidR="00C14EF7">
        <w:rPr>
          <w:noProof/>
        </w:rPr>
        <w:fldChar w:fldCharType="end"/>
      </w:r>
      <w:bookmarkEnd w:id="57"/>
      <w:r>
        <w:t>: CN</w:t>
      </w:r>
      <w:r w:rsidR="00584961">
        <w:t>G</w:t>
      </w:r>
      <w:r>
        <w:t xml:space="preserve"> and LNG vehicle supply assumptions</w:t>
      </w:r>
      <w:bookmarkEnd w:id="58"/>
      <w:bookmarkEnd w:id="59"/>
    </w:p>
    <w:tbl>
      <w:tblPr>
        <w:tblStyle w:val="LightList-Accent12"/>
        <w:tblW w:w="5000" w:type="pct"/>
        <w:tblLook w:val="00A0"/>
      </w:tblPr>
      <w:tblGrid>
        <w:gridCol w:w="2179"/>
        <w:gridCol w:w="2178"/>
        <w:gridCol w:w="2178"/>
        <w:gridCol w:w="2178"/>
      </w:tblGrid>
      <w:tr w:rsidR="001A6556" w:rsidRPr="00AA65EB" w:rsidTr="00E011B7">
        <w:trPr>
          <w:cnfStyle w:val="100000000000"/>
        </w:trPr>
        <w:tc>
          <w:tcPr>
            <w:cnfStyle w:val="001000000000"/>
            <w:tcW w:w="1250" w:type="pct"/>
          </w:tcPr>
          <w:p w:rsidR="001A6556" w:rsidRPr="007D4A8A" w:rsidRDefault="001A6556" w:rsidP="00E011B7">
            <w:pPr>
              <w:rPr>
                <w:b w:val="0"/>
                <w:bCs w:val="0"/>
                <w:color w:val="FFFFFF"/>
              </w:rPr>
            </w:pPr>
          </w:p>
        </w:tc>
        <w:tc>
          <w:tcPr>
            <w:cnfStyle w:val="000010000000"/>
            <w:tcW w:w="1250" w:type="pct"/>
          </w:tcPr>
          <w:p w:rsidR="001A6556" w:rsidRPr="007D4A8A" w:rsidRDefault="001A6556" w:rsidP="00E011B7">
            <w:pPr>
              <w:rPr>
                <w:b w:val="0"/>
                <w:bCs w:val="0"/>
                <w:color w:val="FFFFFF"/>
              </w:rPr>
            </w:pPr>
            <w:r w:rsidRPr="007D4A8A">
              <w:rPr>
                <w:b w:val="0"/>
                <w:bCs w:val="0"/>
                <w:color w:val="FFFFFF"/>
              </w:rPr>
              <w:t>2010-2015</w:t>
            </w:r>
          </w:p>
        </w:tc>
        <w:tc>
          <w:tcPr>
            <w:tcW w:w="1250" w:type="pct"/>
          </w:tcPr>
          <w:p w:rsidR="001A6556" w:rsidRPr="007D4A8A" w:rsidRDefault="001A6556" w:rsidP="00E011B7">
            <w:pPr>
              <w:cnfStyle w:val="100000000000"/>
              <w:rPr>
                <w:b w:val="0"/>
                <w:bCs w:val="0"/>
                <w:color w:val="FFFFFF"/>
              </w:rPr>
            </w:pPr>
            <w:r w:rsidRPr="007D4A8A">
              <w:rPr>
                <w:b w:val="0"/>
                <w:bCs w:val="0"/>
                <w:color w:val="FFFFFF"/>
              </w:rPr>
              <w:t>2015-2020</w:t>
            </w:r>
          </w:p>
        </w:tc>
        <w:tc>
          <w:tcPr>
            <w:cnfStyle w:val="000010000000"/>
            <w:tcW w:w="1250" w:type="pct"/>
          </w:tcPr>
          <w:p w:rsidR="001A6556" w:rsidRPr="007D4A8A" w:rsidRDefault="001A6556" w:rsidP="00E011B7">
            <w:pPr>
              <w:rPr>
                <w:b w:val="0"/>
                <w:bCs w:val="0"/>
                <w:color w:val="FFFFFF"/>
              </w:rPr>
            </w:pPr>
            <w:r w:rsidRPr="007D4A8A">
              <w:rPr>
                <w:b w:val="0"/>
                <w:bCs w:val="0"/>
                <w:color w:val="FFFFFF"/>
              </w:rPr>
              <w:t>After 2020</w:t>
            </w:r>
          </w:p>
        </w:tc>
      </w:tr>
      <w:tr w:rsidR="001A6556" w:rsidRPr="00AA65EB" w:rsidTr="00E011B7">
        <w:trPr>
          <w:cnfStyle w:val="000000100000"/>
        </w:trPr>
        <w:tc>
          <w:tcPr>
            <w:cnfStyle w:val="001000000000"/>
            <w:tcW w:w="1250" w:type="pct"/>
          </w:tcPr>
          <w:p w:rsidR="001A6556" w:rsidRPr="007D4A8A" w:rsidRDefault="001A6556" w:rsidP="00E011B7">
            <w:pPr>
              <w:rPr>
                <w:b w:val="0"/>
                <w:bCs w:val="0"/>
              </w:rPr>
            </w:pPr>
            <w:r w:rsidRPr="007D4A8A">
              <w:rPr>
                <w:b w:val="0"/>
                <w:bCs w:val="0"/>
              </w:rPr>
              <w:t>LNG trucks</w:t>
            </w:r>
          </w:p>
        </w:tc>
        <w:tc>
          <w:tcPr>
            <w:cnfStyle w:val="000010000000"/>
            <w:tcW w:w="1250" w:type="pct"/>
          </w:tcPr>
          <w:p w:rsidR="001A6556" w:rsidRPr="00AA65EB" w:rsidRDefault="009D78D3" w:rsidP="00E011B7">
            <w:r>
              <w:t>1500</w:t>
            </w:r>
          </w:p>
        </w:tc>
        <w:tc>
          <w:tcPr>
            <w:tcW w:w="1250" w:type="pct"/>
          </w:tcPr>
          <w:p w:rsidR="001A6556" w:rsidRPr="00AA65EB" w:rsidRDefault="009D78D3" w:rsidP="00E011B7">
            <w:pPr>
              <w:cnfStyle w:val="000000100000"/>
            </w:pPr>
            <w:r>
              <w:t>30</w:t>
            </w:r>
            <w:r w:rsidR="001A6556" w:rsidRPr="00AA65EB">
              <w:t>00</w:t>
            </w:r>
          </w:p>
        </w:tc>
        <w:tc>
          <w:tcPr>
            <w:cnfStyle w:val="000010000000"/>
            <w:tcW w:w="1250" w:type="pct"/>
          </w:tcPr>
          <w:p w:rsidR="001A6556" w:rsidRPr="00AA65EB" w:rsidRDefault="001A6556" w:rsidP="00E011B7">
            <w:r w:rsidRPr="00AA65EB">
              <w:t>unlimited</w:t>
            </w:r>
          </w:p>
        </w:tc>
      </w:tr>
      <w:tr w:rsidR="001A6556" w:rsidRPr="00AA65EB" w:rsidTr="00E011B7">
        <w:tc>
          <w:tcPr>
            <w:cnfStyle w:val="001000000000"/>
            <w:tcW w:w="1250" w:type="pct"/>
          </w:tcPr>
          <w:p w:rsidR="001A6556" w:rsidRPr="007D4A8A" w:rsidRDefault="001A6556" w:rsidP="00E011B7">
            <w:pPr>
              <w:rPr>
                <w:b w:val="0"/>
                <w:bCs w:val="0"/>
              </w:rPr>
            </w:pPr>
            <w:r w:rsidRPr="007D4A8A">
              <w:rPr>
                <w:b w:val="0"/>
                <w:bCs w:val="0"/>
              </w:rPr>
              <w:t>CNG vehicles</w:t>
            </w:r>
          </w:p>
        </w:tc>
        <w:tc>
          <w:tcPr>
            <w:cnfStyle w:val="000010000000"/>
            <w:tcW w:w="1250" w:type="pct"/>
          </w:tcPr>
          <w:p w:rsidR="001A6556" w:rsidRPr="00AA65EB" w:rsidRDefault="001A6556" w:rsidP="00E011B7">
            <w:r w:rsidRPr="00AA65EB">
              <w:t>25,000</w:t>
            </w:r>
          </w:p>
        </w:tc>
        <w:tc>
          <w:tcPr>
            <w:tcW w:w="1250" w:type="pct"/>
          </w:tcPr>
          <w:p w:rsidR="001A6556" w:rsidRPr="00AA65EB" w:rsidRDefault="001A6556" w:rsidP="00E011B7">
            <w:pPr>
              <w:cnfStyle w:val="000000000000"/>
            </w:pPr>
            <w:r w:rsidRPr="00AA65EB">
              <w:t>100,000</w:t>
            </w:r>
          </w:p>
        </w:tc>
        <w:tc>
          <w:tcPr>
            <w:cnfStyle w:val="000010000000"/>
            <w:tcW w:w="1250" w:type="pct"/>
          </w:tcPr>
          <w:p w:rsidR="001A6556" w:rsidRPr="00AA65EB" w:rsidRDefault="001A6556" w:rsidP="00E011B7">
            <w:r w:rsidRPr="00AA65EB">
              <w:t>100,000 increasing by 10,000 p.a.</w:t>
            </w:r>
          </w:p>
        </w:tc>
      </w:tr>
    </w:tbl>
    <w:p w:rsidR="001A6556" w:rsidRDefault="001A6556" w:rsidP="001A6556"/>
    <w:p w:rsidR="001A6556" w:rsidRPr="002C06C7" w:rsidRDefault="001A6556" w:rsidP="001A6556">
      <w:pPr>
        <w:pStyle w:val="Heading4"/>
      </w:pPr>
      <w:r w:rsidRPr="002C06C7">
        <w:t>Biofuels</w:t>
      </w:r>
    </w:p>
    <w:p w:rsidR="001A6556" w:rsidRDefault="001A6556" w:rsidP="001A6556">
      <w:r>
        <w:t>ESM includes a wide variety of biofuel feedstocks. Existing agricultural co-product feedstocks such as wheat starch, C-molasses, tallow and waste oil are assumed to be available immediately. A portion of the export fractions of agricultural products such as grain, sugar and canola are also assumed to be available but are generally too high cost to be taken up in the modelling. Collectively these feedstocks are termed “first generation”.</w:t>
      </w:r>
    </w:p>
    <w:p w:rsidR="001A6556" w:rsidRDefault="00304606" w:rsidP="001A6556">
      <w:r>
        <w:t>Advanced (s</w:t>
      </w:r>
      <w:r w:rsidR="001A6556">
        <w:t>econd and third) generation feedstocks include non-food resources, such as lignocellulose and in-edible biologically derived oils. Lignocellulosic sources include forest and forestry waste, crop stubble and coppice eucalypts. Biologically derived oils include pongamia and algae. Urban waste is another resource which may contain a mix of feedstocks but principally lignocellulose such as construction waste.</w:t>
      </w:r>
    </w:p>
    <w:p w:rsidR="001A6556" w:rsidRDefault="001A6556" w:rsidP="001A6556">
      <w:r>
        <w:t>No delay is assumed in the availability of first generation feedstocks. However, their supply is limited and, as discussed, some are not economically viable when food prices are high. Advanced generation feedstocks are assumed to be constrained in terms of how quickly they can be deployed for two reasons. The first is that they require new refining infrastructure to be built to accommodate their conversion into transport fuels. Lignocellulose resources are more generally available and there are some high density hot spots around Australia where relatively large plant could be developed. Refining processes and resources for biological oils are more suited to smaller scales. Further complicating the construction of biofuel refining plant is the fact that ideally some new lower cost refining processes need to be piloted, particularly in relation to converting lignocelluloses into hydrocarbon fuels, before being deployed at commercial scale.</w:t>
      </w:r>
    </w:p>
    <w:p w:rsidR="001A6556" w:rsidRDefault="001A6556" w:rsidP="001A6556">
      <w:r>
        <w:t>The assumptions for refining costs that have been included in the modelling are:</w:t>
      </w:r>
    </w:p>
    <w:p w:rsidR="001A6556" w:rsidRPr="00741703" w:rsidRDefault="001A6556" w:rsidP="00E5753E">
      <w:pPr>
        <w:pStyle w:val="ListParagraph"/>
        <w:numPr>
          <w:ilvl w:val="0"/>
          <w:numId w:val="16"/>
        </w:numPr>
        <w:rPr>
          <w:rFonts w:asciiTheme="minorHAnsi" w:hAnsiTheme="minorHAnsi"/>
        </w:rPr>
      </w:pPr>
      <w:r w:rsidRPr="00741703">
        <w:rPr>
          <w:rFonts w:asciiTheme="minorHAnsi" w:hAnsiTheme="minorHAnsi"/>
        </w:rPr>
        <w:t xml:space="preserve">Gasification/ Fischer-Tropsch: starting at 80c/Lpe (cents per litre of petrol equivalent) reducing by 70 percent over twenty years (partly as a proxy for other prospective lignocelluloses refining processes which are not yet proven, e.g. fast pyrolysis). </w:t>
      </w:r>
      <w:r w:rsidR="001F0672">
        <w:rPr>
          <w:rFonts w:asciiTheme="minorHAnsi" w:hAnsiTheme="minorHAnsi"/>
        </w:rPr>
        <w:t>T</w:t>
      </w:r>
      <w:r w:rsidRPr="00741703">
        <w:rPr>
          <w:rFonts w:asciiTheme="minorHAnsi" w:hAnsiTheme="minorHAnsi"/>
        </w:rPr>
        <w:t>his is consistent with IEA(2009) projections</w:t>
      </w:r>
    </w:p>
    <w:p w:rsidR="001A6556" w:rsidRPr="00741703" w:rsidRDefault="001A6556" w:rsidP="00E5753E">
      <w:pPr>
        <w:pStyle w:val="ListParagraph"/>
        <w:numPr>
          <w:ilvl w:val="0"/>
          <w:numId w:val="16"/>
        </w:numPr>
        <w:rPr>
          <w:rFonts w:asciiTheme="minorHAnsi" w:hAnsiTheme="minorHAnsi"/>
        </w:rPr>
      </w:pPr>
      <w:r w:rsidRPr="00741703">
        <w:rPr>
          <w:rFonts w:asciiTheme="minorHAnsi" w:hAnsiTheme="minorHAnsi"/>
        </w:rPr>
        <w:t>Saccharafication- starting at 22c/Lpe reducing by 25 percent over the next twenty years</w:t>
      </w:r>
    </w:p>
    <w:p w:rsidR="001A6556" w:rsidRPr="00741703" w:rsidRDefault="001A6556" w:rsidP="00E5753E">
      <w:pPr>
        <w:pStyle w:val="ListParagraph"/>
        <w:numPr>
          <w:ilvl w:val="0"/>
          <w:numId w:val="16"/>
        </w:numPr>
        <w:rPr>
          <w:rFonts w:asciiTheme="minorHAnsi" w:hAnsiTheme="minorHAnsi"/>
        </w:rPr>
      </w:pPr>
      <w:r w:rsidRPr="00741703">
        <w:rPr>
          <w:rFonts w:asciiTheme="minorHAnsi" w:hAnsiTheme="minorHAnsi"/>
        </w:rPr>
        <w:t>Deoxyhydrogenation – starting at 10c/Lpe reducing by 50% over the next twenty years.</w:t>
      </w:r>
    </w:p>
    <w:p w:rsidR="001A6556" w:rsidRDefault="001A6556" w:rsidP="001A6556"/>
    <w:p w:rsidR="001A6556" w:rsidRDefault="001A6556" w:rsidP="001A6556">
      <w:r>
        <w:t xml:space="preserve">The second constraint to the rate of deployment is that some feedstocks need to be cultivated before they become available. The development of coppice eucalypts as part of mixed farming and forestry systems would need to be planned and developed. No significant supplies currently exist. Similarly for potential biological oil resources such as pongamia and algae, </w:t>
      </w:r>
      <w:r>
        <w:lastRenderedPageBreak/>
        <w:t>these resources would need to be trialled and developed. In the case of pongamia, plantations would not produce the first oil bearing seeds until 7 years after initial planting.</w:t>
      </w:r>
    </w:p>
    <w:p w:rsidR="001A6556" w:rsidRDefault="001A6556" w:rsidP="001A6556">
      <w:r>
        <w:t xml:space="preserve">On the basis of these considerations, the supply constraints shown in </w:t>
      </w:r>
      <w:r w:rsidR="00C14EF7">
        <w:fldChar w:fldCharType="begin"/>
      </w:r>
      <w:r>
        <w:instrText xml:space="preserve"> REF _Ref365649497 \h </w:instrText>
      </w:r>
      <w:r w:rsidR="00C14EF7">
        <w:fldChar w:fldCharType="separate"/>
      </w:r>
      <w:r w:rsidR="003E0F65">
        <w:t xml:space="preserve">Table </w:t>
      </w:r>
      <w:r w:rsidR="003E0F65">
        <w:rPr>
          <w:noProof/>
        </w:rPr>
        <w:t>4</w:t>
      </w:r>
      <w:r w:rsidR="003E0F65">
        <w:noBreakHyphen/>
      </w:r>
      <w:r w:rsidR="003E0F65">
        <w:rPr>
          <w:noProof/>
        </w:rPr>
        <w:t>6</w:t>
      </w:r>
      <w:r w:rsidR="00C14EF7">
        <w:fldChar w:fldCharType="end"/>
      </w:r>
      <w:r>
        <w:t xml:space="preserve"> for next generation biofuel feedstocks have been applied in the modelling. For higher carbon price scenarios we increase volume that can be deployed per year and the timing of first refinery production.</w:t>
      </w:r>
    </w:p>
    <w:p w:rsidR="001A6556" w:rsidRDefault="001A6556" w:rsidP="001A6556">
      <w:pPr>
        <w:pStyle w:val="Caption"/>
      </w:pPr>
      <w:bookmarkStart w:id="60" w:name="_Ref365649497"/>
      <w:bookmarkStart w:id="61" w:name="_Toc306802266"/>
      <w:bookmarkStart w:id="62" w:name="_Toc366227384"/>
      <w:r>
        <w:t xml:space="preserve">Table </w:t>
      </w:r>
      <w:r w:rsidR="00C14EF7">
        <w:fldChar w:fldCharType="begin"/>
      </w:r>
      <w:r w:rsidR="00970F7D">
        <w:instrText xml:space="preserve"> STYLEREF 1 \s </w:instrText>
      </w:r>
      <w:r w:rsidR="00C14EF7">
        <w:fldChar w:fldCharType="separate"/>
      </w:r>
      <w:r w:rsidR="003E0F65">
        <w:rPr>
          <w:noProof/>
        </w:rPr>
        <w:t>4</w:t>
      </w:r>
      <w:r w:rsidR="00C14EF7">
        <w:rPr>
          <w:noProof/>
        </w:rPr>
        <w:fldChar w:fldCharType="end"/>
      </w:r>
      <w:r w:rsidR="00AB35C1">
        <w:noBreakHyphen/>
      </w:r>
      <w:r w:rsidR="00C14EF7">
        <w:fldChar w:fldCharType="begin"/>
      </w:r>
      <w:r w:rsidR="00970F7D">
        <w:instrText xml:space="preserve"> SEQ Table \* ARABIC \s 1 </w:instrText>
      </w:r>
      <w:r w:rsidR="00C14EF7">
        <w:fldChar w:fldCharType="separate"/>
      </w:r>
      <w:r w:rsidR="003E0F65">
        <w:rPr>
          <w:noProof/>
        </w:rPr>
        <w:t>6</w:t>
      </w:r>
      <w:r w:rsidR="00C14EF7">
        <w:rPr>
          <w:noProof/>
        </w:rPr>
        <w:fldChar w:fldCharType="end"/>
      </w:r>
      <w:bookmarkEnd w:id="60"/>
      <w:r>
        <w:t>: Advanced generation biofuel supply constraints by feedstock group</w:t>
      </w:r>
      <w:bookmarkEnd w:id="61"/>
      <w:bookmarkEnd w:id="62"/>
    </w:p>
    <w:tbl>
      <w:tblPr>
        <w:tblStyle w:val="LightList-Accent12"/>
        <w:tblW w:w="5000" w:type="pct"/>
        <w:tblLook w:val="00A0"/>
      </w:tblPr>
      <w:tblGrid>
        <w:gridCol w:w="2905"/>
        <w:gridCol w:w="2905"/>
        <w:gridCol w:w="2903"/>
      </w:tblGrid>
      <w:tr w:rsidR="001A6556" w:rsidRPr="00DA73A3" w:rsidTr="00975C0B">
        <w:trPr>
          <w:cnfStyle w:val="100000000000"/>
          <w:trHeight w:val="269"/>
        </w:trPr>
        <w:tc>
          <w:tcPr>
            <w:cnfStyle w:val="001000000000"/>
            <w:tcW w:w="1667" w:type="pct"/>
          </w:tcPr>
          <w:p w:rsidR="001A6556" w:rsidRPr="007D4A8A" w:rsidRDefault="001A6556" w:rsidP="00E011B7">
            <w:pPr>
              <w:rPr>
                <w:b w:val="0"/>
                <w:bCs w:val="0"/>
                <w:color w:val="FFFFFF"/>
              </w:rPr>
            </w:pPr>
          </w:p>
        </w:tc>
        <w:tc>
          <w:tcPr>
            <w:cnfStyle w:val="000010000000"/>
            <w:tcW w:w="1667" w:type="pct"/>
          </w:tcPr>
          <w:p w:rsidR="001A6556" w:rsidRPr="007D4A8A" w:rsidRDefault="001A6556" w:rsidP="00E011B7">
            <w:pPr>
              <w:rPr>
                <w:b w:val="0"/>
                <w:bCs w:val="0"/>
                <w:color w:val="FFFFFF"/>
              </w:rPr>
            </w:pPr>
            <w:r w:rsidRPr="007D4A8A">
              <w:rPr>
                <w:b w:val="0"/>
                <w:bCs w:val="0"/>
                <w:color w:val="FFFFFF"/>
              </w:rPr>
              <w:t>Before 2015</w:t>
            </w:r>
          </w:p>
        </w:tc>
        <w:tc>
          <w:tcPr>
            <w:tcW w:w="1666" w:type="pct"/>
          </w:tcPr>
          <w:p w:rsidR="001A6556" w:rsidRPr="007D4A8A" w:rsidRDefault="001A6556" w:rsidP="00E011B7">
            <w:pPr>
              <w:cnfStyle w:val="100000000000"/>
              <w:rPr>
                <w:b w:val="0"/>
                <w:bCs w:val="0"/>
                <w:color w:val="FFFFFF"/>
              </w:rPr>
            </w:pPr>
            <w:r w:rsidRPr="007D4A8A">
              <w:rPr>
                <w:b w:val="0"/>
                <w:bCs w:val="0"/>
                <w:color w:val="FFFFFF"/>
              </w:rPr>
              <w:t>2015-2020</w:t>
            </w:r>
          </w:p>
        </w:tc>
      </w:tr>
      <w:tr w:rsidR="001A6556" w:rsidRPr="00DA73A3" w:rsidTr="00975C0B">
        <w:trPr>
          <w:cnfStyle w:val="000000100000"/>
          <w:trHeight w:val="539"/>
        </w:trPr>
        <w:tc>
          <w:tcPr>
            <w:cnfStyle w:val="001000000000"/>
            <w:tcW w:w="1667" w:type="pct"/>
          </w:tcPr>
          <w:p w:rsidR="001A6556" w:rsidRPr="007D4A8A" w:rsidRDefault="001A6556" w:rsidP="00E011B7">
            <w:pPr>
              <w:rPr>
                <w:b w:val="0"/>
                <w:bCs w:val="0"/>
              </w:rPr>
            </w:pPr>
            <w:r w:rsidRPr="007D4A8A">
              <w:rPr>
                <w:b w:val="0"/>
                <w:bCs w:val="0"/>
              </w:rPr>
              <w:t>Biofuel derived from lignocelluloses</w:t>
            </w:r>
          </w:p>
        </w:tc>
        <w:tc>
          <w:tcPr>
            <w:cnfStyle w:val="000010000000"/>
            <w:tcW w:w="1667" w:type="pct"/>
          </w:tcPr>
          <w:p w:rsidR="001A6556" w:rsidRPr="00DA73A3" w:rsidRDefault="001A6556" w:rsidP="00E011B7">
            <w:r w:rsidRPr="00DA73A3">
              <w:t>0</w:t>
            </w:r>
          </w:p>
        </w:tc>
        <w:tc>
          <w:tcPr>
            <w:tcW w:w="1666" w:type="pct"/>
          </w:tcPr>
          <w:p w:rsidR="001A6556" w:rsidRPr="00DA73A3" w:rsidRDefault="001A6556" w:rsidP="00E011B7">
            <w:pPr>
              <w:cnfStyle w:val="000000100000"/>
            </w:pPr>
            <w:r w:rsidRPr="00DA73A3">
              <w:t>1500ML increasing by 200ML p.a.</w:t>
            </w:r>
          </w:p>
        </w:tc>
      </w:tr>
      <w:tr w:rsidR="001A6556" w:rsidRPr="00DA73A3" w:rsidTr="00975C0B">
        <w:trPr>
          <w:trHeight w:val="539"/>
        </w:trPr>
        <w:tc>
          <w:tcPr>
            <w:cnfStyle w:val="001000000000"/>
            <w:tcW w:w="1667" w:type="pct"/>
          </w:tcPr>
          <w:p w:rsidR="001A6556" w:rsidRPr="007D4A8A" w:rsidRDefault="001A6556" w:rsidP="00E011B7">
            <w:pPr>
              <w:rPr>
                <w:b w:val="0"/>
                <w:bCs w:val="0"/>
              </w:rPr>
            </w:pPr>
            <w:r w:rsidRPr="007D4A8A">
              <w:rPr>
                <w:b w:val="0"/>
                <w:bCs w:val="0"/>
              </w:rPr>
              <w:t>Biofuel derived from vegetable oils</w:t>
            </w:r>
          </w:p>
        </w:tc>
        <w:tc>
          <w:tcPr>
            <w:cnfStyle w:val="000010000000"/>
            <w:tcW w:w="1667" w:type="pct"/>
          </w:tcPr>
          <w:p w:rsidR="001A6556" w:rsidRPr="00DA73A3" w:rsidRDefault="001A6556" w:rsidP="00E011B7">
            <w:r w:rsidRPr="00DA73A3">
              <w:t>0</w:t>
            </w:r>
          </w:p>
        </w:tc>
        <w:tc>
          <w:tcPr>
            <w:tcW w:w="1666" w:type="pct"/>
          </w:tcPr>
          <w:p w:rsidR="001A6556" w:rsidRPr="00DA73A3" w:rsidRDefault="001A6556" w:rsidP="00E011B7">
            <w:pPr>
              <w:cnfStyle w:val="000000000000"/>
            </w:pPr>
            <w:r w:rsidRPr="00DA73A3">
              <w:t>750ML increasing by 200ML p.a.</w:t>
            </w:r>
          </w:p>
        </w:tc>
      </w:tr>
    </w:tbl>
    <w:p w:rsidR="001A6556" w:rsidRDefault="001A6556" w:rsidP="001A6556"/>
    <w:p w:rsidR="001A6556" w:rsidRDefault="001A6556" w:rsidP="001A6556">
      <w:r>
        <w:t>Given that the modelling generally finds biofuels used in low blends which do not require any additional distribution infrastructure or vehicle fleet changes, no specific biofuel distribution constraints have been applied. The importation of biofuels has not been considered in the modelling.</w:t>
      </w:r>
    </w:p>
    <w:p w:rsidR="001A6556" w:rsidRPr="002C06C7" w:rsidRDefault="001A6556" w:rsidP="001A6556"/>
    <w:p w:rsidR="001A6556" w:rsidRDefault="009D78D3" w:rsidP="001A6556">
      <w:pPr>
        <w:pStyle w:val="Heading4"/>
      </w:pPr>
      <w:r>
        <w:t>Synthetic Fuels: gas to liquids (GTL), shale to liquids (S</w:t>
      </w:r>
      <w:r w:rsidR="001A6556" w:rsidRPr="002C06C7">
        <w:t>TL</w:t>
      </w:r>
      <w:r>
        <w:t>) and</w:t>
      </w:r>
      <w:r w:rsidR="001A6556" w:rsidRPr="002C06C7">
        <w:t xml:space="preserve"> </w:t>
      </w:r>
      <w:r>
        <w:t>coal to liquids (</w:t>
      </w:r>
      <w:r w:rsidR="001A6556" w:rsidRPr="002C06C7">
        <w:t>CTL)</w:t>
      </w:r>
    </w:p>
    <w:p w:rsidR="001A6556" w:rsidRDefault="001A6556" w:rsidP="001A6556">
      <w:r>
        <w:t>Synthetic production of hydrocarbon fuels, primarily diesel, presents very little challenge from a fuel distribution and vehicle adoption perspective. The fuels produced are generally considered to be of similar quality and can be handled and utilised in existing transport modes without any special infrastructure changes.</w:t>
      </w:r>
    </w:p>
    <w:p w:rsidR="001A6556" w:rsidRDefault="001A6556" w:rsidP="001A6556">
      <w:r>
        <w:t>Rather, the major constraint to deployment of GTL, STL and CTL is the large non-recoverable investment risk that is presented by a refining project of this type. Due to the nature of the Fischer-Tropsch based refining process, efficient scale for the refining plant is around 1.5 gigalitres per annum. At a capacity development cost of around $2.5/L that equates to a minimum expenditure of around almost $4 billion. Investments of this scale do occur in other sectors of the economy. However, as the fuel market, is driven by oil price movements that are relatively volatile, investment markets may perceive this type of investment as more risky compared to other options in the current financial climate. However, strong international growth forecasts in transport demand and subsequently in transport fuel in the Asian region</w:t>
      </w:r>
      <w:r w:rsidR="001F0672">
        <w:t>,</w:t>
      </w:r>
      <w:r>
        <w:t xml:space="preserve"> where fuel security is given a greater premium</w:t>
      </w:r>
      <w:r w:rsidR="001F0672">
        <w:t>,</w:t>
      </w:r>
      <w:r>
        <w:t xml:space="preserve"> may change the perception of level of risk in and the level of risk tolerance of investors towards these types of investments in the longer term. </w:t>
      </w:r>
    </w:p>
    <w:p w:rsidR="001A6556" w:rsidRDefault="001A6556" w:rsidP="001A6556">
      <w:r>
        <w:t>To take this potential delay into account, it is assumed that an extended period of around a decade of higher trending oil prices will be required before STL, GTL or CTL refining investment proceeds. Between 2 and 3 years delay is added according to the carbon price. The limited delay reflect</w:t>
      </w:r>
      <w:r w:rsidR="001F0672">
        <w:t>s</w:t>
      </w:r>
      <w:r>
        <w:t xml:space="preserve"> the limit impact of carbon pricing on fossil to liquid production costs. Paying a carbon permit or, alternatively, introducing carbon capture and storage would add only $12 or $6/</w:t>
      </w:r>
      <w:r w:rsidR="009D78D3">
        <w:t>barrel</w:t>
      </w:r>
      <w:r>
        <w:t xml:space="preserve"> respectively to production costs (</w:t>
      </w:r>
      <w:r w:rsidR="009D78D3">
        <w:t>Mantripragada</w:t>
      </w:r>
      <w:r w:rsidRPr="001A11B0">
        <w:t xml:space="preserve"> and Rubin</w:t>
      </w:r>
      <w:r>
        <w:t>,</w:t>
      </w:r>
      <w:r w:rsidRPr="001A11B0">
        <w:t xml:space="preserve"> 2011</w:t>
      </w:r>
      <w:r>
        <w:t>).</w:t>
      </w:r>
    </w:p>
    <w:p w:rsidR="00FE2272" w:rsidRDefault="00FE2272" w:rsidP="00FE2272">
      <w:pPr>
        <w:pStyle w:val="Caption"/>
      </w:pPr>
      <w:bookmarkStart w:id="63" w:name="_Toc306802267"/>
      <w:bookmarkStart w:id="64" w:name="_Toc366227385"/>
      <w:r>
        <w:lastRenderedPageBreak/>
        <w:t xml:space="preserve">Table </w:t>
      </w:r>
      <w:r w:rsidR="00C14EF7">
        <w:fldChar w:fldCharType="begin"/>
      </w:r>
      <w:r w:rsidR="00970F7D">
        <w:instrText xml:space="preserve"> STYLEREF 1 \s </w:instrText>
      </w:r>
      <w:r w:rsidR="00C14EF7">
        <w:fldChar w:fldCharType="separate"/>
      </w:r>
      <w:r w:rsidR="003E0F65">
        <w:rPr>
          <w:noProof/>
        </w:rPr>
        <w:t>4</w:t>
      </w:r>
      <w:r w:rsidR="00C14EF7">
        <w:rPr>
          <w:noProof/>
        </w:rPr>
        <w:fldChar w:fldCharType="end"/>
      </w:r>
      <w:r>
        <w:noBreakHyphen/>
      </w:r>
      <w:r w:rsidR="00C14EF7">
        <w:fldChar w:fldCharType="begin"/>
      </w:r>
      <w:r w:rsidR="00970F7D">
        <w:instrText xml:space="preserve"> SEQ Table \* ARABIC \s 1 </w:instrText>
      </w:r>
      <w:r w:rsidR="00C14EF7">
        <w:fldChar w:fldCharType="separate"/>
      </w:r>
      <w:r w:rsidR="003E0F65">
        <w:rPr>
          <w:noProof/>
        </w:rPr>
        <w:t>7</w:t>
      </w:r>
      <w:r w:rsidR="00C14EF7">
        <w:rPr>
          <w:noProof/>
        </w:rPr>
        <w:fldChar w:fldCharType="end"/>
      </w:r>
      <w:r>
        <w:t>: Synthetic (STL, GTL and CTL) fuel refining construction constraints</w:t>
      </w:r>
      <w:bookmarkEnd w:id="63"/>
      <w:bookmarkEnd w:id="64"/>
    </w:p>
    <w:tbl>
      <w:tblPr>
        <w:tblStyle w:val="LightList-Accent12"/>
        <w:tblW w:w="5000" w:type="pct"/>
        <w:tblLook w:val="00A0"/>
      </w:tblPr>
      <w:tblGrid>
        <w:gridCol w:w="2904"/>
        <w:gridCol w:w="2904"/>
        <w:gridCol w:w="2905"/>
      </w:tblGrid>
      <w:tr w:rsidR="001A6556" w:rsidRPr="0086218A" w:rsidTr="00975C0B">
        <w:trPr>
          <w:cnfStyle w:val="100000000000"/>
          <w:trHeight w:val="245"/>
        </w:trPr>
        <w:tc>
          <w:tcPr>
            <w:cnfStyle w:val="001000000000"/>
            <w:tcW w:w="1666" w:type="pct"/>
          </w:tcPr>
          <w:p w:rsidR="001A6556" w:rsidRPr="007D4A8A" w:rsidRDefault="001A6556" w:rsidP="00E011B7">
            <w:pPr>
              <w:rPr>
                <w:b w:val="0"/>
                <w:bCs w:val="0"/>
                <w:color w:val="FFFFFF"/>
              </w:rPr>
            </w:pPr>
          </w:p>
        </w:tc>
        <w:tc>
          <w:tcPr>
            <w:cnfStyle w:val="000010000000"/>
            <w:tcW w:w="1666" w:type="pct"/>
          </w:tcPr>
          <w:p w:rsidR="001A6556" w:rsidRPr="007D4A8A" w:rsidRDefault="001A6556" w:rsidP="00E011B7">
            <w:pPr>
              <w:rPr>
                <w:b w:val="0"/>
                <w:bCs w:val="0"/>
                <w:color w:val="FFFFFF"/>
              </w:rPr>
            </w:pPr>
            <w:r w:rsidRPr="007D4A8A">
              <w:rPr>
                <w:b w:val="0"/>
                <w:bCs w:val="0"/>
                <w:color w:val="FFFFFF"/>
              </w:rPr>
              <w:t>Before 2020</w:t>
            </w:r>
          </w:p>
        </w:tc>
        <w:tc>
          <w:tcPr>
            <w:tcW w:w="1667" w:type="pct"/>
          </w:tcPr>
          <w:p w:rsidR="001A6556" w:rsidRPr="007D4A8A" w:rsidRDefault="001A6556" w:rsidP="00E011B7">
            <w:pPr>
              <w:cnfStyle w:val="100000000000"/>
              <w:rPr>
                <w:b w:val="0"/>
                <w:bCs w:val="0"/>
                <w:color w:val="FFFFFF"/>
              </w:rPr>
            </w:pPr>
            <w:r w:rsidRPr="007D4A8A">
              <w:rPr>
                <w:b w:val="0"/>
                <w:bCs w:val="0"/>
                <w:color w:val="FFFFFF"/>
              </w:rPr>
              <w:t>After 2020</w:t>
            </w:r>
          </w:p>
        </w:tc>
      </w:tr>
      <w:tr w:rsidR="001A6556" w:rsidRPr="0086218A" w:rsidTr="00975C0B">
        <w:trPr>
          <w:cnfStyle w:val="000000100000"/>
          <w:trHeight w:val="491"/>
        </w:trPr>
        <w:tc>
          <w:tcPr>
            <w:cnfStyle w:val="001000000000"/>
            <w:tcW w:w="1666" w:type="pct"/>
          </w:tcPr>
          <w:p w:rsidR="001A6556" w:rsidRPr="007D4A8A" w:rsidRDefault="001A6556" w:rsidP="00E011B7">
            <w:pPr>
              <w:rPr>
                <w:b w:val="0"/>
                <w:bCs w:val="0"/>
              </w:rPr>
            </w:pPr>
            <w:r w:rsidRPr="007D4A8A">
              <w:rPr>
                <w:b w:val="0"/>
                <w:bCs w:val="0"/>
              </w:rPr>
              <w:t>STL, GTL &amp; CTL</w:t>
            </w:r>
          </w:p>
        </w:tc>
        <w:tc>
          <w:tcPr>
            <w:cnfStyle w:val="000010000000"/>
            <w:tcW w:w="1666" w:type="pct"/>
          </w:tcPr>
          <w:p w:rsidR="001A6556" w:rsidRPr="0086218A" w:rsidRDefault="001A6556" w:rsidP="00E011B7">
            <w:r w:rsidRPr="0086218A">
              <w:t>0</w:t>
            </w:r>
          </w:p>
        </w:tc>
        <w:tc>
          <w:tcPr>
            <w:tcW w:w="1667" w:type="pct"/>
          </w:tcPr>
          <w:p w:rsidR="001A6556" w:rsidRPr="0086218A" w:rsidRDefault="001A6556" w:rsidP="00E011B7">
            <w:pPr>
              <w:cnfStyle w:val="000000100000"/>
            </w:pPr>
            <w:r w:rsidRPr="0086218A">
              <w:t>1500ML increasing by 200ML p.a.</w:t>
            </w:r>
          </w:p>
        </w:tc>
      </w:tr>
    </w:tbl>
    <w:p w:rsidR="001A6556" w:rsidRDefault="001A6556" w:rsidP="001A6556"/>
    <w:p w:rsidR="001A6556" w:rsidRDefault="001A6556" w:rsidP="001A6556">
      <w:pPr>
        <w:pStyle w:val="Heading4"/>
      </w:pPr>
      <w:r w:rsidRPr="002C06C7">
        <w:t>LPG</w:t>
      </w:r>
      <w:bookmarkStart w:id="65" w:name="_GoBack"/>
      <w:bookmarkEnd w:id="65"/>
    </w:p>
    <w:p w:rsidR="001A6556" w:rsidRDefault="001A6556" w:rsidP="001A6556">
      <w:r>
        <w:t>LPG distribution infrastructure has a high penetration level in Australia. Additionally, LPG vehicles are one of the few alternative fuel vehicles which are manufactured locally. As a consequence there are no constraints imposed on the LPG uptake as a result of infrastructure.</w:t>
      </w:r>
    </w:p>
    <w:p w:rsidR="001A6556" w:rsidRPr="002C06C7" w:rsidRDefault="001A6556" w:rsidP="001A6556"/>
    <w:p w:rsidR="001A6556" w:rsidRDefault="001A6556" w:rsidP="001A6556">
      <w:pPr>
        <w:pStyle w:val="Heading4"/>
      </w:pPr>
      <w:r w:rsidRPr="002C06C7">
        <w:t>Electric and plug-in electric vehicles</w:t>
      </w:r>
    </w:p>
    <w:p w:rsidR="001A6556" w:rsidRDefault="001A6556" w:rsidP="001A6556">
      <w:r>
        <w:t>Although electricity is distributed widely via the transmission and distribution system there are significant constraints to electric vehicle uptake due to the need for recharging infrastructure and supply of electric vehicles from the global vehicle market. Throughout the modelling we assume that home recharging is preferred and therefore the need for public recharging infrastructure is not a significant constraint. It is acknowledged, however, that there will need to be alternative solutions for those without off-street parking and it may also be more efficient for the system if off-peak power shifts to the middle of the day while most cars are not at home.</w:t>
      </w:r>
    </w:p>
    <w:p w:rsidR="001A6556" w:rsidRDefault="001A6556" w:rsidP="001A6556">
      <w:r>
        <w:t>Global electric vehicle supply is assumed to be a limiting factor to 2020. Australia does not have relatively attractive electric vehicle subsidies and so is not a priority market for vehicle manufacturers. It is assumed we are only able to access a fixed share of global electric vehicle supply which is expected to be slow to ramp up in the short term. Note that this constraint is generally not binding in the modelling except in the high carbon price scenario.</w:t>
      </w:r>
    </w:p>
    <w:p w:rsidR="001A6556" w:rsidRDefault="001A6556" w:rsidP="001A6556"/>
    <w:p w:rsidR="001A6556" w:rsidRDefault="001A6556" w:rsidP="001A6556">
      <w:r w:rsidRPr="0021571A">
        <w:rPr>
          <w:noProof/>
        </w:rPr>
        <w:lastRenderedPageBreak/>
        <w:drawing>
          <wp:inline distT="0" distB="0" distL="0" distR="0">
            <wp:extent cx="6120130" cy="3994516"/>
            <wp:effectExtent l="19050" t="0" r="0" b="0"/>
            <wp:docPr id="5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srcRect/>
                    <a:stretch>
                      <a:fillRect/>
                    </a:stretch>
                  </pic:blipFill>
                  <pic:spPr bwMode="auto">
                    <a:xfrm>
                      <a:off x="0" y="0"/>
                      <a:ext cx="6120130" cy="3994516"/>
                    </a:xfrm>
                    <a:prstGeom prst="rect">
                      <a:avLst/>
                    </a:prstGeom>
                    <a:noFill/>
                    <a:ln w="9525">
                      <a:noFill/>
                      <a:miter lim="800000"/>
                      <a:headEnd/>
                      <a:tailEnd/>
                    </a:ln>
                  </pic:spPr>
                </pic:pic>
              </a:graphicData>
            </a:graphic>
          </wp:inline>
        </w:drawing>
      </w:r>
    </w:p>
    <w:p w:rsidR="001A6556" w:rsidRDefault="001A6556" w:rsidP="001A6556">
      <w:pPr>
        <w:pStyle w:val="Caption"/>
      </w:pPr>
      <w:bookmarkStart w:id="66" w:name="_Ref365651886"/>
      <w:bookmarkStart w:id="67" w:name="_Toc366227335"/>
      <w:r>
        <w:t xml:space="preserve">Figure </w:t>
      </w:r>
      <w:r w:rsidR="00C14EF7">
        <w:fldChar w:fldCharType="begin"/>
      </w:r>
      <w:r w:rsidR="005B253B">
        <w:instrText xml:space="preserve"> STYLEREF 1 \s </w:instrText>
      </w:r>
      <w:r w:rsidR="00C14EF7">
        <w:fldChar w:fldCharType="separate"/>
      </w:r>
      <w:r w:rsidR="003E0F65">
        <w:rPr>
          <w:noProof/>
        </w:rPr>
        <w:t>4</w:t>
      </w:r>
      <w:r w:rsidR="00C14EF7">
        <w:fldChar w:fldCharType="end"/>
      </w:r>
      <w:r w:rsidR="005B253B">
        <w:noBreakHyphen/>
      </w:r>
      <w:r w:rsidR="00C14EF7">
        <w:fldChar w:fldCharType="begin"/>
      </w:r>
      <w:r w:rsidR="005B253B">
        <w:instrText xml:space="preserve"> SEQ Figure \* ARABIC \s 1 </w:instrText>
      </w:r>
      <w:r w:rsidR="00C14EF7">
        <w:fldChar w:fldCharType="separate"/>
      </w:r>
      <w:r w:rsidR="003E0F65">
        <w:rPr>
          <w:noProof/>
        </w:rPr>
        <w:t>6</w:t>
      </w:r>
      <w:r w:rsidR="00C14EF7">
        <w:fldChar w:fldCharType="end"/>
      </w:r>
      <w:bookmarkEnd w:id="66"/>
      <w:r>
        <w:t>: Projected global electric vehicle availability</w:t>
      </w:r>
      <w:bookmarkEnd w:id="67"/>
    </w:p>
    <w:p w:rsidR="001A6556" w:rsidRDefault="001A6556" w:rsidP="001A6556">
      <w:r>
        <w:t>Another issue is that local electricity distribution systems may come under some pressure due to the increased load if electric vehicle uptake reaches a high level. How much of an issue this will become depends a lot on how recharging is managed more generally which at this stage is unknown.</w:t>
      </w:r>
    </w:p>
    <w:p w:rsidR="001A6556" w:rsidRDefault="001A6556" w:rsidP="001A6556">
      <w:r>
        <w:t>If electric vehicles are charged over several hours (at roughly equivalent to the load of a residential air-conditioner) during periods of low electricity demand they potentially do not impose any additional pressure on the capacity of the network. However, if some charging occurs at faster rates or during times when the electricity load is high then they could present some challenges to existing capacity. The modelling assumes that the former situation occurs and there are no specific constraints to the capacity of the electricity distribution system. Lower charging costs during off-peak times will encourage this outcome.</w:t>
      </w:r>
    </w:p>
    <w:p w:rsidR="001A6556" w:rsidRPr="002C06C7" w:rsidRDefault="001A6556" w:rsidP="001A6556"/>
    <w:p w:rsidR="001A6556" w:rsidRPr="002C06C7" w:rsidRDefault="001A6556" w:rsidP="001A6556">
      <w:pPr>
        <w:pStyle w:val="Heading4"/>
      </w:pPr>
      <w:r w:rsidRPr="002C06C7">
        <w:t xml:space="preserve">Hydrogen </w:t>
      </w:r>
      <w:r>
        <w:t>f</w:t>
      </w:r>
      <w:r w:rsidRPr="002C06C7">
        <w:t xml:space="preserve">uel </w:t>
      </w:r>
      <w:r>
        <w:t>c</w:t>
      </w:r>
      <w:r w:rsidRPr="002C06C7">
        <w:t>ell</w:t>
      </w:r>
      <w:r>
        <w:t xml:space="preserve"> vehicles</w:t>
      </w:r>
    </w:p>
    <w:p w:rsidR="001A6556" w:rsidRDefault="001A6556" w:rsidP="001A6556">
      <w:r>
        <w:t>Hydrogen is not a fuel that has been widely distributed in Australia. It is typically used in industrial applications where it is manufactured from natural gas reforming on or near the site of use. If natural gas is the primary energy source for hydrogen then the existing natural gas pipeline network is a positive. Similarly, if the source of hydrogen is electricity, via electrolysis, then the existing electricity distribution system is</w:t>
      </w:r>
      <w:r w:rsidR="00743DDF">
        <w:t xml:space="preserve"> </w:t>
      </w:r>
      <w:r>
        <w:t xml:space="preserve">another positive point in favour of hydrogen distribution. Some hydrogen fuel cell vehicle manufacturers have been working towards developing small scale home electrolysis </w:t>
      </w:r>
      <w:r w:rsidRPr="002B323C">
        <w:t>units (Honda, 2011).</w:t>
      </w:r>
    </w:p>
    <w:p w:rsidR="001A6556" w:rsidRDefault="001A6556" w:rsidP="001A6556">
      <w:r>
        <w:lastRenderedPageBreak/>
        <w:t>However, if new hydrogen distribution systems had to be developed because, for example, it was desirable to manufacture the hydrogen at a central location (e.g. as a co-product of biomass to liquids processes or as a measure to smooth out the generation profile at a wind farm) there are trucking and pipeline systems that could enable that to type of distribution system to be developed.</w:t>
      </w:r>
    </w:p>
    <w:p w:rsidR="001A6556" w:rsidRDefault="001A6556" w:rsidP="001A6556">
      <w:r>
        <w:t>There have been many studies examining the optimal ways to distribute hydrogen. Mintz et al. (2006) and Yang and Ogden (2007) studied the relative merits of three alternative delivery systems: compressed gas in trucks, liquid gas in trucks and pipelines. Compressed gas trucks were found to be ideal for low consumption markets at a short distance from the hydrogen production site. However, if the consumption at the delivery node was high then pipelines were preferred no matter what the delivery distance was. If the distance was large but the consumption at the delivery site was moderate then liquid gas distribution in trucks was preferred.</w:t>
      </w:r>
    </w:p>
    <w:p w:rsidR="001A6556" w:rsidRDefault="001A6556" w:rsidP="001A6556">
      <w:r>
        <w:t>Pigneri (2005) compared using local electrolysis to compressed gas trucks and pipelines. He found that there were cost advantages in the strategy of using the electricity grid as the main distribution system, since this avoided building a pipeline that would be under-utilised for many years. However, if the market penetration was above 25 percent the other distribution options were more cost effective.</w:t>
      </w:r>
    </w:p>
    <w:p w:rsidR="001A6556" w:rsidRDefault="001A6556" w:rsidP="001A6556">
      <w:r>
        <w:t xml:space="preserve">Cheng and Graham (2009) tested these general findings in a case study of hydrogen distribution in Victoria </w:t>
      </w:r>
      <w:r w:rsidR="00ED06C5">
        <w:t xml:space="preserve">under </w:t>
      </w:r>
      <w:r>
        <w:t>a</w:t>
      </w:r>
      <w:r w:rsidR="00ED06C5">
        <w:t xml:space="preserve"> </w:t>
      </w:r>
      <w:r>
        <w:t xml:space="preserve">more realistic scenario of </w:t>
      </w:r>
      <w:r w:rsidR="00ED06C5">
        <w:t xml:space="preserve">gradual adoption of </w:t>
      </w:r>
      <w:r>
        <w:t>fuel cell vehicle</w:t>
      </w:r>
      <w:r w:rsidR="00ED06C5">
        <w:t>s</w:t>
      </w:r>
      <w:r>
        <w:t xml:space="preserve">. The modelling results generally supported past conclusions about the relative competitiveness of gas by </w:t>
      </w:r>
      <w:proofErr w:type="gramStart"/>
      <w:r>
        <w:t>truck,</w:t>
      </w:r>
      <w:proofErr w:type="gramEnd"/>
      <w:r>
        <w:t xml:space="preserve"> and liquid by truck and pipeline delivery modes. However, the modelling indicated that pipeline delivery will not be economic during the early stages of market penetration, will reach a point of dominance when demand is significant but at short distance, but may lose significant share of the hydrogen delivery task when new small scale supply fields must be drawn upon as demand increases.</w:t>
      </w:r>
    </w:p>
    <w:p w:rsidR="001A6556" w:rsidRDefault="001A6556" w:rsidP="001A6556">
      <w:r>
        <w:t>The wide number of distribution options and the ability to combine different options for different primary energy resources and at different stages of fuel cell vehicle adoption indicates there is no basis for constraining hydrogen fuel cell uptake in the modelling on the basis of a lack of existing distribution infrastructure. However, the model does constrain the rate of global fuel cell vehicle supply to Australia. Unlike in the case of electric vehicles, there is far less information regarding the availability of this type of vehicle. Given that fuel cell vehicles use the same electric drive train configuration as fully electric vehicles (carrying fuel cells and hydrogen instead of batteries) we assume that fuel cell vehicles can be supplied at the same rate per annum.</w:t>
      </w:r>
    </w:p>
    <w:p w:rsidR="001A6556" w:rsidRDefault="001A6556" w:rsidP="001A6556"/>
    <w:p w:rsidR="001A6556" w:rsidRPr="002C06C7" w:rsidRDefault="001A6556" w:rsidP="001A6556">
      <w:pPr>
        <w:pStyle w:val="Heading4"/>
      </w:pPr>
      <w:r>
        <w:t>Conventional transport fuels</w:t>
      </w:r>
    </w:p>
    <w:p w:rsidR="001A6556" w:rsidRDefault="001A6556" w:rsidP="001A6556">
      <w:r>
        <w:t>Petrol and diesel manufactured in the conventional way from oil is assumed to have no limit on its supply. It is noted that oil is one of the very few energy resources that Australia has in limited supply and our petroleum fuel refining capacity is less than our annual consumption. However, it assumed in all scenarios that Australia is able to secure the required amounts of oil for refining or alternatively, petrol and diesel products that have been refined elsewhere in the world.</w:t>
      </w:r>
    </w:p>
    <w:p w:rsidR="001A6556" w:rsidRDefault="001A6556" w:rsidP="001A6556"/>
    <w:p w:rsidR="001A6556" w:rsidRDefault="001A6556" w:rsidP="001A6556">
      <w:pPr>
        <w:pStyle w:val="Heading3"/>
      </w:pPr>
      <w:r>
        <w:lastRenderedPageBreak/>
        <w:t>Policy assumptions</w:t>
      </w:r>
    </w:p>
    <w:p w:rsidR="001A6556" w:rsidRPr="00810688" w:rsidRDefault="001A6556" w:rsidP="001A6556">
      <w:pPr>
        <w:rPr>
          <w:rFonts w:asciiTheme="minorHAnsi" w:hAnsiTheme="minorHAnsi"/>
        </w:rPr>
      </w:pPr>
      <w:bookmarkStart w:id="68" w:name="_Toc308600743"/>
      <w:r>
        <w:rPr>
          <w:rFonts w:asciiTheme="minorHAnsi" w:hAnsiTheme="minorHAnsi"/>
        </w:rPr>
        <w:t>Under all scenarios it is assumed existing transport polices remain in place. They include fuel excise rates, the NSW Biofuels Act and the LPG Vehicle scheme.</w:t>
      </w:r>
    </w:p>
    <w:p w:rsidR="001A6556" w:rsidRPr="00810688" w:rsidRDefault="001A6556" w:rsidP="001A6556">
      <w:pPr>
        <w:rPr>
          <w:rFonts w:asciiTheme="minorHAnsi" w:hAnsiTheme="minorHAnsi"/>
        </w:rPr>
      </w:pPr>
    </w:p>
    <w:p w:rsidR="001A6556" w:rsidRPr="00394894" w:rsidRDefault="001A6556" w:rsidP="001A6556">
      <w:pPr>
        <w:pStyle w:val="Heading4"/>
        <w:spacing w:before="0"/>
        <w:rPr>
          <w:rFonts w:asciiTheme="minorHAnsi" w:hAnsiTheme="minorHAnsi"/>
        </w:rPr>
      </w:pPr>
      <w:r>
        <w:rPr>
          <w:rFonts w:asciiTheme="minorHAnsi" w:hAnsiTheme="minorHAnsi"/>
        </w:rPr>
        <w:t>F</w:t>
      </w:r>
      <w:r w:rsidRPr="00394894">
        <w:rPr>
          <w:rFonts w:asciiTheme="minorHAnsi" w:hAnsiTheme="minorHAnsi"/>
        </w:rPr>
        <w:t>uel excise rates and levies</w:t>
      </w:r>
      <w:bookmarkEnd w:id="68"/>
    </w:p>
    <w:p w:rsidR="001A6556" w:rsidRDefault="001A6556" w:rsidP="001A6556">
      <w:pPr>
        <w:rPr>
          <w:rFonts w:asciiTheme="minorHAnsi" w:hAnsiTheme="minorHAnsi"/>
        </w:rPr>
      </w:pPr>
      <w:r>
        <w:rPr>
          <w:rFonts w:asciiTheme="minorHAnsi" w:hAnsiTheme="minorHAnsi"/>
        </w:rPr>
        <w:t xml:space="preserve">Petrol and diesel have a nominal dollar excise rate of excise of 38.143 c/L since indexation ceased in 2001. </w:t>
      </w:r>
      <w:r w:rsidRPr="00CB18E7">
        <w:rPr>
          <w:rFonts w:asciiTheme="minorHAnsi" w:hAnsiTheme="minorHAnsi"/>
        </w:rPr>
        <w:t xml:space="preserve">Heavy road vehicles are entitled to a fuel tax credit of 38.143 cents per litre. However, they are liable </w:t>
      </w:r>
      <w:r>
        <w:rPr>
          <w:rFonts w:asciiTheme="minorHAnsi" w:hAnsiTheme="minorHAnsi"/>
        </w:rPr>
        <w:t>to pay a road user charge of 26.14 cents per litre from July 2013</w:t>
      </w:r>
      <w:r>
        <w:rPr>
          <w:rStyle w:val="FootnoteReference"/>
          <w:rFonts w:asciiTheme="minorHAnsi" w:hAnsiTheme="minorHAnsi"/>
        </w:rPr>
        <w:footnoteReference w:id="5"/>
      </w:r>
      <w:r w:rsidRPr="00CB18E7">
        <w:rPr>
          <w:rFonts w:asciiTheme="minorHAnsi" w:hAnsiTheme="minorHAnsi"/>
        </w:rPr>
        <w:t xml:space="preserve"> making their effective excise rate equal to the road user charge which is reviewed each year</w:t>
      </w:r>
      <w:r>
        <w:rPr>
          <w:rFonts w:asciiTheme="minorHAnsi" w:hAnsiTheme="minorHAnsi"/>
        </w:rPr>
        <w:t>.</w:t>
      </w:r>
    </w:p>
    <w:p w:rsidR="001A6556" w:rsidRPr="00394894" w:rsidRDefault="001A6556" w:rsidP="001A6556">
      <w:pPr>
        <w:rPr>
          <w:rFonts w:asciiTheme="minorHAnsi" w:hAnsiTheme="minorHAnsi"/>
        </w:rPr>
      </w:pPr>
      <w:r w:rsidRPr="00394894">
        <w:rPr>
          <w:rFonts w:asciiTheme="minorHAnsi" w:hAnsiTheme="minorHAnsi"/>
        </w:rPr>
        <w:t>Road excise rates applying to alternative transport fuels were re-designed in 2011 and like petrol and diesel the rates are set in nominal dollar terms. Ethanol and biodiesel are liable for excise of 38.143 c/L. However, under the Ethanol Production Grants Program, grants of 38.143 c/L are provided for domestic production of ethanol. In addition, the Energy Grants (Cleaner Fuels) Scheme provides 38.143 c/L grants for the domestic production and import of biodiesel and renewable diesel. These arrangements will continue until at least 30 June 2021</w:t>
      </w:r>
      <w:r w:rsidRPr="00394894">
        <w:rPr>
          <w:rStyle w:val="FootnoteReference"/>
          <w:rFonts w:asciiTheme="minorHAnsi" w:hAnsiTheme="minorHAnsi"/>
        </w:rPr>
        <w:footnoteReference w:id="6"/>
      </w:r>
      <w:r w:rsidRPr="00394894">
        <w:rPr>
          <w:rFonts w:asciiTheme="minorHAnsi" w:hAnsiTheme="minorHAnsi"/>
        </w:rPr>
        <w:t>.</w:t>
      </w:r>
    </w:p>
    <w:p w:rsidR="001A6556" w:rsidRPr="00394894" w:rsidRDefault="001A6556" w:rsidP="001A6556">
      <w:pPr>
        <w:rPr>
          <w:rFonts w:asciiTheme="minorHAnsi" w:hAnsiTheme="minorHAnsi"/>
        </w:rPr>
      </w:pPr>
      <w:r w:rsidRPr="00394894">
        <w:rPr>
          <w:rFonts w:asciiTheme="minorHAnsi" w:hAnsiTheme="minorHAnsi"/>
        </w:rPr>
        <w:t xml:space="preserve">LPG and natural gas were designed to experience a gradual phase in of excise rates based on energy content from 2011-12. As a result, the excise component of these alternative fuels has been increasing but will remain discounted relative to conventional fuels. The phase-in period is to 2015. Ethanol imports also attract a duty of 5 percent. The excise rates for alternative fuels are shown in </w:t>
      </w:r>
      <w:r w:rsidR="00C14EF7">
        <w:rPr>
          <w:rFonts w:asciiTheme="minorHAnsi" w:hAnsiTheme="minorHAnsi"/>
        </w:rPr>
        <w:fldChar w:fldCharType="begin"/>
      </w:r>
      <w:r w:rsidR="00FE2272">
        <w:rPr>
          <w:rFonts w:asciiTheme="minorHAnsi" w:hAnsiTheme="minorHAnsi"/>
        </w:rPr>
        <w:instrText xml:space="preserve"> REF _Ref365655843 \h </w:instrText>
      </w:r>
      <w:r w:rsidR="00C14EF7">
        <w:rPr>
          <w:rFonts w:asciiTheme="minorHAnsi" w:hAnsiTheme="minorHAnsi"/>
        </w:rPr>
      </w:r>
      <w:r w:rsidR="00C14EF7">
        <w:rPr>
          <w:rFonts w:asciiTheme="minorHAnsi" w:hAnsiTheme="minorHAnsi"/>
        </w:rPr>
        <w:fldChar w:fldCharType="separate"/>
      </w:r>
      <w:r w:rsidR="003E0F65">
        <w:t xml:space="preserve">Table </w:t>
      </w:r>
      <w:r w:rsidR="003E0F65">
        <w:rPr>
          <w:noProof/>
        </w:rPr>
        <w:t>4</w:t>
      </w:r>
      <w:r w:rsidR="003E0F65">
        <w:noBreakHyphen/>
      </w:r>
      <w:r w:rsidR="003E0F65">
        <w:rPr>
          <w:noProof/>
        </w:rPr>
        <w:t>8</w:t>
      </w:r>
      <w:r w:rsidR="00C14EF7">
        <w:rPr>
          <w:rFonts w:asciiTheme="minorHAnsi" w:hAnsiTheme="minorHAnsi"/>
        </w:rPr>
        <w:fldChar w:fldCharType="end"/>
      </w:r>
      <w:r w:rsidR="00FE2272">
        <w:rPr>
          <w:rFonts w:asciiTheme="minorHAnsi" w:hAnsiTheme="minorHAnsi"/>
        </w:rPr>
        <w:t>.</w:t>
      </w:r>
      <w:r w:rsidRPr="00394894">
        <w:rPr>
          <w:rFonts w:asciiTheme="minorHAnsi" w:hAnsiTheme="minorHAnsi"/>
        </w:rPr>
        <w:t>It will be assumed that the level of excise remains constant in nominal terms from 2015 onwards. As a result, excise rates are assumed to decline in real terms at the assumed inflation rate of 3.1 percent.</w:t>
      </w:r>
    </w:p>
    <w:p w:rsidR="001A6556" w:rsidRPr="00394894" w:rsidRDefault="001A6556" w:rsidP="001A6556">
      <w:pPr>
        <w:pStyle w:val="Caption"/>
        <w:rPr>
          <w:rFonts w:asciiTheme="minorHAnsi" w:hAnsiTheme="minorHAnsi"/>
        </w:rPr>
      </w:pPr>
      <w:bookmarkStart w:id="69" w:name="_Ref365655843"/>
      <w:bookmarkStart w:id="70" w:name="_Toc366227386"/>
      <w:r>
        <w:t xml:space="preserve">Table </w:t>
      </w:r>
      <w:r w:rsidR="00C14EF7">
        <w:fldChar w:fldCharType="begin"/>
      </w:r>
      <w:r w:rsidR="00970F7D">
        <w:instrText xml:space="preserve"> STYLEREF 1 \s </w:instrText>
      </w:r>
      <w:r w:rsidR="00C14EF7">
        <w:fldChar w:fldCharType="separate"/>
      </w:r>
      <w:r w:rsidR="003E0F65">
        <w:rPr>
          <w:noProof/>
        </w:rPr>
        <w:t>4</w:t>
      </w:r>
      <w:r w:rsidR="00C14EF7">
        <w:rPr>
          <w:noProof/>
        </w:rPr>
        <w:fldChar w:fldCharType="end"/>
      </w:r>
      <w:r w:rsidR="00AB35C1">
        <w:noBreakHyphen/>
      </w:r>
      <w:r w:rsidR="00C14EF7">
        <w:fldChar w:fldCharType="begin"/>
      </w:r>
      <w:r w:rsidR="00970F7D">
        <w:instrText xml:space="preserve"> SEQ Table \* ARABIC \s 1 </w:instrText>
      </w:r>
      <w:r w:rsidR="00C14EF7">
        <w:fldChar w:fldCharType="separate"/>
      </w:r>
      <w:r w:rsidR="003E0F65">
        <w:rPr>
          <w:noProof/>
        </w:rPr>
        <w:t>8</w:t>
      </w:r>
      <w:r w:rsidR="00C14EF7">
        <w:rPr>
          <w:noProof/>
        </w:rPr>
        <w:fldChar w:fldCharType="end"/>
      </w:r>
      <w:bookmarkEnd w:id="69"/>
      <w:r>
        <w:t>: Assumed excise rates</w:t>
      </w:r>
      <w:bookmarkEnd w:id="70"/>
    </w:p>
    <w:tbl>
      <w:tblPr>
        <w:tblStyle w:val="LightList-Accent11"/>
        <w:tblW w:w="0" w:type="auto"/>
        <w:tblLook w:val="04A0"/>
      </w:tblPr>
      <w:tblGrid>
        <w:gridCol w:w="1706"/>
        <w:gridCol w:w="1733"/>
        <w:gridCol w:w="1740"/>
        <w:gridCol w:w="1775"/>
        <w:gridCol w:w="1759"/>
      </w:tblGrid>
      <w:tr w:rsidR="001A6556" w:rsidRPr="00394894" w:rsidTr="00E011B7">
        <w:trPr>
          <w:cnfStyle w:val="100000000000"/>
        </w:trPr>
        <w:tc>
          <w:tcPr>
            <w:cnfStyle w:val="001000000000"/>
            <w:tcW w:w="1848" w:type="dxa"/>
          </w:tcPr>
          <w:p w:rsidR="001A6556" w:rsidRPr="00394894" w:rsidRDefault="001A6556" w:rsidP="00E011B7"/>
        </w:tc>
        <w:tc>
          <w:tcPr>
            <w:tcW w:w="1848" w:type="dxa"/>
          </w:tcPr>
          <w:p w:rsidR="001A6556" w:rsidRPr="00394894" w:rsidRDefault="001A6556" w:rsidP="00E011B7">
            <w:pPr>
              <w:cnfStyle w:val="100000000000"/>
            </w:pPr>
            <w:r w:rsidRPr="00394894">
              <w:t>LPG</w:t>
            </w:r>
          </w:p>
        </w:tc>
        <w:tc>
          <w:tcPr>
            <w:tcW w:w="1848" w:type="dxa"/>
          </w:tcPr>
          <w:p w:rsidR="001A6556" w:rsidRPr="00394894" w:rsidRDefault="001A6556" w:rsidP="00E011B7">
            <w:pPr>
              <w:cnfStyle w:val="100000000000"/>
            </w:pPr>
            <w:r w:rsidRPr="00394894">
              <w:t>Natural Gas</w:t>
            </w:r>
          </w:p>
        </w:tc>
        <w:tc>
          <w:tcPr>
            <w:tcW w:w="1849" w:type="dxa"/>
          </w:tcPr>
          <w:p w:rsidR="001A6556" w:rsidRPr="00394894" w:rsidRDefault="001A6556" w:rsidP="00E011B7">
            <w:pPr>
              <w:cnfStyle w:val="100000000000"/>
            </w:pPr>
            <w:r w:rsidRPr="00394894">
              <w:t xml:space="preserve">Biodiesel** </w:t>
            </w:r>
          </w:p>
        </w:tc>
        <w:tc>
          <w:tcPr>
            <w:tcW w:w="1849" w:type="dxa"/>
          </w:tcPr>
          <w:p w:rsidR="001A6556" w:rsidRPr="00394894" w:rsidRDefault="001A6556" w:rsidP="00E011B7">
            <w:pPr>
              <w:cnfStyle w:val="100000000000"/>
            </w:pPr>
            <w:r w:rsidRPr="00394894">
              <w:t>Ethanol**</w:t>
            </w:r>
          </w:p>
        </w:tc>
      </w:tr>
      <w:tr w:rsidR="001A6556" w:rsidRPr="00394894" w:rsidTr="00E011B7">
        <w:trPr>
          <w:cnfStyle w:val="000000100000"/>
        </w:trPr>
        <w:tc>
          <w:tcPr>
            <w:cnfStyle w:val="001000000000"/>
            <w:tcW w:w="1848" w:type="dxa"/>
          </w:tcPr>
          <w:p w:rsidR="001A6556" w:rsidRPr="00394894" w:rsidRDefault="001A6556" w:rsidP="00E011B7"/>
        </w:tc>
        <w:tc>
          <w:tcPr>
            <w:tcW w:w="1848" w:type="dxa"/>
          </w:tcPr>
          <w:p w:rsidR="001A6556" w:rsidRPr="00394894" w:rsidRDefault="001A6556" w:rsidP="00E011B7">
            <w:pPr>
              <w:cnfStyle w:val="000000100000"/>
            </w:pPr>
            <w:r w:rsidRPr="00394894">
              <w:t>$ per litre</w:t>
            </w:r>
          </w:p>
        </w:tc>
        <w:tc>
          <w:tcPr>
            <w:tcW w:w="1848" w:type="dxa"/>
          </w:tcPr>
          <w:p w:rsidR="001A6556" w:rsidRPr="00394894" w:rsidRDefault="001A6556" w:rsidP="00E011B7">
            <w:pPr>
              <w:cnfStyle w:val="000000100000"/>
            </w:pPr>
            <w:r w:rsidRPr="00394894">
              <w:t>$ per kilogram</w:t>
            </w:r>
          </w:p>
        </w:tc>
        <w:tc>
          <w:tcPr>
            <w:tcW w:w="1849" w:type="dxa"/>
          </w:tcPr>
          <w:p w:rsidR="001A6556" w:rsidRPr="00394894" w:rsidRDefault="001A6556" w:rsidP="00E011B7">
            <w:pPr>
              <w:cnfStyle w:val="000000100000"/>
            </w:pPr>
            <w:r w:rsidRPr="00394894">
              <w:t>$ per litre</w:t>
            </w:r>
          </w:p>
        </w:tc>
        <w:tc>
          <w:tcPr>
            <w:tcW w:w="1849" w:type="dxa"/>
          </w:tcPr>
          <w:p w:rsidR="001A6556" w:rsidRPr="00394894" w:rsidRDefault="001A6556" w:rsidP="00E011B7">
            <w:pPr>
              <w:cnfStyle w:val="000000100000"/>
            </w:pPr>
            <w:r w:rsidRPr="00394894">
              <w:t>$ per litre</w:t>
            </w:r>
          </w:p>
        </w:tc>
      </w:tr>
      <w:tr w:rsidR="001A6556" w:rsidRPr="00394894" w:rsidTr="00E011B7">
        <w:tc>
          <w:tcPr>
            <w:cnfStyle w:val="001000000000"/>
            <w:tcW w:w="1848" w:type="dxa"/>
          </w:tcPr>
          <w:p w:rsidR="001A6556" w:rsidRPr="00394894" w:rsidRDefault="001A6556" w:rsidP="00E011B7">
            <w:r w:rsidRPr="00394894">
              <w:t>2011-12*</w:t>
            </w:r>
          </w:p>
        </w:tc>
        <w:tc>
          <w:tcPr>
            <w:tcW w:w="1848" w:type="dxa"/>
          </w:tcPr>
          <w:p w:rsidR="001A6556" w:rsidRPr="00394894" w:rsidRDefault="001A6556" w:rsidP="00E011B7">
            <w:pPr>
              <w:cnfStyle w:val="000000000000"/>
            </w:pPr>
            <w:r w:rsidRPr="00394894">
              <w:t>0.02500</w:t>
            </w:r>
          </w:p>
        </w:tc>
        <w:tc>
          <w:tcPr>
            <w:tcW w:w="1848" w:type="dxa"/>
          </w:tcPr>
          <w:p w:rsidR="001A6556" w:rsidRPr="00394894" w:rsidRDefault="001A6556" w:rsidP="00E011B7">
            <w:pPr>
              <w:cnfStyle w:val="000000000000"/>
            </w:pPr>
            <w:r w:rsidRPr="00394894">
              <w:t>0.05224</w:t>
            </w:r>
          </w:p>
        </w:tc>
        <w:tc>
          <w:tcPr>
            <w:tcW w:w="1849" w:type="dxa"/>
          </w:tcPr>
          <w:p w:rsidR="001A6556" w:rsidRPr="00394894" w:rsidRDefault="001A6556" w:rsidP="00E011B7">
            <w:pPr>
              <w:cnfStyle w:val="000000000000"/>
            </w:pPr>
            <w:r w:rsidRPr="00394894">
              <w:t>0.38143</w:t>
            </w:r>
          </w:p>
        </w:tc>
        <w:tc>
          <w:tcPr>
            <w:tcW w:w="1849" w:type="dxa"/>
          </w:tcPr>
          <w:p w:rsidR="001A6556" w:rsidRPr="00394894" w:rsidRDefault="001A6556" w:rsidP="00E011B7">
            <w:pPr>
              <w:cnfStyle w:val="000000000000"/>
            </w:pPr>
            <w:r w:rsidRPr="00394894">
              <w:t>0.38143</w:t>
            </w:r>
          </w:p>
        </w:tc>
      </w:tr>
      <w:tr w:rsidR="001A6556" w:rsidRPr="00394894" w:rsidTr="00E011B7">
        <w:trPr>
          <w:cnfStyle w:val="000000100000"/>
        </w:trPr>
        <w:tc>
          <w:tcPr>
            <w:cnfStyle w:val="001000000000"/>
            <w:tcW w:w="1848" w:type="dxa"/>
          </w:tcPr>
          <w:p w:rsidR="001A6556" w:rsidRPr="00394894" w:rsidRDefault="001A6556" w:rsidP="00E011B7">
            <w:r w:rsidRPr="00394894">
              <w:t>2012-13</w:t>
            </w:r>
          </w:p>
        </w:tc>
        <w:tc>
          <w:tcPr>
            <w:tcW w:w="1848" w:type="dxa"/>
          </w:tcPr>
          <w:p w:rsidR="001A6556" w:rsidRPr="00394894" w:rsidRDefault="001A6556" w:rsidP="00E011B7">
            <w:pPr>
              <w:cnfStyle w:val="000000100000"/>
            </w:pPr>
            <w:r w:rsidRPr="00394894">
              <w:t>0.05000</w:t>
            </w:r>
          </w:p>
        </w:tc>
        <w:tc>
          <w:tcPr>
            <w:tcW w:w="1848" w:type="dxa"/>
          </w:tcPr>
          <w:p w:rsidR="001A6556" w:rsidRPr="00394894" w:rsidRDefault="001A6556" w:rsidP="00E011B7">
            <w:pPr>
              <w:cnfStyle w:val="000000100000"/>
            </w:pPr>
            <w:r w:rsidRPr="00394894">
              <w:t>0.10448</w:t>
            </w:r>
          </w:p>
        </w:tc>
        <w:tc>
          <w:tcPr>
            <w:tcW w:w="1849" w:type="dxa"/>
          </w:tcPr>
          <w:p w:rsidR="001A6556" w:rsidRPr="00394894" w:rsidRDefault="001A6556" w:rsidP="00E011B7">
            <w:pPr>
              <w:cnfStyle w:val="000000100000"/>
            </w:pPr>
            <w:r w:rsidRPr="00394894">
              <w:t>0.38143</w:t>
            </w:r>
          </w:p>
        </w:tc>
        <w:tc>
          <w:tcPr>
            <w:tcW w:w="1849" w:type="dxa"/>
          </w:tcPr>
          <w:p w:rsidR="001A6556" w:rsidRPr="00394894" w:rsidRDefault="001A6556" w:rsidP="00E011B7">
            <w:pPr>
              <w:cnfStyle w:val="000000100000"/>
            </w:pPr>
            <w:r w:rsidRPr="00394894">
              <w:t>0.38143</w:t>
            </w:r>
          </w:p>
        </w:tc>
      </w:tr>
      <w:tr w:rsidR="001A6556" w:rsidRPr="00394894" w:rsidTr="00E011B7">
        <w:tc>
          <w:tcPr>
            <w:cnfStyle w:val="001000000000"/>
            <w:tcW w:w="1848" w:type="dxa"/>
          </w:tcPr>
          <w:p w:rsidR="001A6556" w:rsidRPr="00394894" w:rsidRDefault="001A6556" w:rsidP="00E011B7">
            <w:r w:rsidRPr="00394894">
              <w:t>2013-14</w:t>
            </w:r>
          </w:p>
        </w:tc>
        <w:tc>
          <w:tcPr>
            <w:tcW w:w="1848" w:type="dxa"/>
          </w:tcPr>
          <w:p w:rsidR="001A6556" w:rsidRPr="00394894" w:rsidRDefault="001A6556" w:rsidP="00E011B7">
            <w:pPr>
              <w:cnfStyle w:val="000000000000"/>
            </w:pPr>
            <w:r w:rsidRPr="00394894">
              <w:t>0.07500</w:t>
            </w:r>
          </w:p>
        </w:tc>
        <w:tc>
          <w:tcPr>
            <w:tcW w:w="1848" w:type="dxa"/>
          </w:tcPr>
          <w:p w:rsidR="001A6556" w:rsidRPr="00394894" w:rsidRDefault="001A6556" w:rsidP="00E011B7">
            <w:pPr>
              <w:cnfStyle w:val="000000000000"/>
            </w:pPr>
            <w:r w:rsidRPr="00394894">
              <w:t>0.15673</w:t>
            </w:r>
          </w:p>
        </w:tc>
        <w:tc>
          <w:tcPr>
            <w:tcW w:w="1849" w:type="dxa"/>
          </w:tcPr>
          <w:p w:rsidR="001A6556" w:rsidRPr="00394894" w:rsidRDefault="001A6556" w:rsidP="00E011B7">
            <w:pPr>
              <w:cnfStyle w:val="000000000000"/>
            </w:pPr>
            <w:r w:rsidRPr="00394894">
              <w:t>0.38143</w:t>
            </w:r>
          </w:p>
        </w:tc>
        <w:tc>
          <w:tcPr>
            <w:tcW w:w="1849" w:type="dxa"/>
          </w:tcPr>
          <w:p w:rsidR="001A6556" w:rsidRPr="00394894" w:rsidRDefault="001A6556" w:rsidP="00E011B7">
            <w:pPr>
              <w:cnfStyle w:val="000000000000"/>
            </w:pPr>
            <w:r w:rsidRPr="00394894">
              <w:t>0.38143</w:t>
            </w:r>
          </w:p>
        </w:tc>
      </w:tr>
      <w:tr w:rsidR="001A6556" w:rsidRPr="00394894" w:rsidTr="00E011B7">
        <w:trPr>
          <w:cnfStyle w:val="000000100000"/>
        </w:trPr>
        <w:tc>
          <w:tcPr>
            <w:cnfStyle w:val="001000000000"/>
            <w:tcW w:w="1848" w:type="dxa"/>
          </w:tcPr>
          <w:p w:rsidR="001A6556" w:rsidRPr="00394894" w:rsidRDefault="001A6556" w:rsidP="00E011B7">
            <w:r w:rsidRPr="00394894">
              <w:t>2014-15</w:t>
            </w:r>
          </w:p>
        </w:tc>
        <w:tc>
          <w:tcPr>
            <w:tcW w:w="1848" w:type="dxa"/>
          </w:tcPr>
          <w:p w:rsidR="001A6556" w:rsidRPr="00394894" w:rsidRDefault="001A6556" w:rsidP="00E011B7">
            <w:pPr>
              <w:cnfStyle w:val="000000100000"/>
            </w:pPr>
            <w:r w:rsidRPr="00394894">
              <w:t>0.10000</w:t>
            </w:r>
          </w:p>
        </w:tc>
        <w:tc>
          <w:tcPr>
            <w:tcW w:w="1848" w:type="dxa"/>
          </w:tcPr>
          <w:p w:rsidR="001A6556" w:rsidRPr="00394894" w:rsidRDefault="001A6556" w:rsidP="00E011B7">
            <w:pPr>
              <w:cnfStyle w:val="000000100000"/>
            </w:pPr>
            <w:r w:rsidRPr="00394894">
              <w:t>0.20897</w:t>
            </w:r>
          </w:p>
        </w:tc>
        <w:tc>
          <w:tcPr>
            <w:tcW w:w="1849" w:type="dxa"/>
          </w:tcPr>
          <w:p w:rsidR="001A6556" w:rsidRPr="00394894" w:rsidRDefault="001A6556" w:rsidP="00E011B7">
            <w:pPr>
              <w:cnfStyle w:val="000000100000"/>
            </w:pPr>
            <w:r w:rsidRPr="00394894">
              <w:t>0.38143</w:t>
            </w:r>
          </w:p>
        </w:tc>
        <w:tc>
          <w:tcPr>
            <w:tcW w:w="1849" w:type="dxa"/>
          </w:tcPr>
          <w:p w:rsidR="001A6556" w:rsidRPr="00394894" w:rsidRDefault="001A6556" w:rsidP="00E011B7">
            <w:pPr>
              <w:cnfStyle w:val="000000100000"/>
            </w:pPr>
            <w:r w:rsidRPr="00394894">
              <w:t>0.38143</w:t>
            </w:r>
          </w:p>
        </w:tc>
      </w:tr>
      <w:tr w:rsidR="001A6556" w:rsidRPr="00394894" w:rsidTr="00E011B7">
        <w:tc>
          <w:tcPr>
            <w:cnfStyle w:val="001000000000"/>
            <w:tcW w:w="1848" w:type="dxa"/>
          </w:tcPr>
          <w:p w:rsidR="001A6556" w:rsidRPr="00394894" w:rsidRDefault="001A6556" w:rsidP="00E011B7">
            <w:r w:rsidRPr="00394894">
              <w:t>2015-16</w:t>
            </w:r>
          </w:p>
        </w:tc>
        <w:tc>
          <w:tcPr>
            <w:tcW w:w="1848" w:type="dxa"/>
          </w:tcPr>
          <w:p w:rsidR="001A6556" w:rsidRPr="00394894" w:rsidRDefault="001A6556" w:rsidP="00E011B7">
            <w:pPr>
              <w:cnfStyle w:val="000000000000"/>
            </w:pPr>
            <w:r w:rsidRPr="00394894">
              <w:t>0.12500</w:t>
            </w:r>
          </w:p>
        </w:tc>
        <w:tc>
          <w:tcPr>
            <w:tcW w:w="1848" w:type="dxa"/>
          </w:tcPr>
          <w:p w:rsidR="001A6556" w:rsidRPr="00394894" w:rsidRDefault="001A6556" w:rsidP="00E011B7">
            <w:pPr>
              <w:cnfStyle w:val="000000000000"/>
            </w:pPr>
            <w:r w:rsidRPr="00394894">
              <w:t>0.26122</w:t>
            </w:r>
          </w:p>
        </w:tc>
        <w:tc>
          <w:tcPr>
            <w:tcW w:w="1849" w:type="dxa"/>
          </w:tcPr>
          <w:p w:rsidR="001A6556" w:rsidRPr="00394894" w:rsidRDefault="001A6556" w:rsidP="00E011B7">
            <w:pPr>
              <w:cnfStyle w:val="000000000000"/>
            </w:pPr>
            <w:r w:rsidRPr="00394894">
              <w:t>0.38143</w:t>
            </w:r>
          </w:p>
        </w:tc>
        <w:tc>
          <w:tcPr>
            <w:tcW w:w="1849" w:type="dxa"/>
          </w:tcPr>
          <w:p w:rsidR="001A6556" w:rsidRPr="00394894" w:rsidRDefault="001A6556" w:rsidP="00E011B7">
            <w:pPr>
              <w:cnfStyle w:val="000000000000"/>
            </w:pPr>
            <w:r w:rsidRPr="00394894">
              <w:t>0.38143</w:t>
            </w:r>
          </w:p>
        </w:tc>
      </w:tr>
    </w:tbl>
    <w:p w:rsidR="001A6556" w:rsidRPr="00394894" w:rsidRDefault="001A6556" w:rsidP="001A6556">
      <w:pPr>
        <w:rPr>
          <w:rFonts w:asciiTheme="minorHAnsi" w:hAnsiTheme="minorHAnsi"/>
          <w:sz w:val="18"/>
          <w:szCs w:val="18"/>
        </w:rPr>
      </w:pPr>
      <w:r w:rsidRPr="00394894">
        <w:rPr>
          <w:rFonts w:asciiTheme="minorHAnsi" w:hAnsiTheme="minorHAnsi"/>
        </w:rPr>
        <w:t xml:space="preserve">* </w:t>
      </w:r>
      <w:r w:rsidRPr="00394894">
        <w:rPr>
          <w:rFonts w:asciiTheme="minorHAnsi" w:hAnsiTheme="minorHAnsi"/>
          <w:sz w:val="18"/>
          <w:szCs w:val="18"/>
        </w:rPr>
        <w:t>LPG and natural gas rates introduced from 1 December in 2011</w:t>
      </w:r>
    </w:p>
    <w:p w:rsidR="001A6556" w:rsidRPr="00394894" w:rsidRDefault="001A6556" w:rsidP="001A6556">
      <w:pPr>
        <w:rPr>
          <w:rFonts w:asciiTheme="minorHAnsi" w:hAnsiTheme="minorHAnsi"/>
          <w:sz w:val="18"/>
          <w:szCs w:val="18"/>
        </w:rPr>
      </w:pPr>
      <w:r w:rsidRPr="00394894">
        <w:rPr>
          <w:rFonts w:asciiTheme="minorHAnsi" w:hAnsiTheme="minorHAnsi"/>
          <w:sz w:val="18"/>
          <w:szCs w:val="18"/>
        </w:rPr>
        <w:t>** Ethanol and biodiesel excise is in some cases offset by other grants. Under the Ethanol Production Grants Program, grants of 38.143 cents per litre are provided for domestic production of ethanol. The Energy Grants (Cleaner Fuels) Scheme provides 38.143 cents per litre grants for the domestic production and import of biodiesel and renewable diesel</w:t>
      </w:r>
    </w:p>
    <w:p w:rsidR="001A6556" w:rsidRDefault="001A6556" w:rsidP="001A6556">
      <w:pPr>
        <w:pStyle w:val="BodyText"/>
        <w:spacing w:after="0"/>
        <w:rPr>
          <w:rFonts w:asciiTheme="minorHAnsi" w:hAnsiTheme="minorHAnsi"/>
        </w:rPr>
      </w:pPr>
    </w:p>
    <w:p w:rsidR="001A6556" w:rsidRDefault="001A6556" w:rsidP="001A6556">
      <w:pPr>
        <w:pStyle w:val="BodyText"/>
        <w:spacing w:after="0"/>
        <w:rPr>
          <w:rFonts w:asciiTheme="minorHAnsi" w:hAnsiTheme="minorHAnsi"/>
        </w:rPr>
      </w:pPr>
      <w:r>
        <w:rPr>
          <w:rFonts w:asciiTheme="minorHAnsi" w:hAnsiTheme="minorHAnsi"/>
        </w:rPr>
        <w:lastRenderedPageBreak/>
        <w:t xml:space="preserve">The aviation sector pays an excise of </w:t>
      </w:r>
      <w:r w:rsidRPr="00632363">
        <w:rPr>
          <w:rFonts w:asciiTheme="minorHAnsi" w:hAnsiTheme="minorHAnsi"/>
        </w:rPr>
        <w:t>$0.03556 per litre from 1 July</w:t>
      </w:r>
      <w:r>
        <w:rPr>
          <w:rFonts w:asciiTheme="minorHAnsi" w:hAnsiTheme="minorHAnsi"/>
        </w:rPr>
        <w:t xml:space="preserve"> 2010 to fund the </w:t>
      </w:r>
      <w:r w:rsidRPr="00632363">
        <w:rPr>
          <w:rFonts w:asciiTheme="minorHAnsi" w:hAnsiTheme="minorHAnsi"/>
        </w:rPr>
        <w:t>Civil</w:t>
      </w:r>
      <w:r>
        <w:rPr>
          <w:rFonts w:asciiTheme="minorHAnsi" w:hAnsiTheme="minorHAnsi"/>
        </w:rPr>
        <w:t xml:space="preserve"> </w:t>
      </w:r>
      <w:r w:rsidRPr="00632363">
        <w:rPr>
          <w:rFonts w:asciiTheme="minorHAnsi" w:hAnsiTheme="minorHAnsi"/>
        </w:rPr>
        <w:t>Aviation Safety Authority (CASA)</w:t>
      </w:r>
      <w:r>
        <w:rPr>
          <w:rFonts w:asciiTheme="minorHAnsi" w:hAnsiTheme="minorHAnsi"/>
        </w:rPr>
        <w:t>.</w:t>
      </w:r>
    </w:p>
    <w:p w:rsidR="001A6556" w:rsidRPr="00394894" w:rsidRDefault="001A6556" w:rsidP="001A6556">
      <w:pPr>
        <w:pStyle w:val="BodyText"/>
        <w:spacing w:after="0"/>
        <w:rPr>
          <w:rFonts w:asciiTheme="minorHAnsi" w:hAnsiTheme="minorHAnsi"/>
        </w:rPr>
      </w:pPr>
    </w:p>
    <w:p w:rsidR="001A6556" w:rsidRPr="00394894" w:rsidRDefault="001A6556" w:rsidP="001A6556">
      <w:pPr>
        <w:pStyle w:val="Heading4"/>
        <w:spacing w:before="0"/>
        <w:rPr>
          <w:rFonts w:asciiTheme="minorHAnsi" w:hAnsiTheme="minorHAnsi"/>
        </w:rPr>
      </w:pPr>
      <w:bookmarkStart w:id="71" w:name="_Toc308600744"/>
      <w:r w:rsidRPr="00394894">
        <w:rPr>
          <w:rFonts w:asciiTheme="minorHAnsi" w:hAnsiTheme="minorHAnsi"/>
        </w:rPr>
        <w:t>New South Wales biofuel mandate</w:t>
      </w:r>
      <w:bookmarkEnd w:id="71"/>
    </w:p>
    <w:p w:rsidR="001A6556" w:rsidRPr="00394894" w:rsidRDefault="001A6556" w:rsidP="001A6556">
      <w:pPr>
        <w:pStyle w:val="BodyText"/>
        <w:spacing w:after="0"/>
        <w:rPr>
          <w:rFonts w:asciiTheme="minorHAnsi" w:hAnsiTheme="minorHAnsi"/>
        </w:rPr>
      </w:pPr>
      <w:r w:rsidRPr="00394894">
        <w:rPr>
          <w:rFonts w:asciiTheme="minorHAnsi" w:hAnsiTheme="minorHAnsi"/>
        </w:rPr>
        <w:t xml:space="preserve">Under the </w:t>
      </w:r>
      <w:r w:rsidRPr="00394894">
        <w:rPr>
          <w:rFonts w:asciiTheme="minorHAnsi" w:hAnsiTheme="minorHAnsi"/>
          <w:i/>
        </w:rPr>
        <w:t>Biofuel (Ethanol Content) Act 2007</w:t>
      </w:r>
      <w:r>
        <w:rPr>
          <w:rStyle w:val="FootnoteReference"/>
          <w:rFonts w:asciiTheme="minorHAnsi" w:hAnsiTheme="minorHAnsi"/>
          <w:i/>
        </w:rPr>
        <w:footnoteReference w:id="7"/>
      </w:r>
      <w:r w:rsidRPr="00394894">
        <w:rPr>
          <w:rFonts w:asciiTheme="minorHAnsi" w:hAnsiTheme="minorHAnsi"/>
          <w:i/>
        </w:rPr>
        <w:t>,</w:t>
      </w:r>
      <w:r w:rsidRPr="00394894">
        <w:rPr>
          <w:rFonts w:asciiTheme="minorHAnsi" w:hAnsiTheme="minorHAnsi"/>
        </w:rPr>
        <w:t xml:space="preserve"> which came into effect on 1 October 2007, primary petrol wholesalers must ensure that ethanol makes up a minimum of 2 per cent of the total volume of NSW sales. Not all fuels sold will contain ethanol but the consumer has the choice of filling up with E10 petrol (contains a blend of 10 per cent ethanol).</w:t>
      </w:r>
    </w:p>
    <w:p w:rsidR="001A6556" w:rsidRPr="00394894" w:rsidRDefault="001A6556" w:rsidP="001A6556">
      <w:pPr>
        <w:pStyle w:val="BodyText"/>
        <w:spacing w:after="0"/>
        <w:rPr>
          <w:rFonts w:asciiTheme="minorHAnsi" w:hAnsiTheme="minorHAnsi"/>
        </w:rPr>
      </w:pPr>
      <w:r w:rsidRPr="00394894">
        <w:rPr>
          <w:rFonts w:asciiTheme="minorHAnsi" w:hAnsiTheme="minorHAnsi"/>
        </w:rPr>
        <w:t xml:space="preserve">The </w:t>
      </w:r>
      <w:r w:rsidRPr="00394894">
        <w:rPr>
          <w:rFonts w:asciiTheme="minorHAnsi" w:hAnsiTheme="minorHAnsi"/>
          <w:i/>
        </w:rPr>
        <w:t>Biofuel (Ethanol Content) Amendment Act 2009</w:t>
      </w:r>
      <w:r w:rsidRPr="00394894">
        <w:rPr>
          <w:rFonts w:asciiTheme="minorHAnsi" w:hAnsiTheme="minorHAnsi"/>
        </w:rPr>
        <w:t>, which came into effect on 1 October 2009, does the following:</w:t>
      </w:r>
    </w:p>
    <w:p w:rsidR="001A6556" w:rsidRPr="00394894" w:rsidRDefault="001A6556" w:rsidP="00E5753E">
      <w:pPr>
        <w:pStyle w:val="BodyText1"/>
        <w:numPr>
          <w:ilvl w:val="0"/>
          <w:numId w:val="18"/>
        </w:numPr>
        <w:spacing w:after="0"/>
        <w:rPr>
          <w:rFonts w:asciiTheme="minorHAnsi" w:hAnsiTheme="minorHAnsi"/>
        </w:rPr>
      </w:pPr>
      <w:r w:rsidRPr="00394894">
        <w:rPr>
          <w:rFonts w:asciiTheme="minorHAnsi" w:hAnsiTheme="minorHAnsi"/>
        </w:rPr>
        <w:t>Increases the volumetric ethanol mandate to 4% from 1 January 2010</w:t>
      </w:r>
    </w:p>
    <w:p w:rsidR="001A6556" w:rsidRPr="00394894" w:rsidRDefault="001A6556" w:rsidP="00E5753E">
      <w:pPr>
        <w:pStyle w:val="BodyText1"/>
        <w:numPr>
          <w:ilvl w:val="0"/>
          <w:numId w:val="18"/>
        </w:numPr>
        <w:spacing w:after="0"/>
        <w:rPr>
          <w:rFonts w:asciiTheme="minorHAnsi" w:hAnsiTheme="minorHAnsi"/>
        </w:rPr>
      </w:pPr>
      <w:r w:rsidRPr="00394894">
        <w:rPr>
          <w:rFonts w:asciiTheme="minorHAnsi" w:hAnsiTheme="minorHAnsi"/>
        </w:rPr>
        <w:t>Further increases the ethanol mandate to 6% from 1 July 2011</w:t>
      </w:r>
    </w:p>
    <w:p w:rsidR="001A6556" w:rsidRPr="00394894" w:rsidRDefault="001A6556" w:rsidP="00E5753E">
      <w:pPr>
        <w:pStyle w:val="BodyText1"/>
        <w:numPr>
          <w:ilvl w:val="0"/>
          <w:numId w:val="18"/>
        </w:numPr>
        <w:spacing w:after="0"/>
        <w:rPr>
          <w:rFonts w:asciiTheme="minorHAnsi" w:hAnsiTheme="minorHAnsi"/>
        </w:rPr>
      </w:pPr>
      <w:r w:rsidRPr="00394894">
        <w:rPr>
          <w:rFonts w:asciiTheme="minorHAnsi" w:hAnsiTheme="minorHAnsi"/>
        </w:rPr>
        <w:t>Requires all regular grade unleaded petrol to be E10 from 1 July 2012</w:t>
      </w:r>
    </w:p>
    <w:p w:rsidR="001A6556" w:rsidRPr="00394894" w:rsidRDefault="001A6556" w:rsidP="00E5753E">
      <w:pPr>
        <w:pStyle w:val="BodyText1"/>
        <w:numPr>
          <w:ilvl w:val="0"/>
          <w:numId w:val="18"/>
        </w:numPr>
        <w:spacing w:after="0"/>
        <w:rPr>
          <w:rFonts w:asciiTheme="minorHAnsi" w:hAnsiTheme="minorHAnsi"/>
        </w:rPr>
      </w:pPr>
      <w:r w:rsidRPr="00394894">
        <w:rPr>
          <w:rFonts w:asciiTheme="minorHAnsi" w:hAnsiTheme="minorHAnsi"/>
        </w:rPr>
        <w:t>Establishes a volumetric biodiesel mandate of 2% (this requirement w</w:t>
      </w:r>
      <w:r>
        <w:rPr>
          <w:rFonts w:asciiTheme="minorHAnsi" w:hAnsiTheme="minorHAnsi"/>
        </w:rPr>
        <w:t>as</w:t>
      </w:r>
      <w:r w:rsidRPr="00394894">
        <w:rPr>
          <w:rFonts w:asciiTheme="minorHAnsi" w:hAnsiTheme="minorHAnsi"/>
        </w:rPr>
        <w:t xml:space="preserve"> suspended until 1 January 2010)</w:t>
      </w:r>
    </w:p>
    <w:p w:rsidR="001A6556" w:rsidRPr="00394894" w:rsidRDefault="001A6556" w:rsidP="00E5753E">
      <w:pPr>
        <w:pStyle w:val="BodyText1"/>
        <w:numPr>
          <w:ilvl w:val="0"/>
          <w:numId w:val="18"/>
        </w:numPr>
        <w:spacing w:after="0"/>
        <w:rPr>
          <w:rFonts w:asciiTheme="minorHAnsi" w:hAnsiTheme="minorHAnsi"/>
        </w:rPr>
      </w:pPr>
      <w:r w:rsidRPr="00394894">
        <w:rPr>
          <w:rFonts w:asciiTheme="minorHAnsi" w:hAnsiTheme="minorHAnsi"/>
        </w:rPr>
        <w:t>Increases the biodiesel mandate to 5% from 1 January 2012 (</w:t>
      </w:r>
      <w:r w:rsidRPr="00394894">
        <w:rPr>
          <w:rFonts w:asciiTheme="minorHAnsi" w:hAnsiTheme="minorHAnsi" w:cs="Arial"/>
          <w:color w:val="000000"/>
        </w:rPr>
        <w:t>this requirement has been suspended until sufficient local production is available)</w:t>
      </w:r>
    </w:p>
    <w:p w:rsidR="001A6556" w:rsidRPr="00394894" w:rsidRDefault="001A6556" w:rsidP="00E5753E">
      <w:pPr>
        <w:pStyle w:val="BodyText1"/>
        <w:numPr>
          <w:ilvl w:val="0"/>
          <w:numId w:val="18"/>
        </w:numPr>
        <w:spacing w:after="0"/>
        <w:rPr>
          <w:rFonts w:asciiTheme="minorHAnsi" w:hAnsiTheme="minorHAnsi"/>
        </w:rPr>
      </w:pPr>
      <w:r w:rsidRPr="00394894">
        <w:rPr>
          <w:rFonts w:asciiTheme="minorHAnsi" w:hAnsiTheme="minorHAnsi"/>
        </w:rPr>
        <w:t>Amends the definition of primary wholesaler to include diesel as well as petrol wholesalers</w:t>
      </w:r>
    </w:p>
    <w:p w:rsidR="001A6556" w:rsidRPr="00394894" w:rsidRDefault="001A6556" w:rsidP="00E5753E">
      <w:pPr>
        <w:pStyle w:val="BodyText1"/>
        <w:numPr>
          <w:ilvl w:val="0"/>
          <w:numId w:val="18"/>
        </w:numPr>
        <w:spacing w:after="0"/>
        <w:rPr>
          <w:rFonts w:asciiTheme="minorHAnsi" w:hAnsiTheme="minorHAnsi"/>
        </w:rPr>
      </w:pPr>
      <w:r w:rsidRPr="00394894">
        <w:rPr>
          <w:rFonts w:asciiTheme="minorHAnsi" w:hAnsiTheme="minorHAnsi"/>
        </w:rPr>
        <w:t>Applies the volumetric mandates to major retailers (those that control more than 20 service stations) as well as primary wholesalers</w:t>
      </w:r>
    </w:p>
    <w:p w:rsidR="001A6556" w:rsidRPr="00394894" w:rsidRDefault="001A6556" w:rsidP="00E5753E">
      <w:pPr>
        <w:pStyle w:val="BodyText1"/>
        <w:numPr>
          <w:ilvl w:val="0"/>
          <w:numId w:val="18"/>
        </w:numPr>
        <w:spacing w:after="0"/>
        <w:rPr>
          <w:rFonts w:asciiTheme="minorHAnsi" w:hAnsiTheme="minorHAnsi"/>
        </w:rPr>
      </w:pPr>
      <w:r w:rsidRPr="00394894">
        <w:rPr>
          <w:rFonts w:asciiTheme="minorHAnsi" w:hAnsiTheme="minorHAnsi"/>
        </w:rPr>
        <w:t>Provides for sustainability standards for biofuels, and</w:t>
      </w:r>
    </w:p>
    <w:p w:rsidR="001A6556" w:rsidRPr="00394894" w:rsidRDefault="001A6556" w:rsidP="00E5753E">
      <w:pPr>
        <w:pStyle w:val="BodyText1"/>
        <w:numPr>
          <w:ilvl w:val="0"/>
          <w:numId w:val="18"/>
        </w:numPr>
        <w:spacing w:after="0"/>
        <w:rPr>
          <w:rFonts w:asciiTheme="minorHAnsi" w:hAnsiTheme="minorHAnsi"/>
        </w:rPr>
      </w:pPr>
      <w:r w:rsidRPr="00394894">
        <w:rPr>
          <w:rFonts w:asciiTheme="minorHAnsi" w:hAnsiTheme="minorHAnsi"/>
        </w:rPr>
        <w:t>Provides for exemptions from the requirement for all unleaded petrol (ULP) to be E10, for marinas and small businesses suffering hardship.</w:t>
      </w:r>
    </w:p>
    <w:p w:rsidR="001A6556" w:rsidRPr="00394894" w:rsidRDefault="001A6556" w:rsidP="001A6556">
      <w:pPr>
        <w:pStyle w:val="BodyText"/>
        <w:spacing w:after="0"/>
        <w:rPr>
          <w:rFonts w:asciiTheme="minorHAnsi" w:hAnsiTheme="minorHAnsi"/>
        </w:rPr>
      </w:pPr>
    </w:p>
    <w:p w:rsidR="001A6556" w:rsidRPr="00394894" w:rsidRDefault="001A6556" w:rsidP="001A6556">
      <w:pPr>
        <w:pStyle w:val="BodyText"/>
        <w:spacing w:after="0"/>
        <w:rPr>
          <w:rFonts w:asciiTheme="minorHAnsi" w:hAnsiTheme="minorHAnsi"/>
        </w:rPr>
      </w:pPr>
      <w:r w:rsidRPr="00394894">
        <w:rPr>
          <w:rFonts w:asciiTheme="minorHAnsi" w:hAnsiTheme="minorHAnsi"/>
        </w:rPr>
        <w:t>The Amendment Act provides that the implementation dates may be delayed or measures may be wholly or partly suspended under certain circumstances, for example, if sufficient feedstock or production of biofuels is not available.</w:t>
      </w:r>
    </w:p>
    <w:p w:rsidR="001A6556" w:rsidRPr="00394894" w:rsidRDefault="001A6556" w:rsidP="001A6556">
      <w:pPr>
        <w:pStyle w:val="BodyText"/>
        <w:spacing w:after="0"/>
        <w:rPr>
          <w:rFonts w:asciiTheme="minorHAnsi" w:hAnsiTheme="minorHAnsi"/>
        </w:rPr>
      </w:pPr>
    </w:p>
    <w:p w:rsidR="001A6556" w:rsidRDefault="001A6556" w:rsidP="001A6556">
      <w:pPr>
        <w:pStyle w:val="BodyText"/>
        <w:spacing w:after="0"/>
        <w:rPr>
          <w:rFonts w:asciiTheme="minorHAnsi" w:hAnsiTheme="minorHAnsi"/>
        </w:rPr>
      </w:pPr>
      <w:r w:rsidRPr="00394894">
        <w:rPr>
          <w:rFonts w:asciiTheme="minorHAnsi" w:hAnsiTheme="minorHAnsi"/>
        </w:rPr>
        <w:t>The Biofuels Amendment Act 2012 implemented a policy change to remove the requirement for all regular grade unleaded petrol to be E10 and this came into effect on 29 May 2012.</w:t>
      </w:r>
    </w:p>
    <w:p w:rsidR="00762472" w:rsidRPr="00394894" w:rsidRDefault="00762472" w:rsidP="001A6556">
      <w:pPr>
        <w:pStyle w:val="BodyText"/>
        <w:spacing w:after="0"/>
        <w:rPr>
          <w:rFonts w:asciiTheme="minorHAnsi" w:hAnsiTheme="minorHAnsi"/>
        </w:rPr>
      </w:pPr>
    </w:p>
    <w:p w:rsidR="001A6556" w:rsidRPr="00394894" w:rsidRDefault="001A6556" w:rsidP="001A6556">
      <w:pPr>
        <w:pStyle w:val="BodyText"/>
        <w:spacing w:after="0"/>
        <w:rPr>
          <w:rFonts w:asciiTheme="minorHAnsi" w:hAnsiTheme="minorHAnsi"/>
        </w:rPr>
      </w:pPr>
      <w:r w:rsidRPr="00394894">
        <w:rPr>
          <w:rFonts w:asciiTheme="minorHAnsi" w:hAnsiTheme="minorHAnsi"/>
        </w:rPr>
        <w:t>The New South Wales biofuels mandate is directly applied in the model as a constraint on the minimum use of biofuels in fuel consumed by vehicles in NSW.</w:t>
      </w:r>
    </w:p>
    <w:p w:rsidR="001A6556" w:rsidRPr="00394894" w:rsidRDefault="001A6556" w:rsidP="001A6556">
      <w:pPr>
        <w:pStyle w:val="BodyText"/>
        <w:spacing w:after="0"/>
        <w:rPr>
          <w:rFonts w:asciiTheme="minorHAnsi" w:hAnsiTheme="minorHAnsi"/>
        </w:rPr>
      </w:pPr>
    </w:p>
    <w:p w:rsidR="001A6556" w:rsidRPr="00394894" w:rsidRDefault="001A6556" w:rsidP="001A6556">
      <w:pPr>
        <w:pStyle w:val="Heading4"/>
        <w:spacing w:before="0"/>
        <w:rPr>
          <w:rFonts w:asciiTheme="minorHAnsi" w:hAnsiTheme="minorHAnsi"/>
        </w:rPr>
      </w:pPr>
      <w:bookmarkStart w:id="72" w:name="_Toc308600745"/>
      <w:r w:rsidRPr="00394894">
        <w:rPr>
          <w:rFonts w:asciiTheme="minorHAnsi" w:hAnsiTheme="minorHAnsi"/>
        </w:rPr>
        <w:t>LPG Vehicle scheme</w:t>
      </w:r>
      <w:bookmarkEnd w:id="72"/>
    </w:p>
    <w:p w:rsidR="001A6556" w:rsidRDefault="001A6556" w:rsidP="001A6556">
      <w:pPr>
        <w:pStyle w:val="BodyText"/>
        <w:spacing w:after="0"/>
        <w:rPr>
          <w:rFonts w:asciiTheme="minorHAnsi" w:hAnsiTheme="minorHAnsi"/>
        </w:rPr>
      </w:pPr>
      <w:r>
        <w:rPr>
          <w:rFonts w:asciiTheme="minorHAnsi" w:hAnsiTheme="minorHAnsi"/>
        </w:rPr>
        <w:t xml:space="preserve">The LPG vehicle scheme provides </w:t>
      </w:r>
      <w:r w:rsidRPr="00810688">
        <w:rPr>
          <w:rFonts w:asciiTheme="minorHAnsi" w:hAnsiTheme="minorHAnsi"/>
        </w:rPr>
        <w:t xml:space="preserve">$1,000 for the LPG conversion of a used, registered vehicle completed between </w:t>
      </w:r>
      <w:r>
        <w:rPr>
          <w:rFonts w:asciiTheme="minorHAnsi" w:hAnsiTheme="minorHAnsi"/>
        </w:rPr>
        <w:t xml:space="preserve">1 July 2012 and 30 June 2014. For new vehicles </w:t>
      </w:r>
      <w:r w:rsidRPr="00810688">
        <w:rPr>
          <w:rFonts w:asciiTheme="minorHAnsi" w:hAnsiTheme="minorHAnsi"/>
        </w:rPr>
        <w:t>fitted with LPG before first registration</w:t>
      </w:r>
      <w:r>
        <w:rPr>
          <w:rFonts w:asciiTheme="minorHAnsi" w:hAnsiTheme="minorHAnsi"/>
        </w:rPr>
        <w:t xml:space="preserve"> </w:t>
      </w:r>
      <w:r w:rsidRPr="00810688">
        <w:rPr>
          <w:rFonts w:asciiTheme="minorHAnsi" w:hAnsiTheme="minorHAnsi"/>
        </w:rPr>
        <w:t xml:space="preserve">$2,000 </w:t>
      </w:r>
      <w:r>
        <w:rPr>
          <w:rFonts w:asciiTheme="minorHAnsi" w:hAnsiTheme="minorHAnsi"/>
        </w:rPr>
        <w:t>is provided if</w:t>
      </w:r>
      <w:r w:rsidRPr="00810688">
        <w:rPr>
          <w:rFonts w:asciiTheme="minorHAnsi" w:hAnsiTheme="minorHAnsi"/>
        </w:rPr>
        <w:t xml:space="preserve"> completed by 30 June 2014.  This includes vehicles fitted with LPG at the time of manufacture, and vehicles fitted with LPG after manufacture but before first registration</w:t>
      </w:r>
      <w:r>
        <w:rPr>
          <w:rStyle w:val="FootnoteReference"/>
          <w:rFonts w:asciiTheme="minorHAnsi" w:hAnsiTheme="minorHAnsi"/>
        </w:rPr>
        <w:footnoteReference w:id="8"/>
      </w:r>
      <w:r w:rsidRPr="00810688">
        <w:rPr>
          <w:rFonts w:asciiTheme="minorHAnsi" w:hAnsiTheme="minorHAnsi"/>
        </w:rPr>
        <w:t>.</w:t>
      </w:r>
    </w:p>
    <w:p w:rsidR="001A6556" w:rsidRDefault="001A6556" w:rsidP="001A6556"/>
    <w:p w:rsidR="001A6556" w:rsidRDefault="001A6556" w:rsidP="001A6556">
      <w:pPr>
        <w:pStyle w:val="Heading3"/>
      </w:pPr>
      <w:r>
        <w:lastRenderedPageBreak/>
        <w:t>Combined impact of excise, oil and gas price assumptions</w:t>
      </w:r>
    </w:p>
    <w:p w:rsidR="001A6556" w:rsidRDefault="001A6556" w:rsidP="001A6556">
      <w:r>
        <w:t xml:space="preserve">By applying Gargett (2010) we can calculate retail fuel prices from the combined impact of the oil and gas price assumptions and assumed excise changes. These are shown in </w:t>
      </w:r>
      <w:r w:rsidR="00C14EF7">
        <w:fldChar w:fldCharType="begin"/>
      </w:r>
      <w:r>
        <w:instrText xml:space="preserve"> REF _Ref365651893 \h </w:instrText>
      </w:r>
      <w:r w:rsidR="00C14EF7">
        <w:fldChar w:fldCharType="separate"/>
      </w:r>
      <w:r w:rsidR="003E0F65">
        <w:t xml:space="preserve">Figure </w:t>
      </w:r>
      <w:r w:rsidR="003E0F65">
        <w:rPr>
          <w:noProof/>
        </w:rPr>
        <w:t>4</w:t>
      </w:r>
      <w:r w:rsidR="003E0F65">
        <w:noBreakHyphen/>
      </w:r>
      <w:r w:rsidR="003E0F65">
        <w:rPr>
          <w:noProof/>
        </w:rPr>
        <w:t>7</w:t>
      </w:r>
      <w:r w:rsidR="00C14EF7">
        <w:fldChar w:fldCharType="end"/>
      </w:r>
      <w:r>
        <w:t xml:space="preserve"> and </w:t>
      </w:r>
      <w:r w:rsidR="00C14EF7">
        <w:fldChar w:fldCharType="begin"/>
      </w:r>
      <w:r>
        <w:instrText xml:space="preserve"> REF _Ref365651895 \h </w:instrText>
      </w:r>
      <w:r w:rsidR="00C14EF7">
        <w:fldChar w:fldCharType="separate"/>
      </w:r>
      <w:r w:rsidR="003E0F65">
        <w:t xml:space="preserve">Figure </w:t>
      </w:r>
      <w:r w:rsidR="003E0F65">
        <w:rPr>
          <w:noProof/>
        </w:rPr>
        <w:t>4</w:t>
      </w:r>
      <w:r w:rsidR="003E0F65">
        <w:noBreakHyphen/>
      </w:r>
      <w:r w:rsidR="003E0F65">
        <w:rPr>
          <w:noProof/>
        </w:rPr>
        <w:t>8</w:t>
      </w:r>
      <w:r w:rsidR="00C14EF7">
        <w:fldChar w:fldCharType="end"/>
      </w:r>
      <w:r>
        <w:t>. Before we have seen the modelling results in the next part of this report they already tell us a great deal:</w:t>
      </w:r>
    </w:p>
    <w:p w:rsidR="001A6556" w:rsidRDefault="001A6556" w:rsidP="00E5753E">
      <w:pPr>
        <w:pStyle w:val="ListParagraph"/>
        <w:numPr>
          <w:ilvl w:val="0"/>
          <w:numId w:val="23"/>
        </w:numPr>
        <w:rPr>
          <w:rFonts w:asciiTheme="minorHAnsi" w:hAnsiTheme="minorHAnsi"/>
        </w:rPr>
      </w:pPr>
      <w:r w:rsidRPr="00632363">
        <w:rPr>
          <w:rFonts w:asciiTheme="minorHAnsi" w:hAnsiTheme="minorHAnsi"/>
        </w:rPr>
        <w:t xml:space="preserve">LPG will become less competitive </w:t>
      </w:r>
      <w:r w:rsidR="000F4C03">
        <w:rPr>
          <w:rFonts w:asciiTheme="minorHAnsi" w:hAnsiTheme="minorHAnsi"/>
        </w:rPr>
        <w:t>in the short term</w:t>
      </w:r>
      <w:r>
        <w:rPr>
          <w:rFonts w:asciiTheme="minorHAnsi" w:hAnsiTheme="minorHAnsi"/>
        </w:rPr>
        <w:t xml:space="preserve"> owing to its movement being assumed to follow the oil price but with a smaller excise buffer to absorb that impact</w:t>
      </w:r>
      <w:r w:rsidR="000F4C03">
        <w:rPr>
          <w:rFonts w:asciiTheme="minorHAnsi" w:hAnsiTheme="minorHAnsi"/>
        </w:rPr>
        <w:t>. Its prospects may improve if it can offset this with lower LPG vehicle costs or more efficient LPG engines which have been assumed to some extent</w:t>
      </w:r>
    </w:p>
    <w:p w:rsidR="001A6556" w:rsidRDefault="001A6556" w:rsidP="00E5753E">
      <w:pPr>
        <w:pStyle w:val="ListParagraph"/>
        <w:numPr>
          <w:ilvl w:val="0"/>
          <w:numId w:val="23"/>
        </w:numPr>
        <w:rPr>
          <w:rFonts w:asciiTheme="minorHAnsi" w:hAnsiTheme="minorHAnsi"/>
        </w:rPr>
      </w:pPr>
      <w:r>
        <w:rPr>
          <w:rFonts w:asciiTheme="minorHAnsi" w:hAnsiTheme="minorHAnsi"/>
        </w:rPr>
        <w:t>CNG and LNG could be competitive in the passenger and freight road vehicle markets provided vehicle modifications are low cost such that they do not more than offset the fuel price savings</w:t>
      </w:r>
      <w:r w:rsidR="000F4C03">
        <w:rPr>
          <w:rFonts w:asciiTheme="minorHAnsi" w:hAnsiTheme="minorHAnsi"/>
        </w:rPr>
        <w:t>. Higher kilometres vehicle modes will be able to take the most advantage of this widening gap.</w:t>
      </w:r>
    </w:p>
    <w:p w:rsidR="001A6556" w:rsidRPr="0090056D" w:rsidRDefault="001A6556" w:rsidP="00957B8A">
      <w:pPr>
        <w:rPr>
          <w:rFonts w:asciiTheme="minorHAnsi" w:hAnsiTheme="minorHAnsi"/>
        </w:rPr>
      </w:pPr>
    </w:p>
    <w:p w:rsidR="001A6556" w:rsidRDefault="001A6556" w:rsidP="00957B8A">
      <w:r w:rsidRPr="00B957E6">
        <w:rPr>
          <w:noProof/>
        </w:rPr>
        <w:drawing>
          <wp:inline distT="0" distB="0" distL="0" distR="0">
            <wp:extent cx="6120130" cy="3721969"/>
            <wp:effectExtent l="19050" t="0" r="0" b="0"/>
            <wp:docPr id="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srcRect/>
                    <a:stretch>
                      <a:fillRect/>
                    </a:stretch>
                  </pic:blipFill>
                  <pic:spPr bwMode="auto">
                    <a:xfrm>
                      <a:off x="0" y="0"/>
                      <a:ext cx="6120130" cy="3721969"/>
                    </a:xfrm>
                    <a:prstGeom prst="rect">
                      <a:avLst/>
                    </a:prstGeom>
                    <a:noFill/>
                    <a:ln w="9525">
                      <a:noFill/>
                      <a:miter lim="800000"/>
                      <a:headEnd/>
                      <a:tailEnd/>
                    </a:ln>
                  </pic:spPr>
                </pic:pic>
              </a:graphicData>
            </a:graphic>
          </wp:inline>
        </w:drawing>
      </w:r>
    </w:p>
    <w:p w:rsidR="001A6556" w:rsidRDefault="001A6556" w:rsidP="001A6556">
      <w:pPr>
        <w:pStyle w:val="Caption"/>
      </w:pPr>
      <w:bookmarkStart w:id="73" w:name="_Ref365651893"/>
      <w:bookmarkStart w:id="74" w:name="_Toc366227336"/>
      <w:r>
        <w:t xml:space="preserve">Figure </w:t>
      </w:r>
      <w:r w:rsidR="00C14EF7">
        <w:fldChar w:fldCharType="begin"/>
      </w:r>
      <w:r w:rsidR="005B253B">
        <w:instrText xml:space="preserve"> STYLEREF 1 \s </w:instrText>
      </w:r>
      <w:r w:rsidR="00C14EF7">
        <w:fldChar w:fldCharType="separate"/>
      </w:r>
      <w:r w:rsidR="003E0F65">
        <w:rPr>
          <w:noProof/>
        </w:rPr>
        <w:t>4</w:t>
      </w:r>
      <w:r w:rsidR="00C14EF7">
        <w:fldChar w:fldCharType="end"/>
      </w:r>
      <w:r w:rsidR="005B253B">
        <w:noBreakHyphen/>
      </w:r>
      <w:r w:rsidR="00C14EF7">
        <w:fldChar w:fldCharType="begin"/>
      </w:r>
      <w:r w:rsidR="005B253B">
        <w:instrText xml:space="preserve"> SEQ Figure \* ARABIC \s 1 </w:instrText>
      </w:r>
      <w:r w:rsidR="00C14EF7">
        <w:fldChar w:fldCharType="separate"/>
      </w:r>
      <w:r w:rsidR="003E0F65">
        <w:rPr>
          <w:noProof/>
        </w:rPr>
        <w:t>7</w:t>
      </w:r>
      <w:r w:rsidR="00C14EF7">
        <w:fldChar w:fldCharType="end"/>
      </w:r>
      <w:bookmarkEnd w:id="73"/>
      <w:r>
        <w:t>: Assumed retail fuel prices in petrol equivalent terms, road passenger sector</w:t>
      </w:r>
      <w:bookmarkEnd w:id="74"/>
    </w:p>
    <w:p w:rsidR="00FA123A" w:rsidRPr="00FA123A" w:rsidRDefault="00FA123A" w:rsidP="00FA123A"/>
    <w:p w:rsidR="001A6556" w:rsidRDefault="001A6556" w:rsidP="001A6556">
      <w:pPr>
        <w:pStyle w:val="BodyText"/>
        <w:spacing w:after="0"/>
        <w:rPr>
          <w:rFonts w:asciiTheme="minorHAnsi" w:hAnsiTheme="minorHAnsi"/>
        </w:rPr>
      </w:pPr>
      <w:r w:rsidRPr="00B957E6">
        <w:rPr>
          <w:noProof/>
        </w:rPr>
        <w:lastRenderedPageBreak/>
        <w:drawing>
          <wp:inline distT="0" distB="0" distL="0" distR="0">
            <wp:extent cx="6120130" cy="3721969"/>
            <wp:effectExtent l="19050" t="0" r="0" b="0"/>
            <wp:docPr id="6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srcRect/>
                    <a:stretch>
                      <a:fillRect/>
                    </a:stretch>
                  </pic:blipFill>
                  <pic:spPr bwMode="auto">
                    <a:xfrm>
                      <a:off x="0" y="0"/>
                      <a:ext cx="6120130" cy="3721969"/>
                    </a:xfrm>
                    <a:prstGeom prst="rect">
                      <a:avLst/>
                    </a:prstGeom>
                    <a:noFill/>
                    <a:ln w="9525">
                      <a:noFill/>
                      <a:miter lim="800000"/>
                      <a:headEnd/>
                      <a:tailEnd/>
                    </a:ln>
                  </pic:spPr>
                </pic:pic>
              </a:graphicData>
            </a:graphic>
          </wp:inline>
        </w:drawing>
      </w:r>
    </w:p>
    <w:p w:rsidR="001A6556" w:rsidRDefault="001A6556" w:rsidP="001A6556">
      <w:pPr>
        <w:pStyle w:val="Caption"/>
      </w:pPr>
      <w:bookmarkStart w:id="75" w:name="_Ref365651895"/>
      <w:bookmarkStart w:id="76" w:name="_Toc366227337"/>
      <w:r>
        <w:t xml:space="preserve">Figure </w:t>
      </w:r>
      <w:r w:rsidR="00C14EF7">
        <w:fldChar w:fldCharType="begin"/>
      </w:r>
      <w:r w:rsidR="005B253B">
        <w:instrText xml:space="preserve"> STYLEREF 1 \s </w:instrText>
      </w:r>
      <w:r w:rsidR="00C14EF7">
        <w:fldChar w:fldCharType="separate"/>
      </w:r>
      <w:r w:rsidR="003E0F65">
        <w:rPr>
          <w:noProof/>
        </w:rPr>
        <w:t>4</w:t>
      </w:r>
      <w:r w:rsidR="00C14EF7">
        <w:fldChar w:fldCharType="end"/>
      </w:r>
      <w:r w:rsidR="005B253B">
        <w:noBreakHyphen/>
      </w:r>
      <w:r w:rsidR="00C14EF7">
        <w:fldChar w:fldCharType="begin"/>
      </w:r>
      <w:r w:rsidR="005B253B">
        <w:instrText xml:space="preserve"> SEQ Figure \* ARABIC \s 1 </w:instrText>
      </w:r>
      <w:r w:rsidR="00C14EF7">
        <w:fldChar w:fldCharType="separate"/>
      </w:r>
      <w:r w:rsidR="003E0F65">
        <w:rPr>
          <w:noProof/>
        </w:rPr>
        <w:t>8</w:t>
      </w:r>
      <w:r w:rsidR="00C14EF7">
        <w:fldChar w:fldCharType="end"/>
      </w:r>
      <w:bookmarkEnd w:id="75"/>
      <w:r>
        <w:t>: Assumed retail fuel prices in diesel equivalent terms, road freight sector</w:t>
      </w:r>
      <w:bookmarkEnd w:id="76"/>
    </w:p>
    <w:p w:rsidR="00AB35C1" w:rsidRPr="00AB35C1" w:rsidRDefault="00AB35C1" w:rsidP="00AB35C1"/>
    <w:p w:rsidR="00A943B2" w:rsidRDefault="006C595B" w:rsidP="00AB35C1">
      <w:pPr>
        <w:pStyle w:val="Heading1"/>
      </w:pPr>
      <w:bookmarkStart w:id="77" w:name="_Toc366228037"/>
      <w:r>
        <w:lastRenderedPageBreak/>
        <w:t>Scenario results</w:t>
      </w:r>
      <w:bookmarkEnd w:id="77"/>
    </w:p>
    <w:p w:rsidR="007776A3" w:rsidRDefault="006C595B" w:rsidP="006C595B">
      <w:r>
        <w:t>This section provides the modelling results for each of the f</w:t>
      </w:r>
      <w:r w:rsidR="007776A3">
        <w:t>our</w:t>
      </w:r>
      <w:r>
        <w:t xml:space="preserve"> scenarios modelled</w:t>
      </w:r>
      <w:r w:rsidR="007776A3">
        <w:t>:</w:t>
      </w:r>
    </w:p>
    <w:p w:rsidR="00161C61" w:rsidRPr="007776A3" w:rsidRDefault="00161C61" w:rsidP="00E5753E">
      <w:pPr>
        <w:pStyle w:val="Bullet"/>
        <w:numPr>
          <w:ilvl w:val="0"/>
          <w:numId w:val="20"/>
        </w:numPr>
        <w:rPr>
          <w:rFonts w:ascii="Calibri" w:hAnsi="Calibri"/>
          <w:color w:val="auto"/>
        </w:rPr>
      </w:pPr>
      <w:r w:rsidRPr="007776A3">
        <w:rPr>
          <w:rFonts w:ascii="Calibri" w:hAnsi="Calibri"/>
          <w:b/>
          <w:color w:val="auto"/>
        </w:rPr>
        <w:t>Central policy scenario</w:t>
      </w:r>
      <w:r w:rsidRPr="007776A3">
        <w:rPr>
          <w:rFonts w:ascii="Calibri" w:hAnsi="Calibri"/>
          <w:color w:val="auto"/>
        </w:rPr>
        <w:t xml:space="preserve"> — Assumes a world with a 550 ppm stabilisation target and an Au</w:t>
      </w:r>
      <w:r>
        <w:rPr>
          <w:rFonts w:ascii="Calibri" w:hAnsi="Calibri"/>
          <w:color w:val="auto"/>
        </w:rPr>
        <w:t xml:space="preserve">stralian emission target of a 5 per </w:t>
      </w:r>
      <w:r w:rsidRPr="007776A3">
        <w:rPr>
          <w:rFonts w:ascii="Calibri" w:hAnsi="Calibri"/>
          <w:color w:val="auto"/>
        </w:rPr>
        <w:t>cent reduction on 2000 lev</w:t>
      </w:r>
      <w:r>
        <w:rPr>
          <w:rFonts w:ascii="Calibri" w:hAnsi="Calibri"/>
          <w:color w:val="auto"/>
        </w:rPr>
        <w:t xml:space="preserve">els by 2020 and an 80 per </w:t>
      </w:r>
      <w:r w:rsidRPr="007776A3">
        <w:rPr>
          <w:rFonts w:ascii="Calibri" w:hAnsi="Calibri"/>
          <w:color w:val="auto"/>
        </w:rPr>
        <w:t>cent reduction by 2050</w:t>
      </w:r>
    </w:p>
    <w:p w:rsidR="00161C61" w:rsidRPr="007776A3" w:rsidRDefault="00161C61" w:rsidP="00E5753E">
      <w:pPr>
        <w:pStyle w:val="Bullet"/>
        <w:numPr>
          <w:ilvl w:val="0"/>
          <w:numId w:val="20"/>
        </w:numPr>
        <w:rPr>
          <w:rFonts w:ascii="Calibri" w:hAnsi="Calibri"/>
          <w:color w:val="auto"/>
        </w:rPr>
      </w:pPr>
      <w:r w:rsidRPr="007776A3">
        <w:rPr>
          <w:rFonts w:ascii="Calibri" w:hAnsi="Calibri"/>
          <w:b/>
          <w:color w:val="auto"/>
        </w:rPr>
        <w:t>Low price scenario</w:t>
      </w:r>
      <w:r w:rsidRPr="007776A3">
        <w:rPr>
          <w:rFonts w:ascii="Calibri" w:hAnsi="Calibri"/>
          <w:color w:val="auto"/>
        </w:rPr>
        <w:t xml:space="preserve"> — </w:t>
      </w:r>
      <w:r w:rsidR="00FE2272">
        <w:rPr>
          <w:rFonts w:ascii="Calibri" w:hAnsi="Calibri"/>
          <w:color w:val="auto"/>
        </w:rPr>
        <w:t>The same as the central scenario except that the stabilisation target is reached at a later date such that the carbon price is initially lower but converges by 2030</w:t>
      </w:r>
    </w:p>
    <w:p w:rsidR="00161C61" w:rsidRPr="007776A3" w:rsidRDefault="00161C61" w:rsidP="00E5753E">
      <w:pPr>
        <w:pStyle w:val="Bullet"/>
        <w:numPr>
          <w:ilvl w:val="0"/>
          <w:numId w:val="20"/>
        </w:numPr>
        <w:rPr>
          <w:rFonts w:ascii="Calibri" w:hAnsi="Calibri"/>
          <w:color w:val="auto"/>
        </w:rPr>
      </w:pPr>
      <w:r w:rsidRPr="007776A3">
        <w:rPr>
          <w:rFonts w:ascii="Calibri" w:hAnsi="Calibri"/>
          <w:b/>
          <w:color w:val="auto"/>
        </w:rPr>
        <w:t>High price scenario</w:t>
      </w:r>
      <w:r w:rsidRPr="007776A3">
        <w:rPr>
          <w:rFonts w:ascii="Calibri" w:hAnsi="Calibri"/>
          <w:color w:val="auto"/>
        </w:rPr>
        <w:t xml:space="preserve"> — Assumes a world with more ambitious global action and an Australian emission target of a 25</w:t>
      </w:r>
      <w:r>
        <w:rPr>
          <w:rFonts w:ascii="Calibri" w:hAnsi="Calibri"/>
          <w:color w:val="auto"/>
        </w:rPr>
        <w:t xml:space="preserve"> </w:t>
      </w:r>
      <w:r w:rsidRPr="007776A3">
        <w:rPr>
          <w:rFonts w:ascii="Calibri" w:hAnsi="Calibri"/>
          <w:color w:val="auto"/>
        </w:rPr>
        <w:t>per</w:t>
      </w:r>
      <w:r>
        <w:rPr>
          <w:rFonts w:ascii="Calibri" w:hAnsi="Calibri"/>
          <w:color w:val="auto"/>
        </w:rPr>
        <w:t xml:space="preserve"> </w:t>
      </w:r>
      <w:r w:rsidRPr="007776A3">
        <w:rPr>
          <w:rFonts w:ascii="Calibri" w:hAnsi="Calibri"/>
          <w:color w:val="auto"/>
        </w:rPr>
        <w:t>cent reduction on 2000 levels by 2020 and an 80</w:t>
      </w:r>
      <w:r>
        <w:rPr>
          <w:rFonts w:ascii="Calibri" w:hAnsi="Calibri"/>
          <w:color w:val="auto"/>
        </w:rPr>
        <w:t xml:space="preserve"> </w:t>
      </w:r>
      <w:r w:rsidRPr="007776A3">
        <w:rPr>
          <w:rFonts w:ascii="Calibri" w:hAnsi="Calibri"/>
          <w:color w:val="auto"/>
        </w:rPr>
        <w:t>per</w:t>
      </w:r>
      <w:r>
        <w:rPr>
          <w:rFonts w:ascii="Calibri" w:hAnsi="Calibri"/>
          <w:color w:val="auto"/>
        </w:rPr>
        <w:t xml:space="preserve"> </w:t>
      </w:r>
      <w:r w:rsidRPr="007776A3">
        <w:rPr>
          <w:rFonts w:ascii="Calibri" w:hAnsi="Calibri"/>
          <w:color w:val="auto"/>
        </w:rPr>
        <w:t>cent reduction</w:t>
      </w:r>
      <w:r>
        <w:rPr>
          <w:rFonts w:ascii="Calibri" w:hAnsi="Calibri"/>
          <w:color w:val="auto"/>
        </w:rPr>
        <w:t xml:space="preserve"> by 2050</w:t>
      </w:r>
      <w:r w:rsidRPr="007776A3">
        <w:rPr>
          <w:rFonts w:ascii="Calibri" w:hAnsi="Calibri"/>
          <w:color w:val="auto"/>
        </w:rPr>
        <w:t xml:space="preserve"> </w:t>
      </w:r>
    </w:p>
    <w:p w:rsidR="00161C61" w:rsidRPr="007776A3" w:rsidRDefault="00161C61" w:rsidP="00E5753E">
      <w:pPr>
        <w:pStyle w:val="Bullet"/>
        <w:numPr>
          <w:ilvl w:val="0"/>
          <w:numId w:val="20"/>
        </w:numPr>
        <w:rPr>
          <w:rFonts w:ascii="Calibri" w:hAnsi="Calibri"/>
          <w:color w:val="auto"/>
        </w:rPr>
      </w:pPr>
      <w:r w:rsidRPr="007776A3">
        <w:rPr>
          <w:rFonts w:ascii="Calibri" w:hAnsi="Calibri"/>
          <w:b/>
          <w:color w:val="auto"/>
        </w:rPr>
        <w:t>No carbon price scenario</w:t>
      </w:r>
      <w:r w:rsidRPr="007776A3">
        <w:rPr>
          <w:rFonts w:ascii="Calibri" w:hAnsi="Calibri"/>
          <w:color w:val="auto"/>
        </w:rPr>
        <w:t xml:space="preserve"> – </w:t>
      </w:r>
      <w:r>
        <w:rPr>
          <w:rFonts w:ascii="Calibri" w:hAnsi="Calibri"/>
          <w:color w:val="auto"/>
        </w:rPr>
        <w:t xml:space="preserve">the same global context as the central scenario except that Australia does not participate and there is </w:t>
      </w:r>
      <w:r w:rsidRPr="007776A3">
        <w:rPr>
          <w:rFonts w:ascii="Calibri" w:hAnsi="Calibri"/>
          <w:color w:val="auto"/>
        </w:rPr>
        <w:t xml:space="preserve">no </w:t>
      </w:r>
      <w:r>
        <w:rPr>
          <w:rFonts w:ascii="Calibri" w:hAnsi="Calibri"/>
          <w:color w:val="auto"/>
        </w:rPr>
        <w:t xml:space="preserve">domestic </w:t>
      </w:r>
      <w:r w:rsidRPr="007776A3">
        <w:rPr>
          <w:rFonts w:ascii="Calibri" w:hAnsi="Calibri"/>
          <w:color w:val="auto"/>
        </w:rPr>
        <w:t>carbon price</w:t>
      </w:r>
      <w:r>
        <w:rPr>
          <w:rFonts w:ascii="Calibri" w:hAnsi="Calibri"/>
          <w:color w:val="auto"/>
        </w:rPr>
        <w:t>.</w:t>
      </w:r>
    </w:p>
    <w:p w:rsidR="006C595B" w:rsidRDefault="006C595B" w:rsidP="006C595B">
      <w:r>
        <w:t xml:space="preserve">The results provide projections of the changes in fuel mix across the whole transport sector and the engine technology mix in the road sector. </w:t>
      </w:r>
    </w:p>
    <w:p w:rsidR="006C595B" w:rsidRDefault="006C595B" w:rsidP="006C595B">
      <w:r>
        <w:t xml:space="preserve">When interpreting these results it is important to be mindful that the projected outcomes present a combination of factors at play in each scenario – they are not forecasts – they merely represent the outcome that the model projects if all the circumstances within each of the scenarios take place as assumed.  </w:t>
      </w:r>
    </w:p>
    <w:p w:rsidR="006C595B" w:rsidRDefault="006C595B" w:rsidP="006C595B">
      <w:r>
        <w:t>As the scenario assumptions are interplays of future behaviours, technology outcomes and supply factors it is unlikely all of these assumptions will be correct within each scenario. Subsequently, we cannot predict with any certainty which scenario, if any, is more likely to occur in its en</w:t>
      </w:r>
      <w:r w:rsidR="00354DCE">
        <w:t>tirety than another. Those judg</w:t>
      </w:r>
      <w:r>
        <w:t xml:space="preserve">ments need to be made subjectively by the reader. However, the modelling results are informative in the sense that it helps to highlight the impact that certain drivers could make in a possible future transport </w:t>
      </w:r>
      <w:r w:rsidR="00C16BDD">
        <w:t>sector</w:t>
      </w:r>
      <w:r>
        <w:t xml:space="preserve"> in Australia.</w:t>
      </w:r>
    </w:p>
    <w:p w:rsidR="006C595B" w:rsidRDefault="006C595B" w:rsidP="006C595B"/>
    <w:p w:rsidR="006C595B" w:rsidRDefault="009A210A" w:rsidP="006C595B">
      <w:pPr>
        <w:pStyle w:val="Heading2"/>
      </w:pPr>
      <w:bookmarkStart w:id="78" w:name="_Toc366228038"/>
      <w:r>
        <w:t>Central policy scenario</w:t>
      </w:r>
      <w:bookmarkEnd w:id="78"/>
    </w:p>
    <w:p w:rsidR="00637DAC" w:rsidRDefault="00C16BDD" w:rsidP="006C595B">
      <w:r>
        <w:t>This scenario imposes a moderate carbon price and a significant oil price increase.</w:t>
      </w:r>
    </w:p>
    <w:p w:rsidR="006C595B" w:rsidRDefault="00637DAC" w:rsidP="00637DAC">
      <w:pPr>
        <w:pStyle w:val="Heading3"/>
      </w:pPr>
      <w:r>
        <w:t>Transport fuel mix</w:t>
      </w:r>
    </w:p>
    <w:p w:rsidR="000E0947" w:rsidRDefault="00C14EF7" w:rsidP="00637DAC">
      <w:r>
        <w:fldChar w:fldCharType="begin"/>
      </w:r>
      <w:r w:rsidR="00AE5B89">
        <w:instrText xml:space="preserve"> REF _Ref365491735 \h </w:instrText>
      </w:r>
      <w:r>
        <w:fldChar w:fldCharType="separate"/>
      </w:r>
      <w:r w:rsidR="003E0F65">
        <w:t xml:space="preserve">Figure </w:t>
      </w:r>
      <w:r w:rsidR="003E0F65">
        <w:rPr>
          <w:noProof/>
        </w:rPr>
        <w:t>5</w:t>
      </w:r>
      <w:r w:rsidR="003E0F65">
        <w:noBreakHyphen/>
      </w:r>
      <w:r w:rsidR="003E0F65">
        <w:rPr>
          <w:noProof/>
        </w:rPr>
        <w:t>1</w:t>
      </w:r>
      <w:r>
        <w:fldChar w:fldCharType="end"/>
      </w:r>
      <w:r w:rsidR="00AE5B89">
        <w:t xml:space="preserve"> </w:t>
      </w:r>
      <w:r w:rsidR="00E3365D">
        <w:t xml:space="preserve">shows the projected level of </w:t>
      </w:r>
      <w:r w:rsidR="00AE5B89">
        <w:t xml:space="preserve">road </w:t>
      </w:r>
      <w:r w:rsidR="00E3365D">
        <w:t xml:space="preserve">transport consumption by fuel for the </w:t>
      </w:r>
      <w:r w:rsidR="00AE5B89">
        <w:t>central policy scenario</w:t>
      </w:r>
      <w:r w:rsidR="00E3365D">
        <w:t xml:space="preserve">. It shows that </w:t>
      </w:r>
      <w:r w:rsidR="00AE5B89">
        <w:t xml:space="preserve">at the beginning of the projection period the fuel mix is dominated by petrol (passenger segment) and diesel (commercial and freight vehicles) </w:t>
      </w:r>
      <w:r w:rsidR="000E0947">
        <w:t xml:space="preserve">with some use of liquefied petroleum gas, or LPG, mainly in light commercial vehicles. The limited </w:t>
      </w:r>
      <w:r w:rsidR="000E0947">
        <w:lastRenderedPageBreak/>
        <w:t xml:space="preserve">use of ethanol (blended with petrol in the form of E10) and biodiesel is mainly due to the NSW biofuel mandate. </w:t>
      </w:r>
    </w:p>
    <w:p w:rsidR="00E3365D" w:rsidRDefault="000E0947" w:rsidP="000E0947">
      <w:r>
        <w:t>There</w:t>
      </w:r>
      <w:r w:rsidR="00E3365D">
        <w:t xml:space="preserve"> is relatively little change in the fuel mix over the next decade with only modest development of some alternative </w:t>
      </w:r>
      <w:r>
        <w:t>fuel</w:t>
      </w:r>
      <w:r w:rsidR="00E3365D">
        <w:t xml:space="preserve">s. Small volumes of biodiesel commence a moderate expansion from around 2015. Natural gas, mostly in the form of </w:t>
      </w:r>
      <w:r w:rsidR="00231879">
        <w:t>liquefied natural gas (</w:t>
      </w:r>
      <w:r w:rsidR="00E3365D">
        <w:t>LNG</w:t>
      </w:r>
      <w:r w:rsidR="00231879">
        <w:t>)</w:t>
      </w:r>
      <w:r w:rsidR="00E3365D">
        <w:t xml:space="preserve"> for trucks is</w:t>
      </w:r>
      <w:r w:rsidR="00AE5B89">
        <w:t xml:space="preserve"> </w:t>
      </w:r>
      <w:r w:rsidR="00E3365D">
        <w:t xml:space="preserve">projected to have the strongest growth, albeit from a small base. </w:t>
      </w:r>
      <w:r w:rsidR="00C16BDD">
        <w:t>Natural gas is taken up in articulated trucks rather than passenger vehicles or smaller trucks because they have the greatest number of kilometres over which to recoup the costs of a modified vehicle through fuel cost savings. For passenger vehicles or smaller trucks the extra costs of accommodating natural gas is not recouped under the model assumptions.</w:t>
      </w:r>
    </w:p>
    <w:p w:rsidR="00E3365D" w:rsidRDefault="00E3365D" w:rsidP="00F5382E">
      <w:r>
        <w:t>These modest expansions in alternative fuel upta</w:t>
      </w:r>
      <w:r w:rsidR="00231879">
        <w:t>ke reflect the fact that, while</w:t>
      </w:r>
      <w:r>
        <w:t xml:space="preserve"> most alternative fuels are competitive or are expected to be competitive at the projected oil prices, they continue to face considerable constraints across the supply chain. In some cases, vehicles with the appropriate engine for a certain fuel type are not yet in ready supply. In other cases, it is the refining capacity which has long infrastructure development lead times that need to be developed. </w:t>
      </w:r>
    </w:p>
    <w:p w:rsidR="00231879" w:rsidRDefault="00E3365D" w:rsidP="00F5382E">
      <w:r>
        <w:t xml:space="preserve">An exception to the general trend in consumption of alternative fuels is LPG which is projected to decline. The major reason for this outcome is the projected rise in LPG prices in energy equivalent terms relative to petrol and diesel, for reasons discussed above. The availability of the option to purchase hybrid engines in the road sector has a long run negative influence on the uptake of LPG with market forces favouring petrol and diesel hybrid engines. Once hybrid vehicles become available at lower prices in the long term, road users will have less incentive to use LPG. </w:t>
      </w:r>
    </w:p>
    <w:p w:rsidR="00AE5B89" w:rsidRDefault="00231879" w:rsidP="00AE5B89">
      <w:pPr>
        <w:rPr>
          <w:sz w:val="24"/>
          <w:szCs w:val="24"/>
        </w:rPr>
      </w:pPr>
      <w:r>
        <w:t>Beyond 2020, natural gas, electricity, biofuels and synthetic fuels all increase their share gradually, with the use of natural gas in heavy vehicles continuing its growth. Beyond 2020, there is also mild electrification of the fleet.</w:t>
      </w:r>
      <w:r w:rsidR="00E3365D">
        <w:t xml:space="preserve"> </w:t>
      </w:r>
    </w:p>
    <w:p w:rsidR="00F5382E" w:rsidRPr="00F5382E" w:rsidRDefault="00F5382E" w:rsidP="00AE5B89">
      <w:pPr>
        <w:rPr>
          <w:sz w:val="24"/>
          <w:szCs w:val="24"/>
        </w:rPr>
      </w:pPr>
    </w:p>
    <w:p w:rsidR="00AE5B89" w:rsidRDefault="00AE5B89" w:rsidP="00AE5B89">
      <w:r w:rsidRPr="00AE5B89">
        <w:rPr>
          <w:noProof/>
        </w:rPr>
        <w:lastRenderedPageBreak/>
        <w:drawing>
          <wp:inline distT="0" distB="0" distL="0" distR="0">
            <wp:extent cx="6120130" cy="399873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6120130" cy="3998735"/>
                    </a:xfrm>
                    <a:prstGeom prst="rect">
                      <a:avLst/>
                    </a:prstGeom>
                    <a:noFill/>
                    <a:ln w="9525">
                      <a:noFill/>
                      <a:miter lim="800000"/>
                      <a:headEnd/>
                      <a:tailEnd/>
                    </a:ln>
                  </pic:spPr>
                </pic:pic>
              </a:graphicData>
            </a:graphic>
          </wp:inline>
        </w:drawing>
      </w:r>
    </w:p>
    <w:p w:rsidR="00AE5B89" w:rsidRDefault="00AE5B89" w:rsidP="00AE5B89">
      <w:pPr>
        <w:pStyle w:val="Caption"/>
      </w:pPr>
      <w:bookmarkStart w:id="79" w:name="_Ref365491735"/>
      <w:bookmarkStart w:id="80" w:name="_Toc366227338"/>
      <w:r>
        <w:t xml:space="preserve">Figure </w:t>
      </w:r>
      <w:r w:rsidR="00C14EF7">
        <w:fldChar w:fldCharType="begin"/>
      </w:r>
      <w:r w:rsidR="005B253B">
        <w:instrText xml:space="preserve"> STYLEREF 1 \s </w:instrText>
      </w:r>
      <w:r w:rsidR="00C14EF7">
        <w:fldChar w:fldCharType="separate"/>
      </w:r>
      <w:r w:rsidR="003E0F65">
        <w:rPr>
          <w:noProof/>
        </w:rPr>
        <w:t>5</w:t>
      </w:r>
      <w:r w:rsidR="00C14EF7">
        <w:fldChar w:fldCharType="end"/>
      </w:r>
      <w:r w:rsidR="005B253B">
        <w:noBreakHyphen/>
      </w:r>
      <w:r w:rsidR="00C14EF7">
        <w:fldChar w:fldCharType="begin"/>
      </w:r>
      <w:r w:rsidR="005B253B">
        <w:instrText xml:space="preserve"> SEQ Figure \* ARABIC \s 1 </w:instrText>
      </w:r>
      <w:r w:rsidR="00C14EF7">
        <w:fldChar w:fldCharType="separate"/>
      </w:r>
      <w:r w:rsidR="003E0F65">
        <w:rPr>
          <w:noProof/>
        </w:rPr>
        <w:t>1</w:t>
      </w:r>
      <w:r w:rsidR="00C14EF7">
        <w:fldChar w:fldCharType="end"/>
      </w:r>
      <w:bookmarkEnd w:id="79"/>
      <w:r>
        <w:t>: Projected road transport fuel consumption by fuel under the central policy scenario</w:t>
      </w:r>
      <w:bookmarkEnd w:id="80"/>
    </w:p>
    <w:p w:rsidR="00231879" w:rsidRDefault="00231879" w:rsidP="00231879">
      <w:pPr>
        <w:pStyle w:val="BodyText"/>
      </w:pPr>
      <w:r>
        <w:t>The fuel mix resulting from this scenario reflects the freight and passenger components of the transport sector both being exposed to different incentives and having available different opportunities. In response to the carbon price signal received, the freight sector is electrifying the limited portions of that sector that are suitable for short haul transport (e.g. rigid trucks in urban areas) whilst adopting biodiesel and LNG in other rigid trucks and articulated trucks. LNG provides a modest reduction in greenhouse gas emissions compared to diesel. However, it is mainly taken up as a cost saving measure with or without a carbon price.</w:t>
      </w:r>
    </w:p>
    <w:p w:rsidR="00231879" w:rsidRDefault="00231879" w:rsidP="00231879">
      <w:pPr>
        <w:pStyle w:val="BodyText"/>
      </w:pPr>
      <w:r>
        <w:t>The passenger and light commercial sector</w:t>
      </w:r>
      <w:r w:rsidR="00762472">
        <w:t>s</w:t>
      </w:r>
      <w:r>
        <w:t xml:space="preserve"> receive no carbon price signal but nevertheless do take up some low emission fuel and engine technologies. This is due to a spill over effect between the passenger and freight sectors which is an assumption of the modelling framework. That is, it is assumed that if the freight sector stimulates demand for biofuel production or vehicle electrification, then more cost competitive biofuels are available and more hybrid and electric vehicles are supplied to the whole road transport sector by international vehicle suppliers.</w:t>
      </w:r>
    </w:p>
    <w:p w:rsidR="00231879" w:rsidRDefault="00231879" w:rsidP="00231879">
      <w:pPr>
        <w:pStyle w:val="BodyText"/>
      </w:pPr>
      <w:r>
        <w:t>The basis for this assumption is the observation that biofuel refineries are likely to produce multiple products and it is a feature of the refinery industry that core profits are made on one product line while supplying many others. Economies of scale in refining might also dictate that refineries target not just the freight transport sector. In the electric vehicle market, vehicle sales support dictates that some domestic parts manufacturing and servicing as well as other infrastructure (e.g. refuelling) will be developed locally. This common infrastructure will similarly support penetration of vehicle electrification beyond the freight sector making it more attractive to support this vehicle type in Australia.</w:t>
      </w:r>
    </w:p>
    <w:p w:rsidR="00AE5B89" w:rsidRDefault="00231879" w:rsidP="00231879">
      <w:r>
        <w:lastRenderedPageBreak/>
        <w:t>With oil prices increasing throughout the projection period, the increased supply of low emission alternative fuels (and their infrastructure) is taken up by consumers.</w:t>
      </w:r>
    </w:p>
    <w:p w:rsidR="0021460F" w:rsidRDefault="0021460F" w:rsidP="00231879"/>
    <w:p w:rsidR="0021460F" w:rsidRDefault="0021460F" w:rsidP="00231879">
      <w:r w:rsidRPr="0021460F">
        <w:rPr>
          <w:noProof/>
        </w:rPr>
        <w:drawing>
          <wp:inline distT="0" distB="0" distL="0" distR="0">
            <wp:extent cx="6120130" cy="3994871"/>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6120130" cy="3994871"/>
                    </a:xfrm>
                    <a:prstGeom prst="rect">
                      <a:avLst/>
                    </a:prstGeom>
                    <a:noFill/>
                    <a:ln w="9525">
                      <a:noFill/>
                      <a:miter lim="800000"/>
                      <a:headEnd/>
                      <a:tailEnd/>
                    </a:ln>
                  </pic:spPr>
                </pic:pic>
              </a:graphicData>
            </a:graphic>
          </wp:inline>
        </w:drawing>
      </w:r>
    </w:p>
    <w:p w:rsidR="0021460F" w:rsidRDefault="0021460F" w:rsidP="0021460F">
      <w:pPr>
        <w:pStyle w:val="Caption"/>
      </w:pPr>
      <w:bookmarkStart w:id="81" w:name="_Ref365528154"/>
      <w:bookmarkStart w:id="82" w:name="_Toc366227339"/>
      <w:r>
        <w:t xml:space="preserve">Figure </w:t>
      </w:r>
      <w:r w:rsidR="00C14EF7">
        <w:fldChar w:fldCharType="begin"/>
      </w:r>
      <w:r w:rsidR="005B253B">
        <w:instrText xml:space="preserve"> STYLEREF 1 \s </w:instrText>
      </w:r>
      <w:r w:rsidR="00C14EF7">
        <w:fldChar w:fldCharType="separate"/>
      </w:r>
      <w:r w:rsidR="003E0F65">
        <w:rPr>
          <w:noProof/>
        </w:rPr>
        <w:t>5</w:t>
      </w:r>
      <w:r w:rsidR="00C14EF7">
        <w:fldChar w:fldCharType="end"/>
      </w:r>
      <w:r w:rsidR="005B253B">
        <w:noBreakHyphen/>
      </w:r>
      <w:r w:rsidR="00C14EF7">
        <w:fldChar w:fldCharType="begin"/>
      </w:r>
      <w:r w:rsidR="005B253B">
        <w:instrText xml:space="preserve"> SEQ Figure \* ARABIC \s 1 </w:instrText>
      </w:r>
      <w:r w:rsidR="00C14EF7">
        <w:fldChar w:fldCharType="separate"/>
      </w:r>
      <w:r w:rsidR="003E0F65">
        <w:rPr>
          <w:noProof/>
        </w:rPr>
        <w:t>2</w:t>
      </w:r>
      <w:r w:rsidR="00C14EF7">
        <w:fldChar w:fldCharType="end"/>
      </w:r>
      <w:bookmarkEnd w:id="81"/>
      <w:r>
        <w:t>: Road transport fuel consumption by mode under the central policy scenario</w:t>
      </w:r>
      <w:bookmarkEnd w:id="82"/>
    </w:p>
    <w:p w:rsidR="00AE5B89" w:rsidRDefault="00C14EF7" w:rsidP="00AE5B89">
      <w:r>
        <w:fldChar w:fldCharType="begin"/>
      </w:r>
      <w:r w:rsidR="0021460F">
        <w:instrText xml:space="preserve"> REF _Ref365528154 \h </w:instrText>
      </w:r>
      <w:r>
        <w:fldChar w:fldCharType="separate"/>
      </w:r>
      <w:r w:rsidR="003E0F65">
        <w:t xml:space="preserve">Figure </w:t>
      </w:r>
      <w:r w:rsidR="003E0F65">
        <w:rPr>
          <w:noProof/>
        </w:rPr>
        <w:t>5</w:t>
      </w:r>
      <w:r w:rsidR="003E0F65">
        <w:noBreakHyphen/>
      </w:r>
      <w:r w:rsidR="003E0F65">
        <w:rPr>
          <w:noProof/>
        </w:rPr>
        <w:t>2</w:t>
      </w:r>
      <w:r>
        <w:fldChar w:fldCharType="end"/>
      </w:r>
      <w:r w:rsidR="0021460F">
        <w:t xml:space="preserve"> shows road transport fuel consumption by mode. Most notable is the continued high growth in road freight and use of lower density fuels (biodiesel and natural gas) leading to significant increase in fuel use for articulated trucks. The growth in fuel use in rigid trucks </w:t>
      </w:r>
      <w:r w:rsidR="004227AE">
        <w:t xml:space="preserve">and buses </w:t>
      </w:r>
      <w:r w:rsidR="0021460F">
        <w:t xml:space="preserve">is checked by </w:t>
      </w:r>
      <w:r w:rsidR="004227AE">
        <w:t>a mild degree of hybridisation and electrification</w:t>
      </w:r>
      <w:r w:rsidR="00762472">
        <w:t xml:space="preserve"> of</w:t>
      </w:r>
      <w:r w:rsidR="004227AE">
        <w:t xml:space="preserve"> rigid trucks and buses in urban areas. The imposed assumption of increased preferences for smaller vehicles is also evident with fuel use in small passenger and light commercial vehicles increasing over time with commensurate declines in fuel consumption of larger vehicles. This is attenuated by take up of hybrid, plug-in hybrid and some fully electric vehicles in the medium and large passenger and light commercial vehicle segments.</w:t>
      </w:r>
    </w:p>
    <w:p w:rsidR="00AE5B89" w:rsidRDefault="00AE5B89" w:rsidP="00AE5B89"/>
    <w:p w:rsidR="00AE5B89" w:rsidRDefault="00A65D4E" w:rsidP="00AE5B89">
      <w:r w:rsidRPr="00A65D4E">
        <w:rPr>
          <w:noProof/>
        </w:rPr>
        <w:lastRenderedPageBreak/>
        <w:drawing>
          <wp:inline distT="0" distB="0" distL="0" distR="0">
            <wp:extent cx="6120130" cy="3994516"/>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srcRect/>
                    <a:stretch>
                      <a:fillRect/>
                    </a:stretch>
                  </pic:blipFill>
                  <pic:spPr bwMode="auto">
                    <a:xfrm>
                      <a:off x="0" y="0"/>
                      <a:ext cx="6120130" cy="3994516"/>
                    </a:xfrm>
                    <a:prstGeom prst="rect">
                      <a:avLst/>
                    </a:prstGeom>
                    <a:noFill/>
                    <a:ln w="9525">
                      <a:noFill/>
                      <a:miter lim="800000"/>
                      <a:headEnd/>
                      <a:tailEnd/>
                    </a:ln>
                  </pic:spPr>
                </pic:pic>
              </a:graphicData>
            </a:graphic>
          </wp:inline>
        </w:drawing>
      </w:r>
    </w:p>
    <w:p w:rsidR="00A65D4E" w:rsidRDefault="00A65D4E" w:rsidP="00A65D4E">
      <w:pPr>
        <w:pStyle w:val="Caption"/>
      </w:pPr>
      <w:bookmarkStart w:id="83" w:name="_Ref365529818"/>
      <w:bookmarkStart w:id="84" w:name="_Toc366227340"/>
      <w:r>
        <w:t xml:space="preserve">Figure </w:t>
      </w:r>
      <w:r w:rsidR="00C14EF7">
        <w:fldChar w:fldCharType="begin"/>
      </w:r>
      <w:r w:rsidR="005B253B">
        <w:instrText xml:space="preserve"> STYLEREF 1 \s </w:instrText>
      </w:r>
      <w:r w:rsidR="00C14EF7">
        <w:fldChar w:fldCharType="separate"/>
      </w:r>
      <w:r w:rsidR="003E0F65">
        <w:rPr>
          <w:noProof/>
        </w:rPr>
        <w:t>5</w:t>
      </w:r>
      <w:r w:rsidR="00C14EF7">
        <w:fldChar w:fldCharType="end"/>
      </w:r>
      <w:r w:rsidR="005B253B">
        <w:noBreakHyphen/>
      </w:r>
      <w:r w:rsidR="00C14EF7">
        <w:fldChar w:fldCharType="begin"/>
      </w:r>
      <w:r w:rsidR="005B253B">
        <w:instrText xml:space="preserve"> SEQ Figure \* ARABIC \s 1 </w:instrText>
      </w:r>
      <w:r w:rsidR="00C14EF7">
        <w:fldChar w:fldCharType="separate"/>
      </w:r>
      <w:r w:rsidR="003E0F65">
        <w:rPr>
          <w:noProof/>
        </w:rPr>
        <w:t>3</w:t>
      </w:r>
      <w:r w:rsidR="00C14EF7">
        <w:fldChar w:fldCharType="end"/>
      </w:r>
      <w:bookmarkEnd w:id="83"/>
      <w:r>
        <w:t>: Non-road tr</w:t>
      </w:r>
      <w:r w:rsidR="001C4B2B">
        <w:t>ansport fuel consumption by fuel and mode</w:t>
      </w:r>
      <w:r>
        <w:t xml:space="preserve"> under the central policy scenario</w:t>
      </w:r>
      <w:bookmarkEnd w:id="84"/>
    </w:p>
    <w:p w:rsidR="001C4B2B" w:rsidRDefault="00C14EF7" w:rsidP="001C4B2B">
      <w:r>
        <w:fldChar w:fldCharType="begin"/>
      </w:r>
      <w:r w:rsidR="001C4B2B">
        <w:instrText xml:space="preserve"> REF _Ref365529818 \h </w:instrText>
      </w:r>
      <w:r>
        <w:fldChar w:fldCharType="separate"/>
      </w:r>
      <w:r w:rsidR="003E0F65">
        <w:t xml:space="preserve">Figure </w:t>
      </w:r>
      <w:r w:rsidR="003E0F65">
        <w:rPr>
          <w:noProof/>
        </w:rPr>
        <w:t>5</w:t>
      </w:r>
      <w:r w:rsidR="003E0F65">
        <w:noBreakHyphen/>
      </w:r>
      <w:r w:rsidR="003E0F65">
        <w:rPr>
          <w:noProof/>
        </w:rPr>
        <w:t>3</w:t>
      </w:r>
      <w:r>
        <w:fldChar w:fldCharType="end"/>
      </w:r>
      <w:r w:rsidR="001C4B2B">
        <w:t xml:space="preserve"> shows the projected level of non-road transport consumption by fuel and mode (domestic navigation, rail and domestic aviation) for the central policy scenario. It shows that at the beginning of the projection period the fuel mix is dominated by diesel in navigation and rail, and kerosene in aviation. Aviation is the largest consumer of fuel accounting for around half of non-road transport fuel consumption. </w:t>
      </w:r>
    </w:p>
    <w:p w:rsidR="00E3365D" w:rsidRPr="00B7595A" w:rsidRDefault="001C4B2B" w:rsidP="00B7595A">
      <w:r>
        <w:t xml:space="preserve">There is relatively little change in the fuel mix over the next decade with only modest </w:t>
      </w:r>
      <w:r w:rsidR="0008733A">
        <w:t>uptake of biodiesel and natural gas in rail and navigation.</w:t>
      </w:r>
      <w:r w:rsidR="00155EF4">
        <w:t xml:space="preserve"> The main change over the projection period is the take up of bio-derived jet fuel by aviation around 2025. Although the aviation sector has other options to reduce its fuel use in response to a carbon price (utilisation of advanced aircraft, fuel conservation and improved airspace management), over the medium- to long-term the take up of low emission jet fuel is the only option for significant emissions reductions given the projected growth in demand. </w:t>
      </w:r>
      <w:r w:rsidR="00381F7E">
        <w:t>By 2050, bio-derived jet fuel is around 30 per cent of domestic aviation fuel consumption.</w:t>
      </w:r>
      <w:r>
        <w:t xml:space="preserve"> </w:t>
      </w:r>
    </w:p>
    <w:p w:rsidR="00E3365D" w:rsidRDefault="00045DC3" w:rsidP="00045DC3">
      <w:pPr>
        <w:pStyle w:val="Heading3"/>
      </w:pPr>
      <w:r>
        <w:t>Road sector engine mix</w:t>
      </w:r>
    </w:p>
    <w:p w:rsidR="007B188F" w:rsidRDefault="00C14EF7" w:rsidP="007B188F">
      <w:r>
        <w:fldChar w:fldCharType="begin"/>
      </w:r>
      <w:r w:rsidR="007B188F">
        <w:instrText xml:space="preserve"> REF _Ref365531079 \h </w:instrText>
      </w:r>
      <w:r>
        <w:fldChar w:fldCharType="separate"/>
      </w:r>
      <w:r w:rsidR="003E0F65">
        <w:t xml:space="preserve">Figure </w:t>
      </w:r>
      <w:r w:rsidR="003E0F65">
        <w:rPr>
          <w:noProof/>
        </w:rPr>
        <w:t>5</w:t>
      </w:r>
      <w:r w:rsidR="003E0F65">
        <w:noBreakHyphen/>
      </w:r>
      <w:r w:rsidR="003E0F65">
        <w:rPr>
          <w:noProof/>
        </w:rPr>
        <w:t>4</w:t>
      </w:r>
      <w:r>
        <w:fldChar w:fldCharType="end"/>
      </w:r>
      <w:r w:rsidR="007B188F">
        <w:t xml:space="preserve"> shows the engine type in road kilometres travelled for the central policy scenario. Out to 2020, the dominance of internal combustion vehicles is expected to continue, reflecting the turnover rate of the vehicle stock and the expected efficiency improvements in conventional vehicles. Hybrid, electric and plug-in electric vehicles start to become an economically viable option just prior to 2020. Fast adopters have done and will continue to take up these technologies before this time. However, this is the point where ESM has </w:t>
      </w:r>
      <w:r w:rsidR="007B188F">
        <w:lastRenderedPageBreak/>
        <w:t xml:space="preserve">determined it will be a cost effective choice for the majority. </w:t>
      </w:r>
      <w:r w:rsidR="009B71B9">
        <w:t>Beyond 2025, hybrids dominate vehicle sales with increased uptake of plug-in hybrid and fully electric vehicles.</w:t>
      </w:r>
    </w:p>
    <w:p w:rsidR="00894CD0" w:rsidRDefault="00894CD0" w:rsidP="00045DC3"/>
    <w:p w:rsidR="00894CD0" w:rsidRDefault="00894CD0" w:rsidP="00045DC3">
      <w:r w:rsidRPr="00894CD0">
        <w:rPr>
          <w:noProof/>
        </w:rPr>
        <w:drawing>
          <wp:inline distT="0" distB="0" distL="0" distR="0">
            <wp:extent cx="6120130" cy="3994871"/>
            <wp:effectExtent l="1905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srcRect/>
                    <a:stretch>
                      <a:fillRect/>
                    </a:stretch>
                  </pic:blipFill>
                  <pic:spPr bwMode="auto">
                    <a:xfrm>
                      <a:off x="0" y="0"/>
                      <a:ext cx="6120130" cy="3994871"/>
                    </a:xfrm>
                    <a:prstGeom prst="rect">
                      <a:avLst/>
                    </a:prstGeom>
                    <a:noFill/>
                    <a:ln w="9525">
                      <a:noFill/>
                      <a:miter lim="800000"/>
                      <a:headEnd/>
                      <a:tailEnd/>
                    </a:ln>
                  </pic:spPr>
                </pic:pic>
              </a:graphicData>
            </a:graphic>
          </wp:inline>
        </w:drawing>
      </w:r>
    </w:p>
    <w:p w:rsidR="00894CD0" w:rsidRDefault="00894CD0" w:rsidP="00894CD0">
      <w:pPr>
        <w:pStyle w:val="Caption"/>
      </w:pPr>
      <w:bookmarkStart w:id="85" w:name="_Ref365531079"/>
      <w:bookmarkStart w:id="86" w:name="_Toc366227341"/>
      <w:r>
        <w:t xml:space="preserve">Figure </w:t>
      </w:r>
      <w:r w:rsidR="00C14EF7">
        <w:fldChar w:fldCharType="begin"/>
      </w:r>
      <w:r w:rsidR="005B253B">
        <w:instrText xml:space="preserve"> STYLEREF 1 \s </w:instrText>
      </w:r>
      <w:r w:rsidR="00C14EF7">
        <w:fldChar w:fldCharType="separate"/>
      </w:r>
      <w:r w:rsidR="003E0F65">
        <w:rPr>
          <w:noProof/>
        </w:rPr>
        <w:t>5</w:t>
      </w:r>
      <w:r w:rsidR="00C14EF7">
        <w:fldChar w:fldCharType="end"/>
      </w:r>
      <w:r w:rsidR="005B253B">
        <w:noBreakHyphen/>
      </w:r>
      <w:r w:rsidR="00C14EF7">
        <w:fldChar w:fldCharType="begin"/>
      </w:r>
      <w:r w:rsidR="005B253B">
        <w:instrText xml:space="preserve"> SEQ Figure \* ARABIC \s 1 </w:instrText>
      </w:r>
      <w:r w:rsidR="00C14EF7">
        <w:fldChar w:fldCharType="separate"/>
      </w:r>
      <w:r w:rsidR="003E0F65">
        <w:rPr>
          <w:noProof/>
        </w:rPr>
        <w:t>4</w:t>
      </w:r>
      <w:r w:rsidR="00C14EF7">
        <w:fldChar w:fldCharType="end"/>
      </w:r>
      <w:bookmarkEnd w:id="85"/>
      <w:r>
        <w:t>: Engine type in road kilometres travelled, central policy scenario</w:t>
      </w:r>
      <w:bookmarkEnd w:id="86"/>
    </w:p>
    <w:p w:rsidR="00045DC3" w:rsidRDefault="0032305E" w:rsidP="00045DC3">
      <w:r>
        <w:t>The carbon price signal in the heavy vehicle sector is assumed lead to support a moderate level of electric vehicle availability with spill-over effects for electric vehicle uptake more broadly across the light road vehicle sector. By 2050, electricity fuels around 17 per cent of all road travel.</w:t>
      </w:r>
    </w:p>
    <w:p w:rsidR="00045DC3" w:rsidRDefault="005C3C1D" w:rsidP="00045DC3">
      <w:pPr>
        <w:pStyle w:val="Heading3"/>
      </w:pPr>
      <w:r>
        <w:t>Greenhouse gas emission projections</w:t>
      </w:r>
    </w:p>
    <w:p w:rsidR="00F75393" w:rsidRDefault="00C14EF7" w:rsidP="00045DC3">
      <w:r>
        <w:fldChar w:fldCharType="begin"/>
      </w:r>
      <w:r w:rsidR="00D72474">
        <w:instrText xml:space="preserve"> REF _Ref365532954 \h </w:instrText>
      </w:r>
      <w:r>
        <w:fldChar w:fldCharType="separate"/>
      </w:r>
      <w:r w:rsidR="003E0F65">
        <w:t xml:space="preserve">Figure </w:t>
      </w:r>
      <w:r w:rsidR="003E0F65">
        <w:rPr>
          <w:noProof/>
        </w:rPr>
        <w:t>5</w:t>
      </w:r>
      <w:r w:rsidR="003E0F65">
        <w:noBreakHyphen/>
      </w:r>
      <w:r w:rsidR="003E0F65">
        <w:rPr>
          <w:noProof/>
        </w:rPr>
        <w:t>5</w:t>
      </w:r>
      <w:r>
        <w:fldChar w:fldCharType="end"/>
      </w:r>
      <w:r w:rsidR="00D72474">
        <w:t xml:space="preserve"> shows the greenhouse gas emissions by mode for the road transport sector under the central policy scenario. The decline in emissions to 2025 reflects the uptake of lower emission gaseous fuels (biodiesel, ethanol blended petrol, LPG and natural gas) and the greater fuel efficiency of new vehicles in the fleet. The </w:t>
      </w:r>
      <w:r w:rsidR="000F4C03">
        <w:t>sharp increase</w:t>
      </w:r>
      <w:r w:rsidR="00D72474">
        <w:t xml:space="preserve"> in emissions around 2025 reflects the uptake of synthetic diesel </w:t>
      </w:r>
      <w:r w:rsidR="00757D81">
        <w:t>(coal to liquids, gas to liquids and shale to liquids) reflecting the cost competiveness of these ‘drop-in’ fuels and as increasing amounts of bio-derived jet fuel are demanded by the aviation sector. Around 2030, road sector emissions begin to increase</w:t>
      </w:r>
      <w:r w:rsidR="00D54C09">
        <w:t>,</w:t>
      </w:r>
      <w:r w:rsidR="00757D81">
        <w:t xml:space="preserve"> largely reflecting the flattening out of oil prices at this time reducing the marginal benefit of increasing hybridisation/electrification of the vehicle fleet.</w:t>
      </w:r>
    </w:p>
    <w:p w:rsidR="00F75393" w:rsidRDefault="00F75393" w:rsidP="00045DC3"/>
    <w:p w:rsidR="00F75393" w:rsidRDefault="00F75393" w:rsidP="00045DC3">
      <w:r w:rsidRPr="00F75393">
        <w:rPr>
          <w:noProof/>
        </w:rPr>
        <w:lastRenderedPageBreak/>
        <w:drawing>
          <wp:inline distT="0" distB="0" distL="0" distR="0">
            <wp:extent cx="6120130" cy="3994871"/>
            <wp:effectExtent l="1905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srcRect/>
                    <a:stretch>
                      <a:fillRect/>
                    </a:stretch>
                  </pic:blipFill>
                  <pic:spPr bwMode="auto">
                    <a:xfrm>
                      <a:off x="0" y="0"/>
                      <a:ext cx="6120130" cy="3994871"/>
                    </a:xfrm>
                    <a:prstGeom prst="rect">
                      <a:avLst/>
                    </a:prstGeom>
                    <a:noFill/>
                    <a:ln w="9525">
                      <a:noFill/>
                      <a:miter lim="800000"/>
                      <a:headEnd/>
                      <a:tailEnd/>
                    </a:ln>
                  </pic:spPr>
                </pic:pic>
              </a:graphicData>
            </a:graphic>
          </wp:inline>
        </w:drawing>
      </w:r>
    </w:p>
    <w:p w:rsidR="00F75393" w:rsidRDefault="00F75393" w:rsidP="00F75393">
      <w:pPr>
        <w:pStyle w:val="Caption"/>
      </w:pPr>
      <w:bookmarkStart w:id="87" w:name="_Ref365532954"/>
      <w:bookmarkStart w:id="88" w:name="_Toc366227342"/>
      <w:r>
        <w:t xml:space="preserve">Figure </w:t>
      </w:r>
      <w:r w:rsidR="00C14EF7">
        <w:fldChar w:fldCharType="begin"/>
      </w:r>
      <w:r w:rsidR="005B253B">
        <w:instrText xml:space="preserve"> STYLEREF 1 \s </w:instrText>
      </w:r>
      <w:r w:rsidR="00C14EF7">
        <w:fldChar w:fldCharType="separate"/>
      </w:r>
      <w:r w:rsidR="003E0F65">
        <w:rPr>
          <w:noProof/>
        </w:rPr>
        <w:t>5</w:t>
      </w:r>
      <w:r w:rsidR="00C14EF7">
        <w:fldChar w:fldCharType="end"/>
      </w:r>
      <w:r w:rsidR="005B253B">
        <w:noBreakHyphen/>
      </w:r>
      <w:r w:rsidR="00C14EF7">
        <w:fldChar w:fldCharType="begin"/>
      </w:r>
      <w:r w:rsidR="005B253B">
        <w:instrText xml:space="preserve"> SEQ Figure \* ARABIC \s 1 </w:instrText>
      </w:r>
      <w:r w:rsidR="00C14EF7">
        <w:fldChar w:fldCharType="separate"/>
      </w:r>
      <w:r w:rsidR="003E0F65">
        <w:rPr>
          <w:noProof/>
        </w:rPr>
        <w:t>5</w:t>
      </w:r>
      <w:r w:rsidR="00C14EF7">
        <w:fldChar w:fldCharType="end"/>
      </w:r>
      <w:bookmarkEnd w:id="87"/>
      <w:r>
        <w:t>: Road transport greenhouse gas emissions</w:t>
      </w:r>
      <w:r w:rsidR="00D72474">
        <w:t xml:space="preserve"> by mode</w:t>
      </w:r>
      <w:r>
        <w:t xml:space="preserve"> under the central policy scenario</w:t>
      </w:r>
      <w:bookmarkEnd w:id="88"/>
    </w:p>
    <w:p w:rsidR="00F75393" w:rsidRDefault="00C14EF7" w:rsidP="00045DC3">
      <w:r>
        <w:fldChar w:fldCharType="begin"/>
      </w:r>
      <w:r w:rsidR="00560DE8">
        <w:instrText xml:space="preserve"> REF _Ref365534130 \h </w:instrText>
      </w:r>
      <w:r>
        <w:fldChar w:fldCharType="separate"/>
      </w:r>
      <w:r w:rsidR="003E0F65">
        <w:t xml:space="preserve">Figure </w:t>
      </w:r>
      <w:r w:rsidR="003E0F65">
        <w:rPr>
          <w:noProof/>
        </w:rPr>
        <w:t>5</w:t>
      </w:r>
      <w:r w:rsidR="003E0F65">
        <w:noBreakHyphen/>
      </w:r>
      <w:r w:rsidR="003E0F65">
        <w:rPr>
          <w:noProof/>
        </w:rPr>
        <w:t>6</w:t>
      </w:r>
      <w:r>
        <w:fldChar w:fldCharType="end"/>
      </w:r>
      <w:r w:rsidR="00FF4936">
        <w:t xml:space="preserve"> </w:t>
      </w:r>
      <w:r w:rsidR="00560DE8">
        <w:t>s</w:t>
      </w:r>
      <w:r w:rsidR="00FF4936">
        <w:t>hows the projected greenhouse gas emissions for the non-road transport sector under the central policy scenario.</w:t>
      </w:r>
    </w:p>
    <w:p w:rsidR="00FF4936" w:rsidRDefault="00FF4936" w:rsidP="00045DC3"/>
    <w:p w:rsidR="00FF4936" w:rsidRDefault="00FF4936" w:rsidP="00045DC3">
      <w:r w:rsidRPr="00FF4936">
        <w:rPr>
          <w:noProof/>
        </w:rPr>
        <w:lastRenderedPageBreak/>
        <w:drawing>
          <wp:inline distT="0" distB="0" distL="0" distR="0">
            <wp:extent cx="6120130" cy="3994516"/>
            <wp:effectExtent l="1905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srcRect/>
                    <a:stretch>
                      <a:fillRect/>
                    </a:stretch>
                  </pic:blipFill>
                  <pic:spPr bwMode="auto">
                    <a:xfrm>
                      <a:off x="0" y="0"/>
                      <a:ext cx="6120130" cy="3994516"/>
                    </a:xfrm>
                    <a:prstGeom prst="rect">
                      <a:avLst/>
                    </a:prstGeom>
                    <a:noFill/>
                    <a:ln w="9525">
                      <a:noFill/>
                      <a:miter lim="800000"/>
                      <a:headEnd/>
                      <a:tailEnd/>
                    </a:ln>
                  </pic:spPr>
                </pic:pic>
              </a:graphicData>
            </a:graphic>
          </wp:inline>
        </w:drawing>
      </w:r>
    </w:p>
    <w:p w:rsidR="00FF4936" w:rsidRDefault="00FF4936" w:rsidP="00FF4936">
      <w:pPr>
        <w:pStyle w:val="Caption"/>
      </w:pPr>
      <w:bookmarkStart w:id="89" w:name="_Ref365534130"/>
      <w:bookmarkStart w:id="90" w:name="_Toc366227343"/>
      <w:r>
        <w:t xml:space="preserve">Figure </w:t>
      </w:r>
      <w:r w:rsidR="00C14EF7">
        <w:fldChar w:fldCharType="begin"/>
      </w:r>
      <w:r w:rsidR="005B253B">
        <w:instrText xml:space="preserve"> STYLEREF 1 \s </w:instrText>
      </w:r>
      <w:r w:rsidR="00C14EF7">
        <w:fldChar w:fldCharType="separate"/>
      </w:r>
      <w:r w:rsidR="003E0F65">
        <w:rPr>
          <w:noProof/>
        </w:rPr>
        <w:t>5</w:t>
      </w:r>
      <w:r w:rsidR="00C14EF7">
        <w:fldChar w:fldCharType="end"/>
      </w:r>
      <w:r w:rsidR="005B253B">
        <w:noBreakHyphen/>
      </w:r>
      <w:r w:rsidR="00C14EF7">
        <w:fldChar w:fldCharType="begin"/>
      </w:r>
      <w:r w:rsidR="005B253B">
        <w:instrText xml:space="preserve"> SEQ Figure \* ARABIC \s 1 </w:instrText>
      </w:r>
      <w:r w:rsidR="00C14EF7">
        <w:fldChar w:fldCharType="separate"/>
      </w:r>
      <w:r w:rsidR="003E0F65">
        <w:rPr>
          <w:noProof/>
        </w:rPr>
        <w:t>6</w:t>
      </w:r>
      <w:r w:rsidR="00C14EF7">
        <w:fldChar w:fldCharType="end"/>
      </w:r>
      <w:bookmarkEnd w:id="89"/>
      <w:r>
        <w:t>: Non-road transport greenhouse gas emissions by mode under the central policy scenario</w:t>
      </w:r>
      <w:bookmarkEnd w:id="90"/>
    </w:p>
    <w:p w:rsidR="00F75393" w:rsidRDefault="00CA0C62" w:rsidP="00045DC3">
      <w:r>
        <w:t xml:space="preserve">Clearly evident in </w:t>
      </w:r>
      <w:r w:rsidR="00C14EF7">
        <w:fldChar w:fldCharType="begin"/>
      </w:r>
      <w:r>
        <w:instrText xml:space="preserve"> REF _Ref365534130 \h </w:instrText>
      </w:r>
      <w:r w:rsidR="00C14EF7">
        <w:fldChar w:fldCharType="separate"/>
      </w:r>
      <w:r w:rsidR="003E0F65">
        <w:t xml:space="preserve">Figure </w:t>
      </w:r>
      <w:r w:rsidR="003E0F65">
        <w:rPr>
          <w:noProof/>
        </w:rPr>
        <w:t>5</w:t>
      </w:r>
      <w:r w:rsidR="003E0F65">
        <w:noBreakHyphen/>
      </w:r>
      <w:r w:rsidR="003E0F65">
        <w:rPr>
          <w:noProof/>
        </w:rPr>
        <w:t>6</w:t>
      </w:r>
      <w:r w:rsidR="00C14EF7">
        <w:fldChar w:fldCharType="end"/>
      </w:r>
      <w:r>
        <w:t xml:space="preserve"> is the impact of bio-derived jet fuel around 2025, as the aviation sector adopts low emission fuels in response to an increasing carbon price. The assumed phase-out of coal in navigation in Queensland around 2035 is also noticeable.</w:t>
      </w:r>
    </w:p>
    <w:p w:rsidR="004F0CAD" w:rsidRDefault="004F0CAD" w:rsidP="00045DC3"/>
    <w:p w:rsidR="004F0CAD" w:rsidRDefault="004F0CAD" w:rsidP="00045DC3">
      <w:r w:rsidRPr="004F0CAD">
        <w:rPr>
          <w:noProof/>
        </w:rPr>
        <w:lastRenderedPageBreak/>
        <w:drawing>
          <wp:inline distT="0" distB="0" distL="0" distR="0">
            <wp:extent cx="6120130" cy="3994871"/>
            <wp:effectExtent l="19050" t="0" r="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srcRect/>
                    <a:stretch>
                      <a:fillRect/>
                    </a:stretch>
                  </pic:blipFill>
                  <pic:spPr bwMode="auto">
                    <a:xfrm>
                      <a:off x="0" y="0"/>
                      <a:ext cx="6120130" cy="3994871"/>
                    </a:xfrm>
                    <a:prstGeom prst="rect">
                      <a:avLst/>
                    </a:prstGeom>
                    <a:noFill/>
                    <a:ln w="9525">
                      <a:noFill/>
                      <a:miter lim="800000"/>
                      <a:headEnd/>
                      <a:tailEnd/>
                    </a:ln>
                  </pic:spPr>
                </pic:pic>
              </a:graphicData>
            </a:graphic>
          </wp:inline>
        </w:drawing>
      </w:r>
    </w:p>
    <w:p w:rsidR="004F0CAD" w:rsidRDefault="00130DCD" w:rsidP="00130DCD">
      <w:pPr>
        <w:pStyle w:val="Caption"/>
      </w:pPr>
      <w:bookmarkStart w:id="91" w:name="_Ref365534884"/>
      <w:bookmarkStart w:id="92" w:name="_Toc366227344"/>
      <w:r>
        <w:t xml:space="preserve">Figure </w:t>
      </w:r>
      <w:r w:rsidR="00C14EF7">
        <w:fldChar w:fldCharType="begin"/>
      </w:r>
      <w:r w:rsidR="005B253B">
        <w:instrText xml:space="preserve"> STYLEREF 1 \s </w:instrText>
      </w:r>
      <w:r w:rsidR="00C14EF7">
        <w:fldChar w:fldCharType="separate"/>
      </w:r>
      <w:r w:rsidR="003E0F65">
        <w:rPr>
          <w:noProof/>
        </w:rPr>
        <w:t>5</w:t>
      </w:r>
      <w:r w:rsidR="00C14EF7">
        <w:fldChar w:fldCharType="end"/>
      </w:r>
      <w:r w:rsidR="005B253B">
        <w:noBreakHyphen/>
      </w:r>
      <w:r w:rsidR="00C14EF7">
        <w:fldChar w:fldCharType="begin"/>
      </w:r>
      <w:r w:rsidR="005B253B">
        <w:instrText xml:space="preserve"> SEQ Figure \* ARABIC \s 1 </w:instrText>
      </w:r>
      <w:r w:rsidR="00C14EF7">
        <w:fldChar w:fldCharType="separate"/>
      </w:r>
      <w:r w:rsidR="003E0F65">
        <w:rPr>
          <w:noProof/>
        </w:rPr>
        <w:t>7</w:t>
      </w:r>
      <w:r w:rsidR="00C14EF7">
        <w:fldChar w:fldCharType="end"/>
      </w:r>
      <w:bookmarkEnd w:id="91"/>
      <w:r>
        <w:t>: Transport sector greenhouse gas emissions under the central policy scenario</w:t>
      </w:r>
      <w:bookmarkEnd w:id="92"/>
    </w:p>
    <w:p w:rsidR="00F75393" w:rsidRDefault="00C14EF7" w:rsidP="00045DC3">
      <w:r>
        <w:fldChar w:fldCharType="begin"/>
      </w:r>
      <w:r w:rsidR="002F3863">
        <w:instrText xml:space="preserve"> REF _Ref365534884 \h </w:instrText>
      </w:r>
      <w:r>
        <w:fldChar w:fldCharType="separate"/>
      </w:r>
      <w:r w:rsidR="003E0F65">
        <w:t xml:space="preserve">Figure </w:t>
      </w:r>
      <w:r w:rsidR="003E0F65">
        <w:rPr>
          <w:noProof/>
        </w:rPr>
        <w:t>5</w:t>
      </w:r>
      <w:r w:rsidR="003E0F65">
        <w:noBreakHyphen/>
      </w:r>
      <w:r w:rsidR="003E0F65">
        <w:rPr>
          <w:noProof/>
        </w:rPr>
        <w:t>7</w:t>
      </w:r>
      <w:r>
        <w:fldChar w:fldCharType="end"/>
      </w:r>
      <w:r w:rsidR="002F3863">
        <w:t xml:space="preserve"> shows that out to around 2030 the declining greenhouse gas emissions in the road transport sector is largely offset by increasing greenhouse gas emissions in the non-road transport sector, particularly aviation</w:t>
      </w:r>
      <w:r w:rsidR="00795CFF">
        <w:t>.</w:t>
      </w:r>
      <w:r w:rsidR="00795CFF">
        <w:rPr>
          <w:rStyle w:val="FootnoteReference"/>
        </w:rPr>
        <w:footnoteReference w:id="9"/>
      </w:r>
      <w:r w:rsidR="002F3863">
        <w:t xml:space="preserve"> </w:t>
      </w:r>
      <w:r w:rsidR="00AF1099">
        <w:t>However, beyond 2030</w:t>
      </w:r>
      <w:r w:rsidR="0013105A">
        <w:t>, the continued growth in activity levels</w:t>
      </w:r>
      <w:r w:rsidR="00E643D1">
        <w:t>,</w:t>
      </w:r>
      <w:r w:rsidR="0013105A">
        <w:t xml:space="preserve"> and the flattening oil price in combinati</w:t>
      </w:r>
      <w:r w:rsidR="00E643D1">
        <w:t>on with a moderate carbon price,</w:t>
      </w:r>
      <w:r w:rsidR="0013105A">
        <w:t xml:space="preserve"> reduces the marginal benefit of accelerated uptake of low emission fuels and alternative drivetrain vehicles.</w:t>
      </w:r>
    </w:p>
    <w:p w:rsidR="00E4700B" w:rsidRDefault="00E4700B" w:rsidP="00E4700B">
      <w:pPr>
        <w:spacing w:after="0"/>
      </w:pPr>
      <w:r>
        <w:br w:type="page"/>
      </w:r>
    </w:p>
    <w:p w:rsidR="00325FD8" w:rsidRDefault="00325FD8" w:rsidP="00325FD8">
      <w:pPr>
        <w:pStyle w:val="Heading2"/>
      </w:pPr>
      <w:bookmarkStart w:id="93" w:name="_Toc366228039"/>
      <w:r>
        <w:lastRenderedPageBreak/>
        <w:t>Low carbon price</w:t>
      </w:r>
      <w:r w:rsidR="009A210A">
        <w:t xml:space="preserve"> scenario</w:t>
      </w:r>
      <w:bookmarkEnd w:id="93"/>
    </w:p>
    <w:p w:rsidR="006E74EB" w:rsidRDefault="000F4C03" w:rsidP="006E74EB">
      <w:r>
        <w:t>This scenario imposes a low carbon price initially increasing to a moderate price signal from 2030 onwards and a significant increase in oil prices.</w:t>
      </w:r>
    </w:p>
    <w:p w:rsidR="006E74EB" w:rsidRDefault="006E74EB" w:rsidP="006E74EB"/>
    <w:p w:rsidR="006E74EB" w:rsidRDefault="006E74EB" w:rsidP="006E74EB">
      <w:pPr>
        <w:pStyle w:val="Heading3"/>
      </w:pPr>
      <w:r>
        <w:t>Transport fuel mix</w:t>
      </w:r>
    </w:p>
    <w:p w:rsidR="006E74EB" w:rsidRDefault="00C14EF7" w:rsidP="006E74EB">
      <w:r>
        <w:fldChar w:fldCharType="begin"/>
      </w:r>
      <w:r w:rsidR="006E74EB">
        <w:instrText xml:space="preserve"> REF _Ref365543121 \h </w:instrText>
      </w:r>
      <w:r>
        <w:fldChar w:fldCharType="separate"/>
      </w:r>
      <w:r w:rsidR="003E0F65">
        <w:t xml:space="preserve">Figure </w:t>
      </w:r>
      <w:r w:rsidR="003E0F65">
        <w:rPr>
          <w:noProof/>
        </w:rPr>
        <w:t>5</w:t>
      </w:r>
      <w:r w:rsidR="003E0F65">
        <w:noBreakHyphen/>
      </w:r>
      <w:r w:rsidR="003E0F65">
        <w:rPr>
          <w:noProof/>
        </w:rPr>
        <w:t>8</w:t>
      </w:r>
      <w:r>
        <w:fldChar w:fldCharType="end"/>
      </w:r>
      <w:r w:rsidR="006E74EB">
        <w:t xml:space="preserve"> shows the projected level of road transport consumption by fuel for the low carbon price scenario. In the near-term, the projected fuel mix is very similar to that under the central policy scenario. The main point of departure is that low emission fuels are less competitive under this carbon price regime, resulting in greater consumption of crude-based diesel in the medium-term at the expense of less biodiesel from 2015 onwards. As carbon prices under this scenario start to converge from 2030 onwards, and assuming the same oil price trajectory, </w:t>
      </w:r>
      <w:r w:rsidR="001F7241">
        <w:t>there is also convergence in the fuel mix towards 2050.</w:t>
      </w:r>
      <w:r w:rsidR="006E74EB">
        <w:t xml:space="preserve"> </w:t>
      </w:r>
    </w:p>
    <w:p w:rsidR="006E74EB" w:rsidRDefault="006E74EB" w:rsidP="006E74EB"/>
    <w:p w:rsidR="006E74EB" w:rsidRDefault="006E74EB" w:rsidP="006E74EB">
      <w:r w:rsidRPr="006E74EB">
        <w:rPr>
          <w:noProof/>
        </w:rPr>
        <w:drawing>
          <wp:inline distT="0" distB="0" distL="0" distR="0">
            <wp:extent cx="6120130" cy="3994871"/>
            <wp:effectExtent l="19050" t="0" r="0" b="0"/>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srcRect/>
                    <a:stretch>
                      <a:fillRect/>
                    </a:stretch>
                  </pic:blipFill>
                  <pic:spPr bwMode="auto">
                    <a:xfrm>
                      <a:off x="0" y="0"/>
                      <a:ext cx="6120130" cy="3994871"/>
                    </a:xfrm>
                    <a:prstGeom prst="rect">
                      <a:avLst/>
                    </a:prstGeom>
                    <a:noFill/>
                    <a:ln w="9525">
                      <a:noFill/>
                      <a:miter lim="800000"/>
                      <a:headEnd/>
                      <a:tailEnd/>
                    </a:ln>
                  </pic:spPr>
                </pic:pic>
              </a:graphicData>
            </a:graphic>
          </wp:inline>
        </w:drawing>
      </w:r>
    </w:p>
    <w:p w:rsidR="006E74EB" w:rsidRDefault="006E74EB" w:rsidP="006E74EB">
      <w:pPr>
        <w:pStyle w:val="Caption"/>
      </w:pPr>
      <w:bookmarkStart w:id="94" w:name="_Ref365543121"/>
      <w:bookmarkStart w:id="95" w:name="_Toc366227345"/>
      <w:r>
        <w:t xml:space="preserve">Figure </w:t>
      </w:r>
      <w:r w:rsidR="00C14EF7">
        <w:fldChar w:fldCharType="begin"/>
      </w:r>
      <w:r w:rsidR="005B253B">
        <w:instrText xml:space="preserve"> STYLEREF 1 \s </w:instrText>
      </w:r>
      <w:r w:rsidR="00C14EF7">
        <w:fldChar w:fldCharType="separate"/>
      </w:r>
      <w:r w:rsidR="003E0F65">
        <w:rPr>
          <w:noProof/>
        </w:rPr>
        <w:t>5</w:t>
      </w:r>
      <w:r w:rsidR="00C14EF7">
        <w:fldChar w:fldCharType="end"/>
      </w:r>
      <w:r w:rsidR="005B253B">
        <w:noBreakHyphen/>
      </w:r>
      <w:r w:rsidR="00C14EF7">
        <w:fldChar w:fldCharType="begin"/>
      </w:r>
      <w:r w:rsidR="005B253B">
        <w:instrText xml:space="preserve"> SEQ Figure \* ARABIC \s 1 </w:instrText>
      </w:r>
      <w:r w:rsidR="00C14EF7">
        <w:fldChar w:fldCharType="separate"/>
      </w:r>
      <w:r w:rsidR="003E0F65">
        <w:rPr>
          <w:noProof/>
        </w:rPr>
        <w:t>8</w:t>
      </w:r>
      <w:r w:rsidR="00C14EF7">
        <w:fldChar w:fldCharType="end"/>
      </w:r>
      <w:bookmarkEnd w:id="94"/>
      <w:r>
        <w:t>: Projected road transport fuel consumption by fuel under the low carbon price scenario</w:t>
      </w:r>
      <w:bookmarkEnd w:id="95"/>
    </w:p>
    <w:p w:rsidR="006E74EB" w:rsidRDefault="006E74EB" w:rsidP="006E74EB"/>
    <w:p w:rsidR="006E74EB" w:rsidRDefault="001F7241" w:rsidP="006E74EB">
      <w:r>
        <w:t>The road transport fuel consumption by mode under this scenario is nearly identical to that in the central policy scenario.</w:t>
      </w:r>
    </w:p>
    <w:p w:rsidR="006E74EB" w:rsidRPr="00516D9C" w:rsidRDefault="00C14EF7" w:rsidP="006E74EB">
      <w:pPr>
        <w:rPr>
          <w:color w:val="1F497D"/>
        </w:rPr>
      </w:pPr>
      <w:r>
        <w:fldChar w:fldCharType="begin"/>
      </w:r>
      <w:r w:rsidR="0066591B">
        <w:instrText xml:space="preserve"> REF _Ref365544406 \h </w:instrText>
      </w:r>
      <w:r>
        <w:fldChar w:fldCharType="separate"/>
      </w:r>
      <w:r w:rsidR="003E0F65">
        <w:t xml:space="preserve">Figure </w:t>
      </w:r>
      <w:r w:rsidR="003E0F65">
        <w:rPr>
          <w:noProof/>
        </w:rPr>
        <w:t>5</w:t>
      </w:r>
      <w:r w:rsidR="003E0F65">
        <w:noBreakHyphen/>
      </w:r>
      <w:r w:rsidR="003E0F65">
        <w:rPr>
          <w:noProof/>
        </w:rPr>
        <w:t>9</w:t>
      </w:r>
      <w:r>
        <w:fldChar w:fldCharType="end"/>
      </w:r>
      <w:r w:rsidR="0066591B">
        <w:t xml:space="preserve"> </w:t>
      </w:r>
      <w:r w:rsidR="001F7241">
        <w:t xml:space="preserve">shows the projected level of non-road transport consumption by fuel and mode (domestic navigation, rail and domestic </w:t>
      </w:r>
      <w:r w:rsidR="0066591B">
        <w:t>aviation) for the low carbon price</w:t>
      </w:r>
      <w:r w:rsidR="001F7241">
        <w:t xml:space="preserve"> scenario. </w:t>
      </w:r>
      <w:r w:rsidR="00A05EB0">
        <w:t xml:space="preserve">The main </w:t>
      </w:r>
      <w:r w:rsidR="00A05EB0">
        <w:lastRenderedPageBreak/>
        <w:t xml:space="preserve">difference to the central policy scenario is that the uptake of bio-derived jet fuel </w:t>
      </w:r>
      <w:r w:rsidR="00A05EB0" w:rsidRPr="00A05EB0">
        <w:rPr>
          <w:color w:val="auto"/>
        </w:rPr>
        <w:t>is delayed reflecting the combined effect of oil prices and lower carbon prices reducing the incentive for low emission jet fuel.</w:t>
      </w:r>
    </w:p>
    <w:p w:rsidR="001F7241" w:rsidRDefault="00D320AA" w:rsidP="006E74EB">
      <w:r w:rsidRPr="00D320AA">
        <w:rPr>
          <w:noProof/>
        </w:rPr>
        <w:drawing>
          <wp:inline distT="0" distB="0" distL="0" distR="0">
            <wp:extent cx="6120130" cy="3994516"/>
            <wp:effectExtent l="19050" t="0" r="0" b="0"/>
            <wp:docPr id="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srcRect/>
                    <a:stretch>
                      <a:fillRect/>
                    </a:stretch>
                  </pic:blipFill>
                  <pic:spPr bwMode="auto">
                    <a:xfrm>
                      <a:off x="0" y="0"/>
                      <a:ext cx="6120130" cy="3994516"/>
                    </a:xfrm>
                    <a:prstGeom prst="rect">
                      <a:avLst/>
                    </a:prstGeom>
                    <a:noFill/>
                    <a:ln w="9525">
                      <a:noFill/>
                      <a:miter lim="800000"/>
                      <a:headEnd/>
                      <a:tailEnd/>
                    </a:ln>
                  </pic:spPr>
                </pic:pic>
              </a:graphicData>
            </a:graphic>
          </wp:inline>
        </w:drawing>
      </w:r>
    </w:p>
    <w:p w:rsidR="001F7241" w:rsidRDefault="00D320AA" w:rsidP="00516D9C">
      <w:pPr>
        <w:pStyle w:val="Caption"/>
      </w:pPr>
      <w:bookmarkStart w:id="96" w:name="_Ref365544406"/>
      <w:bookmarkStart w:id="97" w:name="_Toc366227346"/>
      <w:r>
        <w:t xml:space="preserve">Figure </w:t>
      </w:r>
      <w:r w:rsidR="00C14EF7">
        <w:fldChar w:fldCharType="begin"/>
      </w:r>
      <w:r w:rsidR="005B253B">
        <w:instrText xml:space="preserve"> STYLEREF 1 \s </w:instrText>
      </w:r>
      <w:r w:rsidR="00C14EF7">
        <w:fldChar w:fldCharType="separate"/>
      </w:r>
      <w:r w:rsidR="003E0F65">
        <w:rPr>
          <w:noProof/>
        </w:rPr>
        <w:t>5</w:t>
      </w:r>
      <w:r w:rsidR="00C14EF7">
        <w:fldChar w:fldCharType="end"/>
      </w:r>
      <w:r w:rsidR="005B253B">
        <w:noBreakHyphen/>
      </w:r>
      <w:r w:rsidR="00C14EF7">
        <w:fldChar w:fldCharType="begin"/>
      </w:r>
      <w:r w:rsidR="005B253B">
        <w:instrText xml:space="preserve"> SEQ Figure \* ARABIC \s 1 </w:instrText>
      </w:r>
      <w:r w:rsidR="00C14EF7">
        <w:fldChar w:fldCharType="separate"/>
      </w:r>
      <w:r w:rsidR="003E0F65">
        <w:rPr>
          <w:noProof/>
        </w:rPr>
        <w:t>9</w:t>
      </w:r>
      <w:r w:rsidR="00C14EF7">
        <w:fldChar w:fldCharType="end"/>
      </w:r>
      <w:bookmarkEnd w:id="96"/>
      <w:r>
        <w:t>: Non-road transport fuel consumption by fuel and mode under the low carbon price scenario</w:t>
      </w:r>
      <w:bookmarkEnd w:id="97"/>
    </w:p>
    <w:p w:rsidR="001F7241" w:rsidRDefault="001F7241" w:rsidP="001F7241">
      <w:pPr>
        <w:pStyle w:val="Heading3"/>
      </w:pPr>
      <w:r>
        <w:t>Road sector engine mix</w:t>
      </w:r>
    </w:p>
    <w:p w:rsidR="00516D9C" w:rsidRDefault="00C14EF7" w:rsidP="00516D9C">
      <w:r>
        <w:fldChar w:fldCharType="begin"/>
      </w:r>
      <w:r w:rsidR="00516D9C">
        <w:instrText xml:space="preserve"> REF _Ref365544914 \h </w:instrText>
      </w:r>
      <w:r>
        <w:fldChar w:fldCharType="separate"/>
      </w:r>
      <w:r w:rsidR="003E0F65">
        <w:t xml:space="preserve">Figure </w:t>
      </w:r>
      <w:r w:rsidR="003E0F65">
        <w:rPr>
          <w:noProof/>
        </w:rPr>
        <w:t>5</w:t>
      </w:r>
      <w:r w:rsidR="003E0F65">
        <w:noBreakHyphen/>
      </w:r>
      <w:r w:rsidR="003E0F65">
        <w:rPr>
          <w:noProof/>
        </w:rPr>
        <w:t>10</w:t>
      </w:r>
      <w:r>
        <w:fldChar w:fldCharType="end"/>
      </w:r>
      <w:r w:rsidR="00516D9C">
        <w:t xml:space="preserve"> shows the engine type in road kilometres travelled for the low carbon price scenario. The impact of the lower carbon price trajectory is a slight delay in the uptake of alternative drivetrain vehicles</w:t>
      </w:r>
      <w:r w:rsidR="004B7F36">
        <w:t>, mainly in the form of hybrids and plug-in hybrid electric vehicles.</w:t>
      </w:r>
    </w:p>
    <w:p w:rsidR="00516D9C" w:rsidRPr="00516D9C" w:rsidRDefault="00516D9C" w:rsidP="00516D9C"/>
    <w:p w:rsidR="001F7241" w:rsidRDefault="001F7241" w:rsidP="009A210A">
      <w:r w:rsidRPr="001F7241">
        <w:rPr>
          <w:noProof/>
        </w:rPr>
        <w:lastRenderedPageBreak/>
        <w:drawing>
          <wp:inline distT="0" distB="0" distL="0" distR="0">
            <wp:extent cx="6120130" cy="3994871"/>
            <wp:effectExtent l="19050" t="0" r="0" b="0"/>
            <wp:docPr id="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srcRect/>
                    <a:stretch>
                      <a:fillRect/>
                    </a:stretch>
                  </pic:blipFill>
                  <pic:spPr bwMode="auto">
                    <a:xfrm>
                      <a:off x="0" y="0"/>
                      <a:ext cx="6120130" cy="3994871"/>
                    </a:xfrm>
                    <a:prstGeom prst="rect">
                      <a:avLst/>
                    </a:prstGeom>
                    <a:noFill/>
                    <a:ln w="9525">
                      <a:noFill/>
                      <a:miter lim="800000"/>
                      <a:headEnd/>
                      <a:tailEnd/>
                    </a:ln>
                  </pic:spPr>
                </pic:pic>
              </a:graphicData>
            </a:graphic>
          </wp:inline>
        </w:drawing>
      </w:r>
    </w:p>
    <w:p w:rsidR="001F7241" w:rsidRDefault="001F7241" w:rsidP="001F7241">
      <w:pPr>
        <w:pStyle w:val="Caption"/>
      </w:pPr>
      <w:bookmarkStart w:id="98" w:name="_Ref365544914"/>
      <w:bookmarkStart w:id="99" w:name="_Toc366227347"/>
      <w:r>
        <w:t xml:space="preserve">Figure </w:t>
      </w:r>
      <w:r w:rsidR="00C14EF7">
        <w:fldChar w:fldCharType="begin"/>
      </w:r>
      <w:r w:rsidR="005B253B">
        <w:instrText xml:space="preserve"> STYLEREF 1 \s </w:instrText>
      </w:r>
      <w:r w:rsidR="00C14EF7">
        <w:fldChar w:fldCharType="separate"/>
      </w:r>
      <w:r w:rsidR="003E0F65">
        <w:rPr>
          <w:noProof/>
        </w:rPr>
        <w:t>5</w:t>
      </w:r>
      <w:r w:rsidR="00C14EF7">
        <w:fldChar w:fldCharType="end"/>
      </w:r>
      <w:r w:rsidR="005B253B">
        <w:noBreakHyphen/>
      </w:r>
      <w:r w:rsidR="00C14EF7">
        <w:fldChar w:fldCharType="begin"/>
      </w:r>
      <w:r w:rsidR="005B253B">
        <w:instrText xml:space="preserve"> SEQ Figure \* ARABIC \s 1 </w:instrText>
      </w:r>
      <w:r w:rsidR="00C14EF7">
        <w:fldChar w:fldCharType="separate"/>
      </w:r>
      <w:r w:rsidR="003E0F65">
        <w:rPr>
          <w:noProof/>
        </w:rPr>
        <w:t>10</w:t>
      </w:r>
      <w:r w:rsidR="00C14EF7">
        <w:fldChar w:fldCharType="end"/>
      </w:r>
      <w:bookmarkEnd w:id="98"/>
      <w:r>
        <w:t>: Engine type in road kilometres travelled, low carbon price scenario</w:t>
      </w:r>
      <w:bookmarkEnd w:id="99"/>
    </w:p>
    <w:p w:rsidR="001F7241" w:rsidRDefault="001F7241" w:rsidP="009A210A"/>
    <w:p w:rsidR="004B7F36" w:rsidRDefault="004B7F36" w:rsidP="004B7F36">
      <w:pPr>
        <w:pStyle w:val="Heading3"/>
      </w:pPr>
      <w:r>
        <w:t>Greenhouse gas emission projections</w:t>
      </w:r>
    </w:p>
    <w:p w:rsidR="004B7F36" w:rsidRDefault="00C14EF7" w:rsidP="009A210A">
      <w:r>
        <w:fldChar w:fldCharType="begin"/>
      </w:r>
      <w:r w:rsidR="004B7F36">
        <w:instrText xml:space="preserve"> REF _Ref365545135 \h </w:instrText>
      </w:r>
      <w:r>
        <w:fldChar w:fldCharType="separate"/>
      </w:r>
      <w:r w:rsidR="003E0F65">
        <w:t xml:space="preserve">Figure </w:t>
      </w:r>
      <w:r w:rsidR="003E0F65">
        <w:rPr>
          <w:noProof/>
        </w:rPr>
        <w:t>5</w:t>
      </w:r>
      <w:r w:rsidR="003E0F65">
        <w:noBreakHyphen/>
      </w:r>
      <w:r w:rsidR="003E0F65">
        <w:rPr>
          <w:noProof/>
        </w:rPr>
        <w:t>11</w:t>
      </w:r>
      <w:r>
        <w:fldChar w:fldCharType="end"/>
      </w:r>
      <w:r w:rsidR="004B7F36">
        <w:t xml:space="preserve"> shows the greenhouse gas emissions by mode for the road transport sector under the low carbon price scenario. The reduced carbon price signal in the near-term reduces the uptake of low emission fuels, particularly biodiesel, resulting in a more muted decline in greenhouse gas emissions to 2025 when compared to the central policy scenario. As a result, the uptick in emissions from synthetic diesel use around 2025 is less noticeable in this case. Beyond 2030, the convergence of oil and carbon prices to that of the central policy scenario, results in very similar emission levels by 2050. </w:t>
      </w:r>
    </w:p>
    <w:p w:rsidR="001F7241" w:rsidRDefault="0016769F" w:rsidP="009A210A">
      <w:r w:rsidRPr="0016769F">
        <w:rPr>
          <w:noProof/>
        </w:rPr>
        <w:lastRenderedPageBreak/>
        <w:drawing>
          <wp:inline distT="0" distB="0" distL="0" distR="0">
            <wp:extent cx="6120130" cy="3994871"/>
            <wp:effectExtent l="19050" t="0" r="0" b="0"/>
            <wp:docPr id="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srcRect/>
                    <a:stretch>
                      <a:fillRect/>
                    </a:stretch>
                  </pic:blipFill>
                  <pic:spPr bwMode="auto">
                    <a:xfrm>
                      <a:off x="0" y="0"/>
                      <a:ext cx="6120130" cy="3994871"/>
                    </a:xfrm>
                    <a:prstGeom prst="rect">
                      <a:avLst/>
                    </a:prstGeom>
                    <a:noFill/>
                    <a:ln w="9525">
                      <a:noFill/>
                      <a:miter lim="800000"/>
                      <a:headEnd/>
                      <a:tailEnd/>
                    </a:ln>
                  </pic:spPr>
                </pic:pic>
              </a:graphicData>
            </a:graphic>
          </wp:inline>
        </w:drawing>
      </w:r>
    </w:p>
    <w:p w:rsidR="0016769F" w:rsidRDefault="0016769F" w:rsidP="0016769F">
      <w:pPr>
        <w:pStyle w:val="Caption"/>
      </w:pPr>
      <w:bookmarkStart w:id="100" w:name="_Ref365545135"/>
      <w:bookmarkStart w:id="101" w:name="_Toc366227348"/>
      <w:r>
        <w:t xml:space="preserve">Figure </w:t>
      </w:r>
      <w:r w:rsidR="00C14EF7">
        <w:fldChar w:fldCharType="begin"/>
      </w:r>
      <w:r w:rsidR="005B253B">
        <w:instrText xml:space="preserve"> STYLEREF 1 \s </w:instrText>
      </w:r>
      <w:r w:rsidR="00C14EF7">
        <w:fldChar w:fldCharType="separate"/>
      </w:r>
      <w:r w:rsidR="003E0F65">
        <w:rPr>
          <w:noProof/>
        </w:rPr>
        <w:t>5</w:t>
      </w:r>
      <w:r w:rsidR="00C14EF7">
        <w:fldChar w:fldCharType="end"/>
      </w:r>
      <w:r w:rsidR="005B253B">
        <w:noBreakHyphen/>
      </w:r>
      <w:r w:rsidR="00C14EF7">
        <w:fldChar w:fldCharType="begin"/>
      </w:r>
      <w:r w:rsidR="005B253B">
        <w:instrText xml:space="preserve"> SEQ Figure \* ARABIC \s 1 </w:instrText>
      </w:r>
      <w:r w:rsidR="00C14EF7">
        <w:fldChar w:fldCharType="separate"/>
      </w:r>
      <w:r w:rsidR="003E0F65">
        <w:rPr>
          <w:noProof/>
        </w:rPr>
        <w:t>11</w:t>
      </w:r>
      <w:r w:rsidR="00C14EF7">
        <w:fldChar w:fldCharType="end"/>
      </w:r>
      <w:bookmarkEnd w:id="100"/>
      <w:r>
        <w:t>: Road transport greenhouse gas emissions by mode under the low carbon price scenario</w:t>
      </w:r>
      <w:bookmarkEnd w:id="101"/>
    </w:p>
    <w:p w:rsidR="00E643D1" w:rsidRPr="00E643D1" w:rsidRDefault="00E643D1" w:rsidP="00E643D1">
      <w:r>
        <w:t>For the non-road transport sector (</w:t>
      </w:r>
      <w:r w:rsidR="00C14EF7">
        <w:fldChar w:fldCharType="begin"/>
      </w:r>
      <w:r>
        <w:instrText xml:space="preserve"> REF _Ref365546419 \h </w:instrText>
      </w:r>
      <w:r w:rsidR="00C14EF7">
        <w:fldChar w:fldCharType="separate"/>
      </w:r>
      <w:r w:rsidR="003E0F65">
        <w:t xml:space="preserve">Figure </w:t>
      </w:r>
      <w:r w:rsidR="003E0F65">
        <w:rPr>
          <w:noProof/>
        </w:rPr>
        <w:t>5</w:t>
      </w:r>
      <w:r w:rsidR="003E0F65">
        <w:noBreakHyphen/>
      </w:r>
      <w:r w:rsidR="003E0F65">
        <w:rPr>
          <w:noProof/>
        </w:rPr>
        <w:t>12</w:t>
      </w:r>
      <w:r w:rsidR="00C14EF7">
        <w:fldChar w:fldCharType="end"/>
      </w:r>
      <w:r>
        <w:t>), largely reflective of the fuel use, the lower uptake of bio-derived jet fuel means that greenhouse gas emissions are greater than that of the central policy scenario.</w:t>
      </w:r>
    </w:p>
    <w:p w:rsidR="0016769F" w:rsidRDefault="0016769F" w:rsidP="009A210A"/>
    <w:p w:rsidR="00D151BD" w:rsidRDefault="00D151BD" w:rsidP="009A210A">
      <w:r w:rsidRPr="00D151BD">
        <w:rPr>
          <w:noProof/>
        </w:rPr>
        <w:lastRenderedPageBreak/>
        <w:drawing>
          <wp:inline distT="0" distB="0" distL="0" distR="0">
            <wp:extent cx="6120130" cy="3994516"/>
            <wp:effectExtent l="19050" t="0" r="0" b="0"/>
            <wp:docPr id="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srcRect/>
                    <a:stretch>
                      <a:fillRect/>
                    </a:stretch>
                  </pic:blipFill>
                  <pic:spPr bwMode="auto">
                    <a:xfrm>
                      <a:off x="0" y="0"/>
                      <a:ext cx="6120130" cy="3994516"/>
                    </a:xfrm>
                    <a:prstGeom prst="rect">
                      <a:avLst/>
                    </a:prstGeom>
                    <a:noFill/>
                    <a:ln w="9525">
                      <a:noFill/>
                      <a:miter lim="800000"/>
                      <a:headEnd/>
                      <a:tailEnd/>
                    </a:ln>
                  </pic:spPr>
                </pic:pic>
              </a:graphicData>
            </a:graphic>
          </wp:inline>
        </w:drawing>
      </w:r>
    </w:p>
    <w:p w:rsidR="00D151BD" w:rsidRDefault="00D151BD" w:rsidP="00D151BD">
      <w:pPr>
        <w:pStyle w:val="Caption"/>
      </w:pPr>
      <w:bookmarkStart w:id="102" w:name="_Ref365546419"/>
      <w:bookmarkStart w:id="103" w:name="_Toc366227349"/>
      <w:r>
        <w:t xml:space="preserve">Figure </w:t>
      </w:r>
      <w:r w:rsidR="00C14EF7">
        <w:fldChar w:fldCharType="begin"/>
      </w:r>
      <w:r w:rsidR="005B253B">
        <w:instrText xml:space="preserve"> STYLEREF 1 \s </w:instrText>
      </w:r>
      <w:r w:rsidR="00C14EF7">
        <w:fldChar w:fldCharType="separate"/>
      </w:r>
      <w:r w:rsidR="003E0F65">
        <w:rPr>
          <w:noProof/>
        </w:rPr>
        <w:t>5</w:t>
      </w:r>
      <w:r w:rsidR="00C14EF7">
        <w:fldChar w:fldCharType="end"/>
      </w:r>
      <w:r w:rsidR="005B253B">
        <w:noBreakHyphen/>
      </w:r>
      <w:r w:rsidR="00C14EF7">
        <w:fldChar w:fldCharType="begin"/>
      </w:r>
      <w:r w:rsidR="005B253B">
        <w:instrText xml:space="preserve"> SEQ Figure \* ARABIC \s 1 </w:instrText>
      </w:r>
      <w:r w:rsidR="00C14EF7">
        <w:fldChar w:fldCharType="separate"/>
      </w:r>
      <w:r w:rsidR="003E0F65">
        <w:rPr>
          <w:noProof/>
        </w:rPr>
        <w:t>12</w:t>
      </w:r>
      <w:r w:rsidR="00C14EF7">
        <w:fldChar w:fldCharType="end"/>
      </w:r>
      <w:bookmarkEnd w:id="102"/>
      <w:r>
        <w:t>: Non-road transport greenhouse gas emissions by mode under the low carbon price scenario</w:t>
      </w:r>
      <w:bookmarkEnd w:id="103"/>
    </w:p>
    <w:p w:rsidR="0016769F" w:rsidRDefault="0016769F" w:rsidP="009A210A"/>
    <w:p w:rsidR="0016769F" w:rsidRDefault="005C0CF4" w:rsidP="009A210A">
      <w:r w:rsidRPr="005C0CF4">
        <w:rPr>
          <w:noProof/>
        </w:rPr>
        <w:lastRenderedPageBreak/>
        <w:drawing>
          <wp:inline distT="0" distB="0" distL="0" distR="0">
            <wp:extent cx="6120130" cy="3994871"/>
            <wp:effectExtent l="19050" t="0" r="0" b="0"/>
            <wp:docPr id="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srcRect/>
                    <a:stretch>
                      <a:fillRect/>
                    </a:stretch>
                  </pic:blipFill>
                  <pic:spPr bwMode="auto">
                    <a:xfrm>
                      <a:off x="0" y="0"/>
                      <a:ext cx="6120130" cy="3994871"/>
                    </a:xfrm>
                    <a:prstGeom prst="rect">
                      <a:avLst/>
                    </a:prstGeom>
                    <a:noFill/>
                    <a:ln w="9525">
                      <a:noFill/>
                      <a:miter lim="800000"/>
                      <a:headEnd/>
                      <a:tailEnd/>
                    </a:ln>
                  </pic:spPr>
                </pic:pic>
              </a:graphicData>
            </a:graphic>
          </wp:inline>
        </w:drawing>
      </w:r>
    </w:p>
    <w:p w:rsidR="005C0CF4" w:rsidRDefault="005C0CF4" w:rsidP="005C0CF4">
      <w:pPr>
        <w:pStyle w:val="Caption"/>
      </w:pPr>
      <w:bookmarkStart w:id="104" w:name="_Ref365546500"/>
      <w:bookmarkStart w:id="105" w:name="_Toc366227350"/>
      <w:r>
        <w:t xml:space="preserve">Figure </w:t>
      </w:r>
      <w:r w:rsidR="00C14EF7">
        <w:fldChar w:fldCharType="begin"/>
      </w:r>
      <w:r w:rsidR="005B253B">
        <w:instrText xml:space="preserve"> STYLEREF 1 \s </w:instrText>
      </w:r>
      <w:r w:rsidR="00C14EF7">
        <w:fldChar w:fldCharType="separate"/>
      </w:r>
      <w:r w:rsidR="003E0F65">
        <w:rPr>
          <w:noProof/>
        </w:rPr>
        <w:t>5</w:t>
      </w:r>
      <w:r w:rsidR="00C14EF7">
        <w:fldChar w:fldCharType="end"/>
      </w:r>
      <w:r w:rsidR="005B253B">
        <w:noBreakHyphen/>
      </w:r>
      <w:r w:rsidR="00C14EF7">
        <w:fldChar w:fldCharType="begin"/>
      </w:r>
      <w:r w:rsidR="005B253B">
        <w:instrText xml:space="preserve"> SEQ Figure \* ARABIC \s 1 </w:instrText>
      </w:r>
      <w:r w:rsidR="00C14EF7">
        <w:fldChar w:fldCharType="separate"/>
      </w:r>
      <w:r w:rsidR="003E0F65">
        <w:rPr>
          <w:noProof/>
        </w:rPr>
        <w:t>13</w:t>
      </w:r>
      <w:r w:rsidR="00C14EF7">
        <w:fldChar w:fldCharType="end"/>
      </w:r>
      <w:bookmarkEnd w:id="104"/>
      <w:r>
        <w:t>: Transport sector greenhouse gas emissions under the low carbon price and central policy scenarios</w:t>
      </w:r>
      <w:bookmarkEnd w:id="105"/>
    </w:p>
    <w:p w:rsidR="0016769F" w:rsidRDefault="00E643D1" w:rsidP="009A210A">
      <w:r>
        <w:t>The net effect is that transport sector greenhouse gas emissions are higher in the low carbon price scenario relative to the central policy scenario (</w:t>
      </w:r>
      <w:r w:rsidR="00C14EF7">
        <w:fldChar w:fldCharType="begin"/>
      </w:r>
      <w:r>
        <w:instrText xml:space="preserve"> REF _Ref365546500 \h </w:instrText>
      </w:r>
      <w:r w:rsidR="00C14EF7">
        <w:fldChar w:fldCharType="separate"/>
      </w:r>
      <w:r w:rsidR="003E0F65">
        <w:t xml:space="preserve">Figure </w:t>
      </w:r>
      <w:r w:rsidR="003E0F65">
        <w:rPr>
          <w:noProof/>
        </w:rPr>
        <w:t>5</w:t>
      </w:r>
      <w:r w:rsidR="003E0F65">
        <w:noBreakHyphen/>
      </w:r>
      <w:r w:rsidR="003E0F65">
        <w:rPr>
          <w:noProof/>
        </w:rPr>
        <w:t>13</w:t>
      </w:r>
      <w:r w:rsidR="00C14EF7">
        <w:fldChar w:fldCharType="end"/>
      </w:r>
      <w:r>
        <w:t>) from around 2015, with the difference at its greatest around 2035 (around 7 Mt higher), then a convergence in emissions towards 2050. At 2050, greenhouse gas emissions are around 3 Mt greater in the low carbon price scenario.</w:t>
      </w:r>
    </w:p>
    <w:p w:rsidR="009A210A" w:rsidRDefault="00891947" w:rsidP="00891947">
      <w:pPr>
        <w:spacing w:after="0"/>
      </w:pPr>
      <w:r>
        <w:br w:type="page"/>
      </w:r>
    </w:p>
    <w:p w:rsidR="00325FD8" w:rsidRDefault="00325FD8" w:rsidP="00325FD8">
      <w:pPr>
        <w:pStyle w:val="Heading2"/>
      </w:pPr>
      <w:bookmarkStart w:id="106" w:name="_Toc366228040"/>
      <w:r>
        <w:lastRenderedPageBreak/>
        <w:t>High carbon price</w:t>
      </w:r>
      <w:r w:rsidR="009A210A">
        <w:t xml:space="preserve"> scenario</w:t>
      </w:r>
      <w:bookmarkEnd w:id="106"/>
    </w:p>
    <w:p w:rsidR="009A210A" w:rsidRDefault="00A03AFA" w:rsidP="009A210A">
      <w:r>
        <w:t>This scenario imposes a high carbon price and a significant increase in oil prices.</w:t>
      </w:r>
    </w:p>
    <w:p w:rsidR="00636A65" w:rsidRDefault="00636A65" w:rsidP="009A210A"/>
    <w:p w:rsidR="00636A65" w:rsidRDefault="00636A65" w:rsidP="00636A65">
      <w:pPr>
        <w:pStyle w:val="Heading3"/>
      </w:pPr>
      <w:r>
        <w:t>Transport fuel mix</w:t>
      </w:r>
    </w:p>
    <w:p w:rsidR="00FE0313" w:rsidRDefault="00C14EF7" w:rsidP="00FE0313">
      <w:pPr>
        <w:rPr>
          <w:color w:val="1F497D"/>
        </w:rPr>
      </w:pPr>
      <w:r>
        <w:fldChar w:fldCharType="begin"/>
      </w:r>
      <w:r w:rsidR="007A0DE3">
        <w:instrText xml:space="preserve"> REF _Ref365549374 \h </w:instrText>
      </w:r>
      <w:r>
        <w:fldChar w:fldCharType="separate"/>
      </w:r>
      <w:r w:rsidR="003E0F65">
        <w:t xml:space="preserve">Figure </w:t>
      </w:r>
      <w:r w:rsidR="003E0F65">
        <w:rPr>
          <w:noProof/>
        </w:rPr>
        <w:t>5</w:t>
      </w:r>
      <w:r w:rsidR="003E0F65">
        <w:noBreakHyphen/>
      </w:r>
      <w:r w:rsidR="003E0F65">
        <w:rPr>
          <w:noProof/>
        </w:rPr>
        <w:t>14</w:t>
      </w:r>
      <w:r>
        <w:fldChar w:fldCharType="end"/>
      </w:r>
      <w:r w:rsidR="007A0DE3">
        <w:t xml:space="preserve"> shows the projected level of road transport consumption by fuel for the high carbon price scenario. In the near-term, the projected fuel mix is very similar to that under the central policy scenario but at a lower level. The main point of departure is that low emission fuels are more competitive under this carbon price regime, resulting in reduced consumption of crude-based diesel in the medium-term and greater use of biodiesel and natural gas. The lower level of fuel consumption in the near-term mainly reflects the greater uptake of hybrid vehicles, prior to more significant uptake of electricity as a transport fuel. </w:t>
      </w:r>
      <w:r w:rsidR="001A116A" w:rsidRPr="001A116A">
        <w:t xml:space="preserve"> </w:t>
      </w:r>
      <w:r w:rsidR="00FE0313">
        <w:t>The increased use of petrol in the last decade of the projection period reflects growth in passenger vehicle demand outpacing further adoption of petrol saving vehicle electrification.</w:t>
      </w:r>
    </w:p>
    <w:p w:rsidR="007A0DE3" w:rsidRDefault="007A0DE3" w:rsidP="007A0DE3"/>
    <w:p w:rsidR="009A210A" w:rsidRDefault="009A210A" w:rsidP="009A210A"/>
    <w:p w:rsidR="00636A65" w:rsidRDefault="00636A65" w:rsidP="009A210A">
      <w:r w:rsidRPr="00636A65">
        <w:rPr>
          <w:noProof/>
        </w:rPr>
        <w:drawing>
          <wp:inline distT="0" distB="0" distL="0" distR="0">
            <wp:extent cx="6120130" cy="3994871"/>
            <wp:effectExtent l="19050" t="0" r="0" b="0"/>
            <wp:docPr id="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srcRect/>
                    <a:stretch>
                      <a:fillRect/>
                    </a:stretch>
                  </pic:blipFill>
                  <pic:spPr bwMode="auto">
                    <a:xfrm>
                      <a:off x="0" y="0"/>
                      <a:ext cx="6120130" cy="3994871"/>
                    </a:xfrm>
                    <a:prstGeom prst="rect">
                      <a:avLst/>
                    </a:prstGeom>
                    <a:noFill/>
                    <a:ln w="9525">
                      <a:noFill/>
                      <a:miter lim="800000"/>
                      <a:headEnd/>
                      <a:tailEnd/>
                    </a:ln>
                  </pic:spPr>
                </pic:pic>
              </a:graphicData>
            </a:graphic>
          </wp:inline>
        </w:drawing>
      </w:r>
    </w:p>
    <w:p w:rsidR="00636A65" w:rsidRDefault="00636A65" w:rsidP="00636A65">
      <w:pPr>
        <w:pStyle w:val="Caption"/>
      </w:pPr>
      <w:bookmarkStart w:id="107" w:name="_Ref365549374"/>
      <w:bookmarkStart w:id="108" w:name="_Toc366227351"/>
      <w:r>
        <w:t xml:space="preserve">Figure </w:t>
      </w:r>
      <w:r w:rsidR="00C14EF7">
        <w:fldChar w:fldCharType="begin"/>
      </w:r>
      <w:r w:rsidR="005B253B">
        <w:instrText xml:space="preserve"> STYLEREF 1 \s </w:instrText>
      </w:r>
      <w:r w:rsidR="00C14EF7">
        <w:fldChar w:fldCharType="separate"/>
      </w:r>
      <w:r w:rsidR="003E0F65">
        <w:rPr>
          <w:noProof/>
        </w:rPr>
        <w:t>5</w:t>
      </w:r>
      <w:r w:rsidR="00C14EF7">
        <w:fldChar w:fldCharType="end"/>
      </w:r>
      <w:r w:rsidR="005B253B">
        <w:noBreakHyphen/>
      </w:r>
      <w:r w:rsidR="00C14EF7">
        <w:fldChar w:fldCharType="begin"/>
      </w:r>
      <w:r w:rsidR="005B253B">
        <w:instrText xml:space="preserve"> SEQ Figure \* ARABIC \s 1 </w:instrText>
      </w:r>
      <w:r w:rsidR="00C14EF7">
        <w:fldChar w:fldCharType="separate"/>
      </w:r>
      <w:r w:rsidR="003E0F65">
        <w:rPr>
          <w:noProof/>
        </w:rPr>
        <w:t>14</w:t>
      </w:r>
      <w:r w:rsidR="00C14EF7">
        <w:fldChar w:fldCharType="end"/>
      </w:r>
      <w:bookmarkEnd w:id="107"/>
      <w:r>
        <w:t>: Projected road transport fuel consumption by fuel under the high carbon price scenario</w:t>
      </w:r>
      <w:bookmarkEnd w:id="108"/>
    </w:p>
    <w:p w:rsidR="00636A65" w:rsidRDefault="007A0DE3" w:rsidP="009A210A">
      <w:r>
        <w:t xml:space="preserve">Another notable feature is the reduced use of biodiesel in the road sector in the last ten years of the projection period. </w:t>
      </w:r>
      <w:r w:rsidR="00C14EF7">
        <w:fldChar w:fldCharType="begin"/>
      </w:r>
      <w:r>
        <w:instrText xml:space="preserve"> REF _Ref365549742 \h </w:instrText>
      </w:r>
      <w:r w:rsidR="00C14EF7">
        <w:fldChar w:fldCharType="separate"/>
      </w:r>
      <w:r w:rsidR="003E0F65">
        <w:t xml:space="preserve">Figure </w:t>
      </w:r>
      <w:r w:rsidR="003E0F65">
        <w:rPr>
          <w:noProof/>
        </w:rPr>
        <w:t>5</w:t>
      </w:r>
      <w:r w:rsidR="003E0F65">
        <w:noBreakHyphen/>
      </w:r>
      <w:r w:rsidR="003E0F65">
        <w:rPr>
          <w:noProof/>
        </w:rPr>
        <w:t>15</w:t>
      </w:r>
      <w:r w:rsidR="00C14EF7">
        <w:fldChar w:fldCharType="end"/>
      </w:r>
      <w:r>
        <w:t xml:space="preserve"> shows that this is the result of ‘competition’ from the </w:t>
      </w:r>
      <w:r>
        <w:lastRenderedPageBreak/>
        <w:t>aviation sector for low emission fuels in the form of bio-derived jet fuel. By 2050, bio-derived jet fuel accounts for 40 per cent of domestic aviation fuel consumption.</w:t>
      </w:r>
    </w:p>
    <w:p w:rsidR="00636A65" w:rsidRDefault="00636A65" w:rsidP="009A210A"/>
    <w:p w:rsidR="00636A65" w:rsidRDefault="00636A65" w:rsidP="009A210A"/>
    <w:p w:rsidR="00636A65" w:rsidRDefault="00636A65" w:rsidP="009A210A">
      <w:r w:rsidRPr="00636A65">
        <w:rPr>
          <w:noProof/>
        </w:rPr>
        <w:drawing>
          <wp:inline distT="0" distB="0" distL="0" distR="0">
            <wp:extent cx="6120130" cy="3994516"/>
            <wp:effectExtent l="19050" t="0" r="0" b="0"/>
            <wp:docPr id="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srcRect/>
                    <a:stretch>
                      <a:fillRect/>
                    </a:stretch>
                  </pic:blipFill>
                  <pic:spPr bwMode="auto">
                    <a:xfrm>
                      <a:off x="0" y="0"/>
                      <a:ext cx="6120130" cy="3994516"/>
                    </a:xfrm>
                    <a:prstGeom prst="rect">
                      <a:avLst/>
                    </a:prstGeom>
                    <a:noFill/>
                    <a:ln w="9525">
                      <a:noFill/>
                      <a:miter lim="800000"/>
                      <a:headEnd/>
                      <a:tailEnd/>
                    </a:ln>
                  </pic:spPr>
                </pic:pic>
              </a:graphicData>
            </a:graphic>
          </wp:inline>
        </w:drawing>
      </w:r>
    </w:p>
    <w:p w:rsidR="00636A65" w:rsidRDefault="00636A65" w:rsidP="009B5F58">
      <w:pPr>
        <w:pStyle w:val="Caption"/>
      </w:pPr>
      <w:bookmarkStart w:id="109" w:name="_Ref365549742"/>
      <w:bookmarkStart w:id="110" w:name="_Toc366227352"/>
      <w:r>
        <w:t xml:space="preserve">Figure </w:t>
      </w:r>
      <w:r w:rsidR="00C14EF7">
        <w:fldChar w:fldCharType="begin"/>
      </w:r>
      <w:r w:rsidR="005B253B">
        <w:instrText xml:space="preserve"> STYLEREF 1 \s </w:instrText>
      </w:r>
      <w:r w:rsidR="00C14EF7">
        <w:fldChar w:fldCharType="separate"/>
      </w:r>
      <w:r w:rsidR="003E0F65">
        <w:rPr>
          <w:noProof/>
        </w:rPr>
        <w:t>5</w:t>
      </w:r>
      <w:r w:rsidR="00C14EF7">
        <w:fldChar w:fldCharType="end"/>
      </w:r>
      <w:r w:rsidR="005B253B">
        <w:noBreakHyphen/>
      </w:r>
      <w:r w:rsidR="00C14EF7">
        <w:fldChar w:fldCharType="begin"/>
      </w:r>
      <w:r w:rsidR="005B253B">
        <w:instrText xml:space="preserve"> SEQ Figure \* ARABIC \s 1 </w:instrText>
      </w:r>
      <w:r w:rsidR="00C14EF7">
        <w:fldChar w:fldCharType="separate"/>
      </w:r>
      <w:r w:rsidR="003E0F65">
        <w:rPr>
          <w:noProof/>
        </w:rPr>
        <w:t>15</w:t>
      </w:r>
      <w:r w:rsidR="00C14EF7">
        <w:fldChar w:fldCharType="end"/>
      </w:r>
      <w:bookmarkEnd w:id="109"/>
      <w:r>
        <w:t>: Non-road transport fuel consumption by fuel and mode under the high carbon price scenario</w:t>
      </w:r>
      <w:bookmarkEnd w:id="110"/>
    </w:p>
    <w:p w:rsidR="00636A65" w:rsidRDefault="00636A65" w:rsidP="009A210A"/>
    <w:p w:rsidR="00636A65" w:rsidRDefault="00636A65" w:rsidP="00636A65">
      <w:pPr>
        <w:pStyle w:val="Heading3"/>
      </w:pPr>
      <w:r>
        <w:t>Road sector engine mix</w:t>
      </w:r>
    </w:p>
    <w:p w:rsidR="00636A65" w:rsidRDefault="00C14EF7" w:rsidP="00636A65">
      <w:r>
        <w:fldChar w:fldCharType="begin"/>
      </w:r>
      <w:r w:rsidR="00536D51">
        <w:instrText xml:space="preserve"> REF _Ref365549942 \h </w:instrText>
      </w:r>
      <w:r>
        <w:fldChar w:fldCharType="separate"/>
      </w:r>
      <w:r w:rsidR="003E0F65">
        <w:t xml:space="preserve">Figure </w:t>
      </w:r>
      <w:r w:rsidR="003E0F65">
        <w:rPr>
          <w:noProof/>
        </w:rPr>
        <w:t>5</w:t>
      </w:r>
      <w:r w:rsidR="003E0F65">
        <w:noBreakHyphen/>
      </w:r>
      <w:r w:rsidR="003E0F65">
        <w:rPr>
          <w:noProof/>
        </w:rPr>
        <w:t>16</w:t>
      </w:r>
      <w:r>
        <w:fldChar w:fldCharType="end"/>
      </w:r>
      <w:r w:rsidR="00536D51">
        <w:t xml:space="preserve"> shows the engine type in road kilometres travelled for the high carbon price scenario. The stronger carbon price signal under this scenario leads to greater uptake of alternative drivetrain vehicles especially plug-in hybrid electric and fully electric vehicles.</w:t>
      </w:r>
      <w:r w:rsidR="00745A84">
        <w:t xml:space="preserve"> By 2050, electricity fuels around a third of all road kilometres travelled, increasing the demand for electricity by 17 TWh.</w:t>
      </w:r>
    </w:p>
    <w:p w:rsidR="00636A65" w:rsidRDefault="00636A65" w:rsidP="00636A65">
      <w:r w:rsidRPr="00636A65">
        <w:rPr>
          <w:noProof/>
        </w:rPr>
        <w:lastRenderedPageBreak/>
        <w:drawing>
          <wp:inline distT="0" distB="0" distL="0" distR="0">
            <wp:extent cx="6120130" cy="3994871"/>
            <wp:effectExtent l="19050" t="0" r="0" b="0"/>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srcRect/>
                    <a:stretch>
                      <a:fillRect/>
                    </a:stretch>
                  </pic:blipFill>
                  <pic:spPr bwMode="auto">
                    <a:xfrm>
                      <a:off x="0" y="0"/>
                      <a:ext cx="6120130" cy="3994871"/>
                    </a:xfrm>
                    <a:prstGeom prst="rect">
                      <a:avLst/>
                    </a:prstGeom>
                    <a:noFill/>
                    <a:ln w="9525">
                      <a:noFill/>
                      <a:miter lim="800000"/>
                      <a:headEnd/>
                      <a:tailEnd/>
                    </a:ln>
                  </pic:spPr>
                </pic:pic>
              </a:graphicData>
            </a:graphic>
          </wp:inline>
        </w:drawing>
      </w:r>
    </w:p>
    <w:p w:rsidR="00636A65" w:rsidRDefault="00636A65" w:rsidP="00636A65">
      <w:pPr>
        <w:pStyle w:val="Caption"/>
      </w:pPr>
      <w:bookmarkStart w:id="111" w:name="_Ref365549942"/>
      <w:bookmarkStart w:id="112" w:name="_Toc366227353"/>
      <w:r>
        <w:t xml:space="preserve">Figure </w:t>
      </w:r>
      <w:r w:rsidR="00C14EF7">
        <w:fldChar w:fldCharType="begin"/>
      </w:r>
      <w:r w:rsidR="005B253B">
        <w:instrText xml:space="preserve"> STYLEREF 1 \s </w:instrText>
      </w:r>
      <w:r w:rsidR="00C14EF7">
        <w:fldChar w:fldCharType="separate"/>
      </w:r>
      <w:r w:rsidR="003E0F65">
        <w:rPr>
          <w:noProof/>
        </w:rPr>
        <w:t>5</w:t>
      </w:r>
      <w:r w:rsidR="00C14EF7">
        <w:fldChar w:fldCharType="end"/>
      </w:r>
      <w:r w:rsidR="005B253B">
        <w:noBreakHyphen/>
      </w:r>
      <w:r w:rsidR="00C14EF7">
        <w:fldChar w:fldCharType="begin"/>
      </w:r>
      <w:r w:rsidR="005B253B">
        <w:instrText xml:space="preserve"> SEQ Figure \* ARABIC \s 1 </w:instrText>
      </w:r>
      <w:r w:rsidR="00C14EF7">
        <w:fldChar w:fldCharType="separate"/>
      </w:r>
      <w:r w:rsidR="003E0F65">
        <w:rPr>
          <w:noProof/>
        </w:rPr>
        <w:t>16</w:t>
      </w:r>
      <w:r w:rsidR="00C14EF7">
        <w:fldChar w:fldCharType="end"/>
      </w:r>
      <w:bookmarkEnd w:id="111"/>
      <w:r>
        <w:t>: Engine type in road kilometres travelled, high carbon price scenario</w:t>
      </w:r>
      <w:bookmarkEnd w:id="112"/>
    </w:p>
    <w:p w:rsidR="009A210A" w:rsidRDefault="009A210A" w:rsidP="009A210A"/>
    <w:p w:rsidR="00636A65" w:rsidRDefault="00636A65" w:rsidP="00636A65">
      <w:pPr>
        <w:pStyle w:val="Heading3"/>
      </w:pPr>
      <w:r>
        <w:t>Greenhouse gas emissions</w:t>
      </w:r>
    </w:p>
    <w:p w:rsidR="00636A65" w:rsidRDefault="00C14EF7" w:rsidP="00636A65">
      <w:r>
        <w:fldChar w:fldCharType="begin"/>
      </w:r>
      <w:r w:rsidR="002E46FE">
        <w:instrText xml:space="preserve"> REF _Ref365550904 \h </w:instrText>
      </w:r>
      <w:r>
        <w:fldChar w:fldCharType="separate"/>
      </w:r>
      <w:r w:rsidR="003E0F65">
        <w:t xml:space="preserve">Figure </w:t>
      </w:r>
      <w:r w:rsidR="003E0F65">
        <w:rPr>
          <w:noProof/>
        </w:rPr>
        <w:t>5</w:t>
      </w:r>
      <w:r w:rsidR="003E0F65">
        <w:noBreakHyphen/>
      </w:r>
      <w:r w:rsidR="003E0F65">
        <w:rPr>
          <w:noProof/>
        </w:rPr>
        <w:t>17</w:t>
      </w:r>
      <w:r>
        <w:fldChar w:fldCharType="end"/>
      </w:r>
      <w:r w:rsidR="002E46FE">
        <w:t xml:space="preserve"> shows the greenhouse gas emissions by mode for the road transport sector under the high carbon price scenario. It shows that the stronger carbon price signal results in declining emissions </w:t>
      </w:r>
      <w:r w:rsidR="00E75F4D">
        <w:t>to around 2035. Beyond 2035</w:t>
      </w:r>
      <w:r w:rsidR="002E46FE">
        <w:t xml:space="preserve">, </w:t>
      </w:r>
      <w:r w:rsidR="00E75F4D">
        <w:t xml:space="preserve">continued demand growth, </w:t>
      </w:r>
      <w:r w:rsidR="002E46FE">
        <w:t xml:space="preserve">the </w:t>
      </w:r>
      <w:r w:rsidR="00E75F4D">
        <w:t>flattening out</w:t>
      </w:r>
      <w:r w:rsidR="002E46FE">
        <w:t xml:space="preserve"> of oil prices</w:t>
      </w:r>
      <w:r w:rsidR="00E75F4D">
        <w:t>, and reduced availability of biodiesel</w:t>
      </w:r>
      <w:r w:rsidR="002E46FE">
        <w:t xml:space="preserve"> to </w:t>
      </w:r>
      <w:r w:rsidR="00E75F4D">
        <w:t>the road sector results in rising emissions to 2050. Road sector greenhouse gas emissions in 2050 are around 73 Mt, similar to their current level.</w:t>
      </w:r>
      <w:r w:rsidR="002E46FE">
        <w:t xml:space="preserve"> </w:t>
      </w:r>
    </w:p>
    <w:p w:rsidR="00636A65" w:rsidRDefault="00636A65" w:rsidP="00636A65">
      <w:r w:rsidRPr="00636A65">
        <w:rPr>
          <w:noProof/>
        </w:rPr>
        <w:lastRenderedPageBreak/>
        <w:drawing>
          <wp:inline distT="0" distB="0" distL="0" distR="0">
            <wp:extent cx="6120130" cy="3994871"/>
            <wp:effectExtent l="19050" t="0" r="0" b="0"/>
            <wp:docPr id="2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srcRect/>
                    <a:stretch>
                      <a:fillRect/>
                    </a:stretch>
                  </pic:blipFill>
                  <pic:spPr bwMode="auto">
                    <a:xfrm>
                      <a:off x="0" y="0"/>
                      <a:ext cx="6120130" cy="3994871"/>
                    </a:xfrm>
                    <a:prstGeom prst="rect">
                      <a:avLst/>
                    </a:prstGeom>
                    <a:noFill/>
                    <a:ln w="9525">
                      <a:noFill/>
                      <a:miter lim="800000"/>
                      <a:headEnd/>
                      <a:tailEnd/>
                    </a:ln>
                  </pic:spPr>
                </pic:pic>
              </a:graphicData>
            </a:graphic>
          </wp:inline>
        </w:drawing>
      </w:r>
    </w:p>
    <w:p w:rsidR="00636A65" w:rsidRDefault="00636A65" w:rsidP="00636A65">
      <w:pPr>
        <w:pStyle w:val="Caption"/>
      </w:pPr>
      <w:bookmarkStart w:id="113" w:name="_Ref365550904"/>
      <w:bookmarkStart w:id="114" w:name="_Toc366227354"/>
      <w:r>
        <w:t xml:space="preserve">Figure </w:t>
      </w:r>
      <w:r w:rsidR="00C14EF7">
        <w:fldChar w:fldCharType="begin"/>
      </w:r>
      <w:r w:rsidR="005B253B">
        <w:instrText xml:space="preserve"> STYLEREF 1 \s </w:instrText>
      </w:r>
      <w:r w:rsidR="00C14EF7">
        <w:fldChar w:fldCharType="separate"/>
      </w:r>
      <w:r w:rsidR="003E0F65">
        <w:rPr>
          <w:noProof/>
        </w:rPr>
        <w:t>5</w:t>
      </w:r>
      <w:r w:rsidR="00C14EF7">
        <w:fldChar w:fldCharType="end"/>
      </w:r>
      <w:r w:rsidR="005B253B">
        <w:noBreakHyphen/>
      </w:r>
      <w:r w:rsidR="00C14EF7">
        <w:fldChar w:fldCharType="begin"/>
      </w:r>
      <w:r w:rsidR="005B253B">
        <w:instrText xml:space="preserve"> SEQ Figure \* ARABIC \s 1 </w:instrText>
      </w:r>
      <w:r w:rsidR="00C14EF7">
        <w:fldChar w:fldCharType="separate"/>
      </w:r>
      <w:r w:rsidR="003E0F65">
        <w:rPr>
          <w:noProof/>
        </w:rPr>
        <w:t>17</w:t>
      </w:r>
      <w:r w:rsidR="00C14EF7">
        <w:fldChar w:fldCharType="end"/>
      </w:r>
      <w:bookmarkEnd w:id="113"/>
      <w:r>
        <w:t>: Road transport greenhouse gas emissions by mode under the high carbon price scenario</w:t>
      </w:r>
      <w:bookmarkEnd w:id="114"/>
    </w:p>
    <w:p w:rsidR="00636A65" w:rsidRDefault="00E75F4D" w:rsidP="00636A65">
      <w:r>
        <w:t>For the non-road transport sector (</w:t>
      </w:r>
      <w:r w:rsidR="00C14EF7">
        <w:fldChar w:fldCharType="begin"/>
      </w:r>
      <w:r>
        <w:instrText xml:space="preserve"> REF _Ref365551668 \h </w:instrText>
      </w:r>
      <w:r w:rsidR="00C14EF7">
        <w:fldChar w:fldCharType="separate"/>
      </w:r>
      <w:r w:rsidR="003E0F65">
        <w:t xml:space="preserve">Figure </w:t>
      </w:r>
      <w:r w:rsidR="003E0F65">
        <w:rPr>
          <w:noProof/>
        </w:rPr>
        <w:t>5</w:t>
      </w:r>
      <w:r w:rsidR="003E0F65">
        <w:noBreakHyphen/>
      </w:r>
      <w:r w:rsidR="003E0F65">
        <w:rPr>
          <w:noProof/>
        </w:rPr>
        <w:t>18</w:t>
      </w:r>
      <w:r w:rsidR="00C14EF7">
        <w:fldChar w:fldCharType="end"/>
      </w:r>
      <w:r>
        <w:t>), largely reflective of the fuel use, the greater uptake of bio-derived jet fuel in domestic aviation, natural gas and biodiesel in navigation and rail, and assumed improvements in fuel efficiency, means that non-road sector greenhouse gas emissions are lower than that of the central policy scenario by around 3 Mt by 2050.</w:t>
      </w:r>
    </w:p>
    <w:p w:rsidR="00636A65" w:rsidRDefault="00636A65" w:rsidP="00636A65">
      <w:r w:rsidRPr="00636A65">
        <w:rPr>
          <w:noProof/>
        </w:rPr>
        <w:lastRenderedPageBreak/>
        <w:drawing>
          <wp:inline distT="0" distB="0" distL="0" distR="0">
            <wp:extent cx="6120130" cy="3994516"/>
            <wp:effectExtent l="19050" t="0" r="0" b="0"/>
            <wp:docPr id="3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srcRect/>
                    <a:stretch>
                      <a:fillRect/>
                    </a:stretch>
                  </pic:blipFill>
                  <pic:spPr bwMode="auto">
                    <a:xfrm>
                      <a:off x="0" y="0"/>
                      <a:ext cx="6120130" cy="3994516"/>
                    </a:xfrm>
                    <a:prstGeom prst="rect">
                      <a:avLst/>
                    </a:prstGeom>
                    <a:noFill/>
                    <a:ln w="9525">
                      <a:noFill/>
                      <a:miter lim="800000"/>
                      <a:headEnd/>
                      <a:tailEnd/>
                    </a:ln>
                  </pic:spPr>
                </pic:pic>
              </a:graphicData>
            </a:graphic>
          </wp:inline>
        </w:drawing>
      </w:r>
    </w:p>
    <w:p w:rsidR="00636A65" w:rsidRPr="00636A65" w:rsidRDefault="00636A65" w:rsidP="00636A65">
      <w:pPr>
        <w:pStyle w:val="Caption"/>
      </w:pPr>
      <w:bookmarkStart w:id="115" w:name="_Ref365551668"/>
      <w:bookmarkStart w:id="116" w:name="_Toc366227355"/>
      <w:r>
        <w:t xml:space="preserve">Figure </w:t>
      </w:r>
      <w:r w:rsidR="00C14EF7">
        <w:fldChar w:fldCharType="begin"/>
      </w:r>
      <w:r w:rsidR="005B253B">
        <w:instrText xml:space="preserve"> STYLEREF 1 \s </w:instrText>
      </w:r>
      <w:r w:rsidR="00C14EF7">
        <w:fldChar w:fldCharType="separate"/>
      </w:r>
      <w:r w:rsidR="003E0F65">
        <w:rPr>
          <w:noProof/>
        </w:rPr>
        <w:t>5</w:t>
      </w:r>
      <w:r w:rsidR="00C14EF7">
        <w:fldChar w:fldCharType="end"/>
      </w:r>
      <w:r w:rsidR="005B253B">
        <w:noBreakHyphen/>
      </w:r>
      <w:r w:rsidR="00C14EF7">
        <w:fldChar w:fldCharType="begin"/>
      </w:r>
      <w:r w:rsidR="005B253B">
        <w:instrText xml:space="preserve"> SEQ Figure \* ARABIC \s 1 </w:instrText>
      </w:r>
      <w:r w:rsidR="00C14EF7">
        <w:fldChar w:fldCharType="separate"/>
      </w:r>
      <w:r w:rsidR="003E0F65">
        <w:rPr>
          <w:noProof/>
        </w:rPr>
        <w:t>18</w:t>
      </w:r>
      <w:r w:rsidR="00C14EF7">
        <w:fldChar w:fldCharType="end"/>
      </w:r>
      <w:bookmarkEnd w:id="115"/>
      <w:r>
        <w:t>: Non-road transport greenhouse gas emissions by mode under the high carbon price scenario</w:t>
      </w:r>
      <w:bookmarkEnd w:id="116"/>
    </w:p>
    <w:p w:rsidR="00E75F4D" w:rsidRDefault="00E75F4D" w:rsidP="00E75F4D">
      <w:r>
        <w:t xml:space="preserve">The net effect is that transport sector greenhouse gas emissions are </w:t>
      </w:r>
      <w:r w:rsidR="000F4F64">
        <w:t>lower in the high</w:t>
      </w:r>
      <w:r>
        <w:t xml:space="preserve"> carbon price scenario relative to the central policy scenario (</w:t>
      </w:r>
      <w:r w:rsidR="00C14EF7">
        <w:fldChar w:fldCharType="begin"/>
      </w:r>
      <w:r w:rsidR="000F4F64">
        <w:instrText xml:space="preserve"> REF _Ref365552028 \h </w:instrText>
      </w:r>
      <w:r w:rsidR="00C14EF7">
        <w:fldChar w:fldCharType="separate"/>
      </w:r>
      <w:r w:rsidR="003E0F65">
        <w:t xml:space="preserve">Figure </w:t>
      </w:r>
      <w:r w:rsidR="003E0F65">
        <w:rPr>
          <w:noProof/>
        </w:rPr>
        <w:t>5</w:t>
      </w:r>
      <w:r w:rsidR="003E0F65">
        <w:noBreakHyphen/>
      </w:r>
      <w:r w:rsidR="003E0F65">
        <w:rPr>
          <w:noProof/>
        </w:rPr>
        <w:t>19</w:t>
      </w:r>
      <w:r w:rsidR="00C14EF7">
        <w:fldChar w:fldCharType="end"/>
      </w:r>
      <w:r>
        <w:t>) from around 2015, with the differ</w:t>
      </w:r>
      <w:r w:rsidR="000F4F64">
        <w:t>ence at its greatest around 2038 (around 13 Mt low</w:t>
      </w:r>
      <w:r>
        <w:t>er), then a convergence in emissions towards 2050. At 2050, green</w:t>
      </w:r>
      <w:r w:rsidR="000F4F64">
        <w:t>house gas emissions are around 11 Mt lower in the high</w:t>
      </w:r>
      <w:r>
        <w:t xml:space="preserve"> carbon price scenario.</w:t>
      </w:r>
    </w:p>
    <w:p w:rsidR="009A210A" w:rsidRDefault="009A210A" w:rsidP="009A210A"/>
    <w:p w:rsidR="00636A65" w:rsidRDefault="00391B56" w:rsidP="009A210A">
      <w:r w:rsidRPr="00391B56">
        <w:rPr>
          <w:noProof/>
        </w:rPr>
        <w:lastRenderedPageBreak/>
        <w:drawing>
          <wp:inline distT="0" distB="0" distL="0" distR="0">
            <wp:extent cx="6120130" cy="3994871"/>
            <wp:effectExtent l="19050" t="0" r="0" b="0"/>
            <wp:docPr id="3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a:srcRect/>
                    <a:stretch>
                      <a:fillRect/>
                    </a:stretch>
                  </pic:blipFill>
                  <pic:spPr bwMode="auto">
                    <a:xfrm>
                      <a:off x="0" y="0"/>
                      <a:ext cx="6120130" cy="3994871"/>
                    </a:xfrm>
                    <a:prstGeom prst="rect">
                      <a:avLst/>
                    </a:prstGeom>
                    <a:noFill/>
                    <a:ln w="9525">
                      <a:noFill/>
                      <a:miter lim="800000"/>
                      <a:headEnd/>
                      <a:tailEnd/>
                    </a:ln>
                  </pic:spPr>
                </pic:pic>
              </a:graphicData>
            </a:graphic>
          </wp:inline>
        </w:drawing>
      </w:r>
    </w:p>
    <w:p w:rsidR="00E75F4D" w:rsidRDefault="00E75F4D" w:rsidP="00E75F4D">
      <w:pPr>
        <w:pStyle w:val="Caption"/>
      </w:pPr>
      <w:bookmarkStart w:id="117" w:name="_Ref365552028"/>
      <w:bookmarkStart w:id="118" w:name="_Toc366227356"/>
      <w:r>
        <w:t xml:space="preserve">Figure </w:t>
      </w:r>
      <w:r w:rsidR="00C14EF7">
        <w:fldChar w:fldCharType="begin"/>
      </w:r>
      <w:r w:rsidR="005B253B">
        <w:instrText xml:space="preserve"> STYLEREF 1 \s </w:instrText>
      </w:r>
      <w:r w:rsidR="00C14EF7">
        <w:fldChar w:fldCharType="separate"/>
      </w:r>
      <w:r w:rsidR="003E0F65">
        <w:rPr>
          <w:noProof/>
        </w:rPr>
        <w:t>5</w:t>
      </w:r>
      <w:r w:rsidR="00C14EF7">
        <w:fldChar w:fldCharType="end"/>
      </w:r>
      <w:r w:rsidR="005B253B">
        <w:noBreakHyphen/>
      </w:r>
      <w:r w:rsidR="00C14EF7">
        <w:fldChar w:fldCharType="begin"/>
      </w:r>
      <w:r w:rsidR="005B253B">
        <w:instrText xml:space="preserve"> SEQ Figure \* ARABIC \s 1 </w:instrText>
      </w:r>
      <w:r w:rsidR="00C14EF7">
        <w:fldChar w:fldCharType="separate"/>
      </w:r>
      <w:r w:rsidR="003E0F65">
        <w:rPr>
          <w:noProof/>
        </w:rPr>
        <w:t>19</w:t>
      </w:r>
      <w:r w:rsidR="00C14EF7">
        <w:fldChar w:fldCharType="end"/>
      </w:r>
      <w:bookmarkEnd w:id="117"/>
      <w:r>
        <w:t>: Transport sector greenh</w:t>
      </w:r>
      <w:r w:rsidR="000F4F64">
        <w:t>ouse gas emissions under the high</w:t>
      </w:r>
      <w:r>
        <w:t xml:space="preserve"> carbon price and central policy scenarios</w:t>
      </w:r>
      <w:bookmarkEnd w:id="118"/>
    </w:p>
    <w:p w:rsidR="00636A65" w:rsidRDefault="00636A65" w:rsidP="009A210A"/>
    <w:p w:rsidR="00636A65" w:rsidRDefault="000F4F64" w:rsidP="000F4F64">
      <w:pPr>
        <w:spacing w:after="0"/>
      </w:pPr>
      <w:r>
        <w:br w:type="page"/>
      </w:r>
    </w:p>
    <w:p w:rsidR="009A210A" w:rsidRDefault="009A210A" w:rsidP="009A210A">
      <w:pPr>
        <w:pStyle w:val="Heading2"/>
      </w:pPr>
      <w:bookmarkStart w:id="119" w:name="_Toc366228041"/>
      <w:r>
        <w:lastRenderedPageBreak/>
        <w:t>No carbon price scenario</w:t>
      </w:r>
      <w:bookmarkEnd w:id="119"/>
    </w:p>
    <w:p w:rsidR="00636A65" w:rsidRDefault="00975C0B" w:rsidP="00636A65">
      <w:r>
        <w:t xml:space="preserve">This scenario does not impose a carbon price but includes a significant </w:t>
      </w:r>
      <w:r w:rsidR="00D54C09">
        <w:t>increa</w:t>
      </w:r>
      <w:r w:rsidR="00423A15">
        <w:t>s</w:t>
      </w:r>
      <w:r w:rsidR="00D54C09">
        <w:t xml:space="preserve">e </w:t>
      </w:r>
      <w:r>
        <w:t>in oil prices</w:t>
      </w:r>
    </w:p>
    <w:p w:rsidR="00636A65" w:rsidRDefault="00636A65" w:rsidP="00636A65"/>
    <w:p w:rsidR="00636A65" w:rsidRDefault="00636A65" w:rsidP="00636A65">
      <w:pPr>
        <w:pStyle w:val="Heading3"/>
      </w:pPr>
      <w:r>
        <w:t>Transport fuel mix</w:t>
      </w:r>
    </w:p>
    <w:p w:rsidR="00636A65" w:rsidRDefault="00C14EF7" w:rsidP="00636A65">
      <w:r>
        <w:fldChar w:fldCharType="begin"/>
      </w:r>
      <w:r w:rsidR="00BC6A0F">
        <w:instrText xml:space="preserve"> REF _Ref365553803 \h </w:instrText>
      </w:r>
      <w:r>
        <w:fldChar w:fldCharType="separate"/>
      </w:r>
      <w:r w:rsidR="003E0F65">
        <w:t xml:space="preserve">Figure </w:t>
      </w:r>
      <w:r w:rsidR="003E0F65">
        <w:rPr>
          <w:noProof/>
        </w:rPr>
        <w:t>5</w:t>
      </w:r>
      <w:r w:rsidR="003E0F65">
        <w:noBreakHyphen/>
      </w:r>
      <w:r w:rsidR="003E0F65">
        <w:rPr>
          <w:noProof/>
        </w:rPr>
        <w:t>20</w:t>
      </w:r>
      <w:r>
        <w:fldChar w:fldCharType="end"/>
      </w:r>
      <w:r w:rsidR="00BC6A0F">
        <w:t xml:space="preserve"> shows the projected level of road transport consumption by fuel for the no carbon price scenario. It shows that the uptake of low emission fuels in the form of biodiesel, ethanol and electricity are less than that under the central policy scenario. The volume of fuel use is also much greater over the projection period reflecting increased activity levels and lessened degree of hybridisation/electrification of the road fleet.</w:t>
      </w:r>
    </w:p>
    <w:p w:rsidR="00960DFD" w:rsidRDefault="00960DFD" w:rsidP="00636A65"/>
    <w:p w:rsidR="00960DFD" w:rsidRDefault="00960DFD" w:rsidP="00636A65">
      <w:r w:rsidRPr="00960DFD">
        <w:rPr>
          <w:noProof/>
        </w:rPr>
        <w:drawing>
          <wp:inline distT="0" distB="0" distL="0" distR="0">
            <wp:extent cx="6120130" cy="3994871"/>
            <wp:effectExtent l="19050" t="0" r="0" b="0"/>
            <wp:docPr id="3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a:srcRect/>
                    <a:stretch>
                      <a:fillRect/>
                    </a:stretch>
                  </pic:blipFill>
                  <pic:spPr bwMode="auto">
                    <a:xfrm>
                      <a:off x="0" y="0"/>
                      <a:ext cx="6120130" cy="3994871"/>
                    </a:xfrm>
                    <a:prstGeom prst="rect">
                      <a:avLst/>
                    </a:prstGeom>
                    <a:noFill/>
                    <a:ln w="9525">
                      <a:noFill/>
                      <a:miter lim="800000"/>
                      <a:headEnd/>
                      <a:tailEnd/>
                    </a:ln>
                  </pic:spPr>
                </pic:pic>
              </a:graphicData>
            </a:graphic>
          </wp:inline>
        </w:drawing>
      </w:r>
    </w:p>
    <w:p w:rsidR="00960DFD" w:rsidRDefault="00960DFD" w:rsidP="00960DFD">
      <w:pPr>
        <w:pStyle w:val="Caption"/>
      </w:pPr>
      <w:bookmarkStart w:id="120" w:name="_Ref365553803"/>
      <w:bookmarkStart w:id="121" w:name="_Toc366227357"/>
      <w:r>
        <w:t xml:space="preserve">Figure </w:t>
      </w:r>
      <w:r w:rsidR="00C14EF7">
        <w:fldChar w:fldCharType="begin"/>
      </w:r>
      <w:r w:rsidR="005B253B">
        <w:instrText xml:space="preserve"> STYLEREF 1 \s </w:instrText>
      </w:r>
      <w:r w:rsidR="00C14EF7">
        <w:fldChar w:fldCharType="separate"/>
      </w:r>
      <w:r w:rsidR="003E0F65">
        <w:rPr>
          <w:noProof/>
        </w:rPr>
        <w:t>5</w:t>
      </w:r>
      <w:r w:rsidR="00C14EF7">
        <w:fldChar w:fldCharType="end"/>
      </w:r>
      <w:r w:rsidR="005B253B">
        <w:noBreakHyphen/>
      </w:r>
      <w:r w:rsidR="00C14EF7">
        <w:fldChar w:fldCharType="begin"/>
      </w:r>
      <w:r w:rsidR="005B253B">
        <w:instrText xml:space="preserve"> SEQ Figure \* ARABIC \s 1 </w:instrText>
      </w:r>
      <w:r w:rsidR="00C14EF7">
        <w:fldChar w:fldCharType="separate"/>
      </w:r>
      <w:r w:rsidR="003E0F65">
        <w:rPr>
          <w:noProof/>
        </w:rPr>
        <w:t>20</w:t>
      </w:r>
      <w:r w:rsidR="00C14EF7">
        <w:fldChar w:fldCharType="end"/>
      </w:r>
      <w:bookmarkEnd w:id="120"/>
      <w:r>
        <w:t>: Projected road transport fuel consumption by fuel under the no carbon price scenario</w:t>
      </w:r>
      <w:bookmarkEnd w:id="121"/>
    </w:p>
    <w:p w:rsidR="00960DFD" w:rsidRPr="00BC6A0F" w:rsidRDefault="00C14EF7" w:rsidP="00636A65">
      <w:pPr>
        <w:rPr>
          <w:color w:val="1F497D"/>
        </w:rPr>
      </w:pPr>
      <w:r>
        <w:fldChar w:fldCharType="begin"/>
      </w:r>
      <w:r w:rsidR="00BC6A0F">
        <w:instrText xml:space="preserve"> REF _Ref365554122 \h </w:instrText>
      </w:r>
      <w:r>
        <w:fldChar w:fldCharType="separate"/>
      </w:r>
      <w:r w:rsidR="003E0F65">
        <w:t xml:space="preserve">Figure </w:t>
      </w:r>
      <w:r w:rsidR="003E0F65">
        <w:rPr>
          <w:noProof/>
        </w:rPr>
        <w:t>5</w:t>
      </w:r>
      <w:r w:rsidR="003E0F65">
        <w:noBreakHyphen/>
      </w:r>
      <w:r w:rsidR="003E0F65">
        <w:rPr>
          <w:noProof/>
        </w:rPr>
        <w:t>21</w:t>
      </w:r>
      <w:r>
        <w:fldChar w:fldCharType="end"/>
      </w:r>
      <w:r w:rsidR="00BC6A0F">
        <w:t xml:space="preserve"> shows the projected level of non-road transport consumption by fuel and mode (domestic navigation, rail and domestic aviation) for the no carbon price scenario. This scenario features the lowest uptake of non-crude oil based fuels, especially in domestic aviation. </w:t>
      </w:r>
    </w:p>
    <w:p w:rsidR="00960DFD" w:rsidRDefault="00960DFD" w:rsidP="00636A65">
      <w:r w:rsidRPr="00960DFD">
        <w:rPr>
          <w:noProof/>
        </w:rPr>
        <w:lastRenderedPageBreak/>
        <w:drawing>
          <wp:inline distT="0" distB="0" distL="0" distR="0">
            <wp:extent cx="6120130" cy="3994516"/>
            <wp:effectExtent l="19050" t="0" r="0" b="0"/>
            <wp:docPr id="3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srcRect/>
                    <a:stretch>
                      <a:fillRect/>
                    </a:stretch>
                  </pic:blipFill>
                  <pic:spPr bwMode="auto">
                    <a:xfrm>
                      <a:off x="0" y="0"/>
                      <a:ext cx="6120130" cy="3994516"/>
                    </a:xfrm>
                    <a:prstGeom prst="rect">
                      <a:avLst/>
                    </a:prstGeom>
                    <a:noFill/>
                    <a:ln w="9525">
                      <a:noFill/>
                      <a:miter lim="800000"/>
                      <a:headEnd/>
                      <a:tailEnd/>
                    </a:ln>
                  </pic:spPr>
                </pic:pic>
              </a:graphicData>
            </a:graphic>
          </wp:inline>
        </w:drawing>
      </w:r>
    </w:p>
    <w:p w:rsidR="00960DFD" w:rsidRDefault="00960DFD" w:rsidP="00960DFD">
      <w:pPr>
        <w:pStyle w:val="Caption"/>
      </w:pPr>
      <w:bookmarkStart w:id="122" w:name="_Ref365554122"/>
      <w:bookmarkStart w:id="123" w:name="_Toc366227358"/>
      <w:r>
        <w:t xml:space="preserve">Figure </w:t>
      </w:r>
      <w:r w:rsidR="00C14EF7">
        <w:fldChar w:fldCharType="begin"/>
      </w:r>
      <w:r w:rsidR="005B253B">
        <w:instrText xml:space="preserve"> STYLEREF 1 \s </w:instrText>
      </w:r>
      <w:r w:rsidR="00C14EF7">
        <w:fldChar w:fldCharType="separate"/>
      </w:r>
      <w:r w:rsidR="003E0F65">
        <w:rPr>
          <w:noProof/>
        </w:rPr>
        <w:t>5</w:t>
      </w:r>
      <w:r w:rsidR="00C14EF7">
        <w:fldChar w:fldCharType="end"/>
      </w:r>
      <w:r w:rsidR="005B253B">
        <w:noBreakHyphen/>
      </w:r>
      <w:r w:rsidR="00C14EF7">
        <w:fldChar w:fldCharType="begin"/>
      </w:r>
      <w:r w:rsidR="005B253B">
        <w:instrText xml:space="preserve"> SEQ Figure \* ARABIC \s 1 </w:instrText>
      </w:r>
      <w:r w:rsidR="00C14EF7">
        <w:fldChar w:fldCharType="separate"/>
      </w:r>
      <w:r w:rsidR="003E0F65">
        <w:rPr>
          <w:noProof/>
        </w:rPr>
        <w:t>21</w:t>
      </w:r>
      <w:r w:rsidR="00C14EF7">
        <w:fldChar w:fldCharType="end"/>
      </w:r>
      <w:bookmarkEnd w:id="122"/>
      <w:r>
        <w:t>: Non-road transport fuel consumption by fuel and mode under the no carbon price scenario</w:t>
      </w:r>
      <w:bookmarkEnd w:id="123"/>
    </w:p>
    <w:p w:rsidR="00636A65" w:rsidRDefault="00636A65" w:rsidP="00636A65"/>
    <w:p w:rsidR="00636A65" w:rsidRDefault="00636A65" w:rsidP="00636A65">
      <w:pPr>
        <w:pStyle w:val="Heading3"/>
      </w:pPr>
      <w:r>
        <w:t>Road sector engine mix</w:t>
      </w:r>
    </w:p>
    <w:p w:rsidR="00960DFD" w:rsidRDefault="00C14EF7" w:rsidP="00636A65">
      <w:r>
        <w:fldChar w:fldCharType="begin"/>
      </w:r>
      <w:r w:rsidR="00BC6A0F">
        <w:instrText xml:space="preserve"> REF _Ref365554247 \h </w:instrText>
      </w:r>
      <w:r>
        <w:fldChar w:fldCharType="separate"/>
      </w:r>
      <w:r w:rsidR="003E0F65">
        <w:t xml:space="preserve">Figure </w:t>
      </w:r>
      <w:r w:rsidR="003E0F65">
        <w:rPr>
          <w:noProof/>
        </w:rPr>
        <w:t>5</w:t>
      </w:r>
      <w:r w:rsidR="003E0F65">
        <w:noBreakHyphen/>
      </w:r>
      <w:r w:rsidR="003E0F65">
        <w:rPr>
          <w:noProof/>
        </w:rPr>
        <w:t>22</w:t>
      </w:r>
      <w:r>
        <w:fldChar w:fldCharType="end"/>
      </w:r>
      <w:r w:rsidR="00BC6A0F">
        <w:t xml:space="preserve"> shows the engine type in road </w:t>
      </w:r>
      <w:r w:rsidR="00272235">
        <w:t>kilometres travelled for the no</w:t>
      </w:r>
      <w:r w:rsidR="00BC6A0F">
        <w:t xml:space="preserve"> carbon price scenario. The impact of </w:t>
      </w:r>
      <w:r w:rsidR="00272235">
        <w:t>no carbon price</w:t>
      </w:r>
      <w:r w:rsidR="00BC6A0F">
        <w:t xml:space="preserve"> </w:t>
      </w:r>
      <w:r w:rsidR="00272235">
        <w:t>is that</w:t>
      </w:r>
      <w:r w:rsidR="00BC6A0F">
        <w:t xml:space="preserve"> the uptake of alternative drivetrain vehicles</w:t>
      </w:r>
      <w:r w:rsidR="00272235">
        <w:t xml:space="preserve"> is mainly limited to </w:t>
      </w:r>
      <w:r w:rsidR="00BC6A0F">
        <w:t xml:space="preserve">hybrids </w:t>
      </w:r>
      <w:r w:rsidR="00272235">
        <w:t xml:space="preserve">with </w:t>
      </w:r>
      <w:r w:rsidR="00BC6A0F">
        <w:t xml:space="preserve">plug-in hybrid </w:t>
      </w:r>
      <w:r w:rsidR="00272235">
        <w:t xml:space="preserve">and fully </w:t>
      </w:r>
      <w:r w:rsidR="00BC6A0F">
        <w:t>electric vehicles</w:t>
      </w:r>
      <w:r w:rsidR="00272235">
        <w:t xml:space="preserve"> unable to achieve significant market share</w:t>
      </w:r>
      <w:r w:rsidR="00BC6A0F">
        <w:t>.</w:t>
      </w:r>
    </w:p>
    <w:p w:rsidR="00960DFD" w:rsidRDefault="00960DFD" w:rsidP="00960DFD">
      <w:r w:rsidRPr="00960DFD">
        <w:rPr>
          <w:noProof/>
        </w:rPr>
        <w:lastRenderedPageBreak/>
        <w:drawing>
          <wp:inline distT="0" distB="0" distL="0" distR="0">
            <wp:extent cx="6120130" cy="3994871"/>
            <wp:effectExtent l="19050" t="0" r="0" b="0"/>
            <wp:docPr id="3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a:srcRect/>
                    <a:stretch>
                      <a:fillRect/>
                    </a:stretch>
                  </pic:blipFill>
                  <pic:spPr bwMode="auto">
                    <a:xfrm>
                      <a:off x="0" y="0"/>
                      <a:ext cx="6120130" cy="3994871"/>
                    </a:xfrm>
                    <a:prstGeom prst="rect">
                      <a:avLst/>
                    </a:prstGeom>
                    <a:noFill/>
                    <a:ln w="9525">
                      <a:noFill/>
                      <a:miter lim="800000"/>
                      <a:headEnd/>
                      <a:tailEnd/>
                    </a:ln>
                  </pic:spPr>
                </pic:pic>
              </a:graphicData>
            </a:graphic>
          </wp:inline>
        </w:drawing>
      </w:r>
    </w:p>
    <w:p w:rsidR="00960DFD" w:rsidRDefault="00960DFD" w:rsidP="00AB5986">
      <w:pPr>
        <w:pStyle w:val="Caption"/>
      </w:pPr>
      <w:bookmarkStart w:id="124" w:name="_Ref365554247"/>
      <w:bookmarkStart w:id="125" w:name="_Toc366227359"/>
      <w:r>
        <w:t xml:space="preserve">Figure </w:t>
      </w:r>
      <w:r w:rsidR="00C14EF7">
        <w:fldChar w:fldCharType="begin"/>
      </w:r>
      <w:r w:rsidR="005B253B">
        <w:instrText xml:space="preserve"> STYLEREF 1 \s </w:instrText>
      </w:r>
      <w:r w:rsidR="00C14EF7">
        <w:fldChar w:fldCharType="separate"/>
      </w:r>
      <w:r w:rsidR="003E0F65">
        <w:rPr>
          <w:noProof/>
        </w:rPr>
        <w:t>5</w:t>
      </w:r>
      <w:r w:rsidR="00C14EF7">
        <w:fldChar w:fldCharType="end"/>
      </w:r>
      <w:r w:rsidR="005B253B">
        <w:noBreakHyphen/>
      </w:r>
      <w:r w:rsidR="00C14EF7">
        <w:fldChar w:fldCharType="begin"/>
      </w:r>
      <w:r w:rsidR="005B253B">
        <w:instrText xml:space="preserve"> SEQ Figure \* ARABIC \s 1 </w:instrText>
      </w:r>
      <w:r w:rsidR="00C14EF7">
        <w:fldChar w:fldCharType="separate"/>
      </w:r>
      <w:r w:rsidR="003E0F65">
        <w:rPr>
          <w:noProof/>
        </w:rPr>
        <w:t>22</w:t>
      </w:r>
      <w:r w:rsidR="00C14EF7">
        <w:fldChar w:fldCharType="end"/>
      </w:r>
      <w:bookmarkEnd w:id="124"/>
      <w:r>
        <w:t>: Engine type in road kilometres travelled, no carbon price scenario</w:t>
      </w:r>
      <w:bookmarkEnd w:id="125"/>
    </w:p>
    <w:p w:rsidR="00AB5986" w:rsidRPr="00AB5986" w:rsidRDefault="00AB5986" w:rsidP="00AB5986"/>
    <w:p w:rsidR="00636A65" w:rsidRDefault="00636A65" w:rsidP="00636A65">
      <w:pPr>
        <w:pStyle w:val="Heading3"/>
      </w:pPr>
      <w:r>
        <w:t>Greenhouse gas emissions</w:t>
      </w:r>
    </w:p>
    <w:p w:rsidR="00960DFD" w:rsidRDefault="00C14EF7" w:rsidP="00960DFD">
      <w:r>
        <w:fldChar w:fldCharType="begin"/>
      </w:r>
      <w:r w:rsidR="00AB5986">
        <w:instrText xml:space="preserve"> REF _Ref365554470 \h </w:instrText>
      </w:r>
      <w:r>
        <w:fldChar w:fldCharType="separate"/>
      </w:r>
      <w:r w:rsidR="003E0F65">
        <w:t xml:space="preserve">Figure </w:t>
      </w:r>
      <w:r w:rsidR="003E0F65">
        <w:rPr>
          <w:noProof/>
        </w:rPr>
        <w:t>5</w:t>
      </w:r>
      <w:r w:rsidR="003E0F65">
        <w:noBreakHyphen/>
      </w:r>
      <w:r w:rsidR="003E0F65">
        <w:rPr>
          <w:noProof/>
        </w:rPr>
        <w:t>23</w:t>
      </w:r>
      <w:r>
        <w:fldChar w:fldCharType="end"/>
      </w:r>
      <w:r w:rsidR="00AB5986">
        <w:t xml:space="preserve"> shows the greenhouse gas emissions by mode for the road transport sector under the no carbon price scenario. The lack of a carbon price signal in conjunction with higher activity levels compared to the central policy scenario means that road sector greenhouse gas emissions continue to rise from around 2015 onwards.  As a result, the uptick in emissions from synthetic diesel use around 2025 is less noticeable in this case. By 2050, road sector greenhouse gas emissions are </w:t>
      </w:r>
      <w:r w:rsidR="00963006">
        <w:t>12</w:t>
      </w:r>
      <w:r w:rsidR="00AB5986">
        <w:t xml:space="preserve"> Mt higher compared to the </w:t>
      </w:r>
      <w:r w:rsidR="00D76486">
        <w:t>central policy</w:t>
      </w:r>
      <w:r w:rsidR="00AB5986">
        <w:t xml:space="preserve"> scenario.</w:t>
      </w:r>
    </w:p>
    <w:p w:rsidR="00960DFD" w:rsidRDefault="00960DFD" w:rsidP="00960DFD">
      <w:r w:rsidRPr="00960DFD">
        <w:rPr>
          <w:noProof/>
        </w:rPr>
        <w:lastRenderedPageBreak/>
        <w:drawing>
          <wp:inline distT="0" distB="0" distL="0" distR="0">
            <wp:extent cx="6120130" cy="3994871"/>
            <wp:effectExtent l="19050" t="0" r="0" b="0"/>
            <wp:docPr id="3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a:srcRect/>
                    <a:stretch>
                      <a:fillRect/>
                    </a:stretch>
                  </pic:blipFill>
                  <pic:spPr bwMode="auto">
                    <a:xfrm>
                      <a:off x="0" y="0"/>
                      <a:ext cx="6120130" cy="3994871"/>
                    </a:xfrm>
                    <a:prstGeom prst="rect">
                      <a:avLst/>
                    </a:prstGeom>
                    <a:noFill/>
                    <a:ln w="9525">
                      <a:noFill/>
                      <a:miter lim="800000"/>
                      <a:headEnd/>
                      <a:tailEnd/>
                    </a:ln>
                  </pic:spPr>
                </pic:pic>
              </a:graphicData>
            </a:graphic>
          </wp:inline>
        </w:drawing>
      </w:r>
    </w:p>
    <w:p w:rsidR="00960DFD" w:rsidRDefault="00960DFD" w:rsidP="00960DFD">
      <w:pPr>
        <w:pStyle w:val="Caption"/>
      </w:pPr>
      <w:bookmarkStart w:id="126" w:name="_Ref365554470"/>
      <w:bookmarkStart w:id="127" w:name="_Toc366227360"/>
      <w:r>
        <w:t xml:space="preserve">Figure </w:t>
      </w:r>
      <w:r w:rsidR="00C14EF7">
        <w:fldChar w:fldCharType="begin"/>
      </w:r>
      <w:r w:rsidR="005B253B">
        <w:instrText xml:space="preserve"> STYLEREF 1 \s </w:instrText>
      </w:r>
      <w:r w:rsidR="00C14EF7">
        <w:fldChar w:fldCharType="separate"/>
      </w:r>
      <w:r w:rsidR="003E0F65">
        <w:rPr>
          <w:noProof/>
        </w:rPr>
        <w:t>5</w:t>
      </w:r>
      <w:r w:rsidR="00C14EF7">
        <w:fldChar w:fldCharType="end"/>
      </w:r>
      <w:r w:rsidR="005B253B">
        <w:noBreakHyphen/>
      </w:r>
      <w:r w:rsidR="00C14EF7">
        <w:fldChar w:fldCharType="begin"/>
      </w:r>
      <w:r w:rsidR="005B253B">
        <w:instrText xml:space="preserve"> SEQ Figure \* ARABIC \s 1 </w:instrText>
      </w:r>
      <w:r w:rsidR="00C14EF7">
        <w:fldChar w:fldCharType="separate"/>
      </w:r>
      <w:r w:rsidR="003E0F65">
        <w:rPr>
          <w:noProof/>
        </w:rPr>
        <w:t>23</w:t>
      </w:r>
      <w:r w:rsidR="00C14EF7">
        <w:fldChar w:fldCharType="end"/>
      </w:r>
      <w:bookmarkEnd w:id="126"/>
      <w:r>
        <w:t>: Road transport greenhouse gas emissions by mode under the no carbon price scenario</w:t>
      </w:r>
      <w:bookmarkEnd w:id="127"/>
    </w:p>
    <w:p w:rsidR="00960DFD" w:rsidRDefault="002535D6" w:rsidP="00960DFD">
      <w:r>
        <w:t>Similarly, the absence of a carbon price signal and more muted fuel and task efficiency improvements also mean that greenhouse gas emissions in the non-road transport sector nearly double over the projection period (</w:t>
      </w:r>
      <w:r w:rsidR="00C14EF7">
        <w:fldChar w:fldCharType="begin"/>
      </w:r>
      <w:r>
        <w:instrText xml:space="preserve"> REF _Ref365554776 \h </w:instrText>
      </w:r>
      <w:r w:rsidR="00C14EF7">
        <w:fldChar w:fldCharType="separate"/>
      </w:r>
      <w:r w:rsidR="003E0F65">
        <w:t xml:space="preserve">Figure </w:t>
      </w:r>
      <w:r w:rsidR="003E0F65">
        <w:rPr>
          <w:noProof/>
        </w:rPr>
        <w:t>5</w:t>
      </w:r>
      <w:r w:rsidR="003E0F65">
        <w:noBreakHyphen/>
      </w:r>
      <w:r w:rsidR="003E0F65">
        <w:rPr>
          <w:noProof/>
        </w:rPr>
        <w:t>24</w:t>
      </w:r>
      <w:r w:rsidR="00C14EF7">
        <w:fldChar w:fldCharType="end"/>
      </w:r>
      <w:r>
        <w:t>).</w:t>
      </w:r>
    </w:p>
    <w:p w:rsidR="00960DFD" w:rsidRDefault="00960DFD" w:rsidP="00960DFD">
      <w:r w:rsidRPr="00960DFD">
        <w:rPr>
          <w:noProof/>
        </w:rPr>
        <w:lastRenderedPageBreak/>
        <w:drawing>
          <wp:inline distT="0" distB="0" distL="0" distR="0">
            <wp:extent cx="6120130" cy="3994516"/>
            <wp:effectExtent l="19050" t="0" r="0" b="0"/>
            <wp:docPr id="3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a:srcRect/>
                    <a:stretch>
                      <a:fillRect/>
                    </a:stretch>
                  </pic:blipFill>
                  <pic:spPr bwMode="auto">
                    <a:xfrm>
                      <a:off x="0" y="0"/>
                      <a:ext cx="6120130" cy="3994516"/>
                    </a:xfrm>
                    <a:prstGeom prst="rect">
                      <a:avLst/>
                    </a:prstGeom>
                    <a:noFill/>
                    <a:ln w="9525">
                      <a:noFill/>
                      <a:miter lim="800000"/>
                      <a:headEnd/>
                      <a:tailEnd/>
                    </a:ln>
                  </pic:spPr>
                </pic:pic>
              </a:graphicData>
            </a:graphic>
          </wp:inline>
        </w:drawing>
      </w:r>
    </w:p>
    <w:p w:rsidR="00960DFD" w:rsidRDefault="00960DFD" w:rsidP="00960DFD">
      <w:pPr>
        <w:pStyle w:val="Caption"/>
      </w:pPr>
      <w:bookmarkStart w:id="128" w:name="_Ref365554776"/>
      <w:bookmarkStart w:id="129" w:name="_Toc366227361"/>
      <w:r>
        <w:t xml:space="preserve">Figure </w:t>
      </w:r>
      <w:r w:rsidR="00C14EF7">
        <w:fldChar w:fldCharType="begin"/>
      </w:r>
      <w:r w:rsidR="005B253B">
        <w:instrText xml:space="preserve"> STYLEREF 1 \s </w:instrText>
      </w:r>
      <w:r w:rsidR="00C14EF7">
        <w:fldChar w:fldCharType="separate"/>
      </w:r>
      <w:r w:rsidR="003E0F65">
        <w:rPr>
          <w:noProof/>
        </w:rPr>
        <w:t>5</w:t>
      </w:r>
      <w:r w:rsidR="00C14EF7">
        <w:fldChar w:fldCharType="end"/>
      </w:r>
      <w:r w:rsidR="005B253B">
        <w:noBreakHyphen/>
      </w:r>
      <w:r w:rsidR="00C14EF7">
        <w:fldChar w:fldCharType="begin"/>
      </w:r>
      <w:r w:rsidR="005B253B">
        <w:instrText xml:space="preserve"> SEQ Figure \* ARABIC \s 1 </w:instrText>
      </w:r>
      <w:r w:rsidR="00C14EF7">
        <w:fldChar w:fldCharType="separate"/>
      </w:r>
      <w:r w:rsidR="003E0F65">
        <w:rPr>
          <w:noProof/>
        </w:rPr>
        <w:t>24</w:t>
      </w:r>
      <w:r w:rsidR="00C14EF7">
        <w:fldChar w:fldCharType="end"/>
      </w:r>
      <w:bookmarkEnd w:id="128"/>
      <w:r>
        <w:t>: Non-road transport greenhouse gas emissions by mode under the no carbon price scenario</w:t>
      </w:r>
      <w:bookmarkEnd w:id="129"/>
    </w:p>
    <w:p w:rsidR="00960DFD" w:rsidRDefault="006B66B9" w:rsidP="00960DFD">
      <w:r>
        <w:t>The net result is that transport secto</w:t>
      </w:r>
      <w:r w:rsidR="00F06CD0">
        <w:t>r greenhouse gas emissions are around 16</w:t>
      </w:r>
      <w:r>
        <w:t xml:space="preserve"> per cent higher in the no carbon price scenario relative to the central policy scenario (</w:t>
      </w:r>
      <w:r w:rsidR="00C14EF7">
        <w:fldChar w:fldCharType="begin"/>
      </w:r>
      <w:r>
        <w:instrText xml:space="preserve"> REF _Ref365554879 \h </w:instrText>
      </w:r>
      <w:r w:rsidR="00C14EF7">
        <w:fldChar w:fldCharType="separate"/>
      </w:r>
      <w:r w:rsidR="003E0F65">
        <w:t xml:space="preserve">Figure </w:t>
      </w:r>
      <w:r w:rsidR="003E0F65">
        <w:rPr>
          <w:noProof/>
        </w:rPr>
        <w:t>5</w:t>
      </w:r>
      <w:r w:rsidR="003E0F65">
        <w:noBreakHyphen/>
      </w:r>
      <w:r w:rsidR="003E0F65">
        <w:rPr>
          <w:noProof/>
        </w:rPr>
        <w:t>25</w:t>
      </w:r>
      <w:r w:rsidR="00C14EF7">
        <w:fldChar w:fldCharType="end"/>
      </w:r>
      <w:r>
        <w:t xml:space="preserve">) by 2050. At 2050, greenhouse gas emissions are around </w:t>
      </w:r>
      <w:r w:rsidR="00F06CD0">
        <w:t>17</w:t>
      </w:r>
      <w:r>
        <w:t xml:space="preserve"> Mt greater in the no carbon price scenario.</w:t>
      </w:r>
    </w:p>
    <w:p w:rsidR="00960DFD" w:rsidRDefault="00960DFD" w:rsidP="00960DFD"/>
    <w:p w:rsidR="00960DFD" w:rsidRDefault="00391B56" w:rsidP="00960DFD">
      <w:r w:rsidRPr="00391B56">
        <w:rPr>
          <w:noProof/>
        </w:rPr>
        <w:lastRenderedPageBreak/>
        <w:drawing>
          <wp:inline distT="0" distB="0" distL="0" distR="0">
            <wp:extent cx="6120130" cy="3994871"/>
            <wp:effectExtent l="19050" t="0" r="0" b="0"/>
            <wp:docPr id="3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a:srcRect/>
                    <a:stretch>
                      <a:fillRect/>
                    </a:stretch>
                  </pic:blipFill>
                  <pic:spPr bwMode="auto">
                    <a:xfrm>
                      <a:off x="0" y="0"/>
                      <a:ext cx="6120130" cy="3994871"/>
                    </a:xfrm>
                    <a:prstGeom prst="rect">
                      <a:avLst/>
                    </a:prstGeom>
                    <a:noFill/>
                    <a:ln w="9525">
                      <a:noFill/>
                      <a:miter lim="800000"/>
                      <a:headEnd/>
                      <a:tailEnd/>
                    </a:ln>
                  </pic:spPr>
                </pic:pic>
              </a:graphicData>
            </a:graphic>
          </wp:inline>
        </w:drawing>
      </w:r>
    </w:p>
    <w:p w:rsidR="00960DFD" w:rsidRPr="00960DFD" w:rsidRDefault="00960DFD" w:rsidP="00960DFD">
      <w:pPr>
        <w:pStyle w:val="Caption"/>
      </w:pPr>
      <w:bookmarkStart w:id="130" w:name="_Ref365554879"/>
      <w:bookmarkStart w:id="131" w:name="_Toc366227362"/>
      <w:r>
        <w:t xml:space="preserve">Figure </w:t>
      </w:r>
      <w:r w:rsidR="00C14EF7">
        <w:fldChar w:fldCharType="begin"/>
      </w:r>
      <w:r w:rsidR="005B253B">
        <w:instrText xml:space="preserve"> STYLEREF 1 \s </w:instrText>
      </w:r>
      <w:r w:rsidR="00C14EF7">
        <w:fldChar w:fldCharType="separate"/>
      </w:r>
      <w:r w:rsidR="003E0F65">
        <w:rPr>
          <w:noProof/>
        </w:rPr>
        <w:t>5</w:t>
      </w:r>
      <w:r w:rsidR="00C14EF7">
        <w:fldChar w:fldCharType="end"/>
      </w:r>
      <w:r w:rsidR="005B253B">
        <w:noBreakHyphen/>
      </w:r>
      <w:r w:rsidR="00C14EF7">
        <w:fldChar w:fldCharType="begin"/>
      </w:r>
      <w:r w:rsidR="005B253B">
        <w:instrText xml:space="preserve"> SEQ Figure \* ARABIC \s 1 </w:instrText>
      </w:r>
      <w:r w:rsidR="00C14EF7">
        <w:fldChar w:fldCharType="separate"/>
      </w:r>
      <w:r w:rsidR="003E0F65">
        <w:rPr>
          <w:noProof/>
        </w:rPr>
        <w:t>25</w:t>
      </w:r>
      <w:r w:rsidR="00C14EF7">
        <w:fldChar w:fldCharType="end"/>
      </w:r>
      <w:bookmarkEnd w:id="130"/>
      <w:r>
        <w:t>: Transport sector greenho</w:t>
      </w:r>
      <w:r w:rsidR="00F43A97">
        <w:t>use gas emissions under the no</w:t>
      </w:r>
      <w:r>
        <w:t xml:space="preserve"> carbon price and central policy scenarios</w:t>
      </w:r>
      <w:bookmarkEnd w:id="131"/>
    </w:p>
    <w:p w:rsidR="00707997" w:rsidRPr="005C1B4B" w:rsidRDefault="006C595B" w:rsidP="006C595B">
      <w:pPr>
        <w:pStyle w:val="Heading1"/>
      </w:pPr>
      <w:bookmarkStart w:id="132" w:name="_Toc366228042"/>
      <w:r>
        <w:lastRenderedPageBreak/>
        <w:t>Sensitivity cases</w:t>
      </w:r>
      <w:bookmarkEnd w:id="132"/>
    </w:p>
    <w:p w:rsidR="00423A15" w:rsidRDefault="00636A65" w:rsidP="00423A15">
      <w:r>
        <w:t>At the instruction of the Department, CSIRO was directed to test the sensitivity of the central policy scenario results to changes in some key assumptions</w:t>
      </w:r>
      <w:r w:rsidR="00315C90">
        <w:t xml:space="preserve"> in regard to policy measures and assumed oil price trajectories</w:t>
      </w:r>
      <w:r>
        <w:t>.</w:t>
      </w:r>
      <w:r w:rsidR="00315C90">
        <w:t xml:space="preserve"> </w:t>
      </w:r>
      <w:r w:rsidR="00423A15">
        <w:t>This section outlines the main differences from the central policy scenario for each of the four sensitivity cases modelled:</w:t>
      </w:r>
    </w:p>
    <w:p w:rsidR="00423A15" w:rsidRPr="007776A3" w:rsidRDefault="00423A15" w:rsidP="00423A15">
      <w:pPr>
        <w:pStyle w:val="Bullet"/>
        <w:numPr>
          <w:ilvl w:val="0"/>
          <w:numId w:val="20"/>
        </w:numPr>
        <w:rPr>
          <w:rFonts w:ascii="Calibri" w:hAnsi="Calibri"/>
          <w:color w:val="auto"/>
        </w:rPr>
      </w:pPr>
      <w:r>
        <w:rPr>
          <w:rFonts w:ascii="Calibri" w:hAnsi="Calibri"/>
          <w:b/>
          <w:color w:val="auto"/>
        </w:rPr>
        <w:t>Minimum efficiency standards for new cars</w:t>
      </w:r>
      <w:r w:rsidRPr="007776A3">
        <w:rPr>
          <w:rFonts w:ascii="Calibri" w:hAnsi="Calibri"/>
          <w:color w:val="auto"/>
        </w:rPr>
        <w:t xml:space="preserve"> — Assumes </w:t>
      </w:r>
      <w:r>
        <w:rPr>
          <w:rFonts w:ascii="Calibri" w:hAnsi="Calibri"/>
          <w:color w:val="auto"/>
        </w:rPr>
        <w:t xml:space="preserve">that </w:t>
      </w:r>
      <w:r w:rsidRPr="003F6F55">
        <w:rPr>
          <w:rFonts w:asciiTheme="minorHAnsi" w:hAnsiTheme="minorHAnsi"/>
        </w:rPr>
        <w:t>mandatory CO</w:t>
      </w:r>
      <w:r w:rsidRPr="003F6F55">
        <w:rPr>
          <w:rFonts w:asciiTheme="minorHAnsi" w:hAnsiTheme="minorHAnsi"/>
          <w:vertAlign w:val="subscript"/>
        </w:rPr>
        <w:t>2</w:t>
      </w:r>
      <w:r w:rsidRPr="003F6F55">
        <w:rPr>
          <w:rFonts w:asciiTheme="minorHAnsi" w:hAnsiTheme="minorHAnsi"/>
        </w:rPr>
        <w:t xml:space="preserve"> emissions standards on all (imported and domestically produced) new light vehicles (passenger and light commercial vehicles) apply from 2015</w:t>
      </w:r>
      <w:r>
        <w:rPr>
          <w:rFonts w:asciiTheme="minorHAnsi" w:hAnsiTheme="minorHAnsi"/>
        </w:rPr>
        <w:t xml:space="preserve">: </w:t>
      </w:r>
      <w:r w:rsidRPr="0021049F">
        <w:rPr>
          <w:rFonts w:asciiTheme="minorHAnsi" w:hAnsiTheme="minorHAnsi"/>
          <w:bCs/>
        </w:rPr>
        <w:t>190g/km from 2015 onwards</w:t>
      </w:r>
      <w:r>
        <w:rPr>
          <w:rFonts w:asciiTheme="minorHAnsi" w:hAnsiTheme="minorHAnsi"/>
          <w:bCs/>
        </w:rPr>
        <w:t xml:space="preserve"> and 13</w:t>
      </w:r>
      <w:r w:rsidRPr="0021049F">
        <w:rPr>
          <w:rFonts w:asciiTheme="minorHAnsi" w:hAnsiTheme="minorHAnsi"/>
          <w:bCs/>
        </w:rPr>
        <w:t>0g/km from 20</w:t>
      </w:r>
      <w:r>
        <w:rPr>
          <w:rFonts w:asciiTheme="minorHAnsi" w:hAnsiTheme="minorHAnsi"/>
          <w:bCs/>
        </w:rPr>
        <w:t>20 onwards</w:t>
      </w:r>
    </w:p>
    <w:p w:rsidR="00423A15" w:rsidRPr="007776A3" w:rsidRDefault="00423A15" w:rsidP="00423A15">
      <w:pPr>
        <w:pStyle w:val="Bullet"/>
        <w:numPr>
          <w:ilvl w:val="0"/>
          <w:numId w:val="20"/>
        </w:numPr>
        <w:rPr>
          <w:rFonts w:ascii="Calibri" w:hAnsi="Calibri"/>
          <w:color w:val="auto"/>
        </w:rPr>
      </w:pPr>
      <w:r>
        <w:rPr>
          <w:rFonts w:ascii="Calibri" w:hAnsi="Calibri"/>
          <w:b/>
          <w:color w:val="auto"/>
        </w:rPr>
        <w:t>No carbon price on heavy vehicles</w:t>
      </w:r>
      <w:r w:rsidRPr="007776A3">
        <w:rPr>
          <w:rFonts w:ascii="Calibri" w:hAnsi="Calibri"/>
          <w:color w:val="auto"/>
        </w:rPr>
        <w:t xml:space="preserve"> — </w:t>
      </w:r>
      <w:r>
        <w:rPr>
          <w:rFonts w:ascii="Calibri" w:hAnsi="Calibri"/>
          <w:color w:val="auto"/>
        </w:rPr>
        <w:t xml:space="preserve">Assumes that </w:t>
      </w:r>
      <w:r w:rsidRPr="003F6F55">
        <w:rPr>
          <w:rFonts w:asciiTheme="minorHAnsi" w:hAnsiTheme="minorHAnsi"/>
        </w:rPr>
        <w:t>the heavy road vehicle segment of the transport sector (rigid trucks, articulated vehicles and buses) are exempt from a carbon price for the entire projection period</w:t>
      </w:r>
    </w:p>
    <w:p w:rsidR="00423A15" w:rsidRPr="007776A3" w:rsidRDefault="00423A15" w:rsidP="00423A15">
      <w:pPr>
        <w:pStyle w:val="Bullet"/>
        <w:numPr>
          <w:ilvl w:val="0"/>
          <w:numId w:val="20"/>
        </w:numPr>
        <w:rPr>
          <w:rFonts w:ascii="Calibri" w:hAnsi="Calibri"/>
          <w:color w:val="auto"/>
        </w:rPr>
      </w:pPr>
      <w:r w:rsidRPr="007776A3">
        <w:rPr>
          <w:rFonts w:ascii="Calibri" w:hAnsi="Calibri"/>
          <w:b/>
          <w:color w:val="auto"/>
        </w:rPr>
        <w:t xml:space="preserve">High </w:t>
      </w:r>
      <w:r>
        <w:rPr>
          <w:rFonts w:ascii="Calibri" w:hAnsi="Calibri"/>
          <w:b/>
          <w:color w:val="auto"/>
        </w:rPr>
        <w:t>oil prices</w:t>
      </w:r>
      <w:r w:rsidRPr="007776A3">
        <w:rPr>
          <w:rFonts w:ascii="Calibri" w:hAnsi="Calibri"/>
          <w:color w:val="auto"/>
        </w:rPr>
        <w:t xml:space="preserve"> — Assumes </w:t>
      </w:r>
      <w:r>
        <w:rPr>
          <w:rFonts w:asciiTheme="minorHAnsi" w:hAnsiTheme="minorHAnsi"/>
          <w:color w:val="auto"/>
        </w:rPr>
        <w:t xml:space="preserve">a higher </w:t>
      </w:r>
      <w:r>
        <w:rPr>
          <w:rFonts w:asciiTheme="minorHAnsi" w:hAnsiTheme="minorHAnsi"/>
        </w:rPr>
        <w:t>oil price trajectory of</w:t>
      </w:r>
      <w:r w:rsidRPr="003F6F55">
        <w:rPr>
          <w:rFonts w:asciiTheme="minorHAnsi" w:hAnsiTheme="minorHAnsi"/>
        </w:rPr>
        <w:t xml:space="preserve"> $144/bbl in 2020, $220/bbl in 2035, and </w:t>
      </w:r>
      <w:r>
        <w:rPr>
          <w:rFonts w:asciiTheme="minorHAnsi" w:hAnsiTheme="minorHAnsi"/>
        </w:rPr>
        <w:t>remaining</w:t>
      </w:r>
      <w:r w:rsidRPr="003F6F55">
        <w:rPr>
          <w:rFonts w:asciiTheme="minorHAnsi" w:hAnsiTheme="minorHAnsi"/>
        </w:rPr>
        <w:t xml:space="preserve"> constant at that level to 2050</w:t>
      </w:r>
    </w:p>
    <w:p w:rsidR="00423A15" w:rsidRPr="007776A3" w:rsidRDefault="00423A15" w:rsidP="00423A15">
      <w:pPr>
        <w:pStyle w:val="Bullet"/>
        <w:numPr>
          <w:ilvl w:val="0"/>
          <w:numId w:val="20"/>
        </w:numPr>
        <w:rPr>
          <w:rFonts w:ascii="Calibri" w:hAnsi="Calibri"/>
          <w:color w:val="auto"/>
        </w:rPr>
      </w:pPr>
      <w:r>
        <w:rPr>
          <w:rFonts w:ascii="Calibri" w:hAnsi="Calibri"/>
          <w:b/>
          <w:color w:val="auto"/>
        </w:rPr>
        <w:t>Low oil prices</w:t>
      </w:r>
      <w:r w:rsidRPr="007776A3">
        <w:rPr>
          <w:rFonts w:ascii="Calibri" w:hAnsi="Calibri"/>
          <w:color w:val="auto"/>
        </w:rPr>
        <w:t xml:space="preserve"> – </w:t>
      </w:r>
      <w:r w:rsidRPr="003F6F55">
        <w:rPr>
          <w:rFonts w:asciiTheme="minorHAnsi" w:hAnsiTheme="minorHAnsi"/>
          <w:color w:val="auto"/>
        </w:rPr>
        <w:t xml:space="preserve">Assumes </w:t>
      </w:r>
      <w:r w:rsidRPr="00285980">
        <w:rPr>
          <w:rFonts w:asciiTheme="minorHAnsi" w:hAnsiTheme="minorHAnsi"/>
          <w:color w:val="auto"/>
        </w:rPr>
        <w:t xml:space="preserve">a higher </w:t>
      </w:r>
      <w:r w:rsidRPr="00285980">
        <w:rPr>
          <w:rFonts w:asciiTheme="minorHAnsi" w:hAnsiTheme="minorHAnsi"/>
        </w:rPr>
        <w:t>oil price trajectory of $125/bbl in 2020, $160/bbl in 2035, and remaining constant at that level to 2050</w:t>
      </w:r>
      <w:r w:rsidRPr="003F6F55">
        <w:rPr>
          <w:rFonts w:asciiTheme="minorHAnsi" w:hAnsiTheme="minorHAnsi"/>
        </w:rPr>
        <w:t>.</w:t>
      </w:r>
    </w:p>
    <w:p w:rsidR="00325FD8" w:rsidRDefault="00310E34" w:rsidP="00707997">
      <w:r>
        <w:t xml:space="preserve">The sensitivity cases are examined for the road transport sector only. </w:t>
      </w:r>
      <w:r w:rsidR="00315C90">
        <w:t>This Section discusses the main points of difference in relation to the central policy scenario.</w:t>
      </w:r>
      <w:r w:rsidR="00636A65">
        <w:t xml:space="preserve">  </w:t>
      </w:r>
    </w:p>
    <w:p w:rsidR="00325FD8" w:rsidRDefault="00325FD8" w:rsidP="00707997"/>
    <w:p w:rsidR="00325FD8" w:rsidRDefault="00C150D6" w:rsidP="00C150D6">
      <w:pPr>
        <w:pStyle w:val="Heading2"/>
      </w:pPr>
      <w:bookmarkStart w:id="133" w:name="_Toc366228043"/>
      <w:r>
        <w:t>Minimum emission standards for new cars</w:t>
      </w:r>
      <w:bookmarkEnd w:id="133"/>
    </w:p>
    <w:p w:rsidR="0021049F" w:rsidRDefault="00093BDB" w:rsidP="0021049F">
      <w:r>
        <w:t>This</w:t>
      </w:r>
      <w:r w:rsidRPr="0078670B">
        <w:t xml:space="preserve"> sensitivity </w:t>
      </w:r>
      <w:r>
        <w:t xml:space="preserve">case assumes that </w:t>
      </w:r>
      <w:r w:rsidRPr="0078670B">
        <w:t>mandatory CO</w:t>
      </w:r>
      <w:r w:rsidRPr="00D56DE4">
        <w:rPr>
          <w:vertAlign w:val="subscript"/>
        </w:rPr>
        <w:t>2</w:t>
      </w:r>
      <w:r w:rsidRPr="0078670B">
        <w:t xml:space="preserve"> emissions standards on all (imported and domestically produced) new light vehicles</w:t>
      </w:r>
      <w:r w:rsidR="0021049F">
        <w:t xml:space="preserve"> (passenger and light commercial vehicles)</w:t>
      </w:r>
      <w:r w:rsidRPr="0078670B">
        <w:t xml:space="preserve"> </w:t>
      </w:r>
      <w:r>
        <w:t xml:space="preserve">apply </w:t>
      </w:r>
      <w:r w:rsidRPr="0078670B">
        <w:t xml:space="preserve">from 2015. The </w:t>
      </w:r>
      <w:r w:rsidRPr="00093BDB">
        <w:t>average</w:t>
      </w:r>
      <w:r w:rsidRPr="0078670B">
        <w:t xml:space="preserve"> emissions for new light vehicles sold in Australia in the years 2015-2020 must</w:t>
      </w:r>
      <w:r>
        <w:t xml:space="preserve"> meet the following:</w:t>
      </w:r>
    </w:p>
    <w:p w:rsidR="0021049F" w:rsidRPr="0021049F" w:rsidRDefault="00093BDB" w:rsidP="00E5753E">
      <w:pPr>
        <w:pStyle w:val="ListParagraph"/>
        <w:numPr>
          <w:ilvl w:val="0"/>
          <w:numId w:val="21"/>
        </w:numPr>
        <w:rPr>
          <w:rFonts w:asciiTheme="minorHAnsi" w:hAnsiTheme="minorHAnsi"/>
        </w:rPr>
      </w:pPr>
      <w:r w:rsidRPr="0021049F">
        <w:rPr>
          <w:rFonts w:asciiTheme="minorHAnsi" w:hAnsiTheme="minorHAnsi"/>
        </w:rPr>
        <w:t>An average CO</w:t>
      </w:r>
      <w:r w:rsidRPr="00AB288C">
        <w:rPr>
          <w:rFonts w:asciiTheme="minorHAnsi" w:hAnsiTheme="minorHAnsi"/>
          <w:vertAlign w:val="subscript"/>
        </w:rPr>
        <w:t>2</w:t>
      </w:r>
      <w:r w:rsidRPr="0021049F">
        <w:rPr>
          <w:rFonts w:asciiTheme="minorHAnsi" w:hAnsiTheme="minorHAnsi"/>
        </w:rPr>
        <w:t xml:space="preserve"> emissions ta</w:t>
      </w:r>
      <w:r w:rsidR="0021049F" w:rsidRPr="0021049F">
        <w:rPr>
          <w:rFonts w:asciiTheme="minorHAnsi" w:hAnsiTheme="minorHAnsi"/>
        </w:rPr>
        <w:t xml:space="preserve">rget of </w:t>
      </w:r>
      <w:r w:rsidRPr="0021049F">
        <w:rPr>
          <w:rFonts w:asciiTheme="minorHAnsi" w:hAnsiTheme="minorHAnsi"/>
          <w:bCs/>
        </w:rPr>
        <w:t>190g/km</w:t>
      </w:r>
      <w:r w:rsidR="0021049F" w:rsidRPr="0021049F">
        <w:rPr>
          <w:rFonts w:asciiTheme="minorHAnsi" w:hAnsiTheme="minorHAnsi"/>
          <w:bCs/>
        </w:rPr>
        <w:t xml:space="preserve"> from 2015 onwards</w:t>
      </w:r>
    </w:p>
    <w:p w:rsidR="0021049F" w:rsidRPr="0021049F" w:rsidRDefault="0021049F" w:rsidP="0021049F">
      <w:pPr>
        <w:pStyle w:val="ListParagraph"/>
        <w:rPr>
          <w:rFonts w:asciiTheme="minorHAnsi" w:hAnsiTheme="minorHAnsi"/>
        </w:rPr>
      </w:pPr>
    </w:p>
    <w:p w:rsidR="00093BDB" w:rsidRPr="0021049F" w:rsidRDefault="0021049F" w:rsidP="00E5753E">
      <w:pPr>
        <w:pStyle w:val="ListParagraph"/>
        <w:numPr>
          <w:ilvl w:val="0"/>
          <w:numId w:val="21"/>
        </w:numPr>
        <w:rPr>
          <w:rFonts w:asciiTheme="minorHAnsi" w:hAnsiTheme="minorHAnsi"/>
        </w:rPr>
      </w:pPr>
      <w:r w:rsidRPr="0021049F">
        <w:rPr>
          <w:rFonts w:asciiTheme="minorHAnsi" w:hAnsiTheme="minorHAnsi"/>
        </w:rPr>
        <w:t>An average CO</w:t>
      </w:r>
      <w:r w:rsidRPr="00AB288C">
        <w:rPr>
          <w:rFonts w:asciiTheme="minorHAnsi" w:hAnsiTheme="minorHAnsi"/>
          <w:vertAlign w:val="subscript"/>
        </w:rPr>
        <w:t>2</w:t>
      </w:r>
      <w:r w:rsidRPr="0021049F">
        <w:rPr>
          <w:rFonts w:asciiTheme="minorHAnsi" w:hAnsiTheme="minorHAnsi"/>
        </w:rPr>
        <w:t xml:space="preserve"> emissions target of </w:t>
      </w:r>
      <w:r w:rsidR="00AB35C1">
        <w:rPr>
          <w:rFonts w:asciiTheme="minorHAnsi" w:hAnsiTheme="minorHAnsi"/>
          <w:bCs/>
        </w:rPr>
        <w:t>130g/km from 2020</w:t>
      </w:r>
      <w:r w:rsidRPr="0021049F">
        <w:rPr>
          <w:rFonts w:asciiTheme="minorHAnsi" w:hAnsiTheme="minorHAnsi"/>
          <w:bCs/>
        </w:rPr>
        <w:t xml:space="preserve"> onwards</w:t>
      </w:r>
      <w:r>
        <w:rPr>
          <w:rFonts w:asciiTheme="minorHAnsi" w:hAnsiTheme="minorHAnsi"/>
          <w:bCs/>
        </w:rPr>
        <w:t>.</w:t>
      </w:r>
    </w:p>
    <w:p w:rsidR="0021049F" w:rsidRPr="0021049F" w:rsidRDefault="0021049F" w:rsidP="0021049F">
      <w:pPr>
        <w:pStyle w:val="ListParagraph"/>
        <w:rPr>
          <w:rFonts w:asciiTheme="minorHAnsi" w:hAnsiTheme="minorHAnsi"/>
        </w:rPr>
      </w:pPr>
    </w:p>
    <w:p w:rsidR="0021049F" w:rsidRDefault="00A5109F" w:rsidP="0021049F">
      <w:pPr>
        <w:rPr>
          <w:rFonts w:asciiTheme="minorHAnsi" w:hAnsiTheme="minorHAnsi"/>
        </w:rPr>
      </w:pPr>
      <w:r w:rsidRPr="00A5109F">
        <w:rPr>
          <w:noProof/>
        </w:rPr>
        <w:lastRenderedPageBreak/>
        <w:drawing>
          <wp:inline distT="0" distB="0" distL="0" distR="0">
            <wp:extent cx="6120130" cy="3994871"/>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srcRect/>
                    <a:stretch>
                      <a:fillRect/>
                    </a:stretch>
                  </pic:blipFill>
                  <pic:spPr bwMode="auto">
                    <a:xfrm>
                      <a:off x="0" y="0"/>
                      <a:ext cx="6120130" cy="3994871"/>
                    </a:xfrm>
                    <a:prstGeom prst="rect">
                      <a:avLst/>
                    </a:prstGeom>
                    <a:noFill/>
                    <a:ln w="9525">
                      <a:noFill/>
                      <a:miter lim="800000"/>
                      <a:headEnd/>
                      <a:tailEnd/>
                    </a:ln>
                  </pic:spPr>
                </pic:pic>
              </a:graphicData>
            </a:graphic>
          </wp:inline>
        </w:drawing>
      </w:r>
    </w:p>
    <w:p w:rsidR="00A5109F" w:rsidRPr="0021049F" w:rsidRDefault="00A5109F" w:rsidP="00A5109F">
      <w:pPr>
        <w:pStyle w:val="Caption"/>
        <w:rPr>
          <w:rFonts w:asciiTheme="minorHAnsi" w:hAnsiTheme="minorHAnsi"/>
        </w:rPr>
      </w:pPr>
      <w:bookmarkStart w:id="134" w:name="_Ref365617769"/>
      <w:bookmarkStart w:id="135" w:name="_Toc366227363"/>
      <w:r>
        <w:t xml:space="preserve">Figure </w:t>
      </w:r>
      <w:r w:rsidR="00C14EF7">
        <w:fldChar w:fldCharType="begin"/>
      </w:r>
      <w:r w:rsidR="005B253B">
        <w:instrText xml:space="preserve"> STYLEREF 1 \s </w:instrText>
      </w:r>
      <w:r w:rsidR="00C14EF7">
        <w:fldChar w:fldCharType="separate"/>
      </w:r>
      <w:r w:rsidR="003E0F65">
        <w:rPr>
          <w:noProof/>
        </w:rPr>
        <w:t>6</w:t>
      </w:r>
      <w:r w:rsidR="00C14EF7">
        <w:fldChar w:fldCharType="end"/>
      </w:r>
      <w:r w:rsidR="005B253B">
        <w:noBreakHyphen/>
      </w:r>
      <w:r w:rsidR="00C14EF7">
        <w:fldChar w:fldCharType="begin"/>
      </w:r>
      <w:r w:rsidR="005B253B">
        <w:instrText xml:space="preserve"> SEQ Figure \* ARABIC \s 1 </w:instrText>
      </w:r>
      <w:r w:rsidR="00C14EF7">
        <w:fldChar w:fldCharType="separate"/>
      </w:r>
      <w:r w:rsidR="003E0F65">
        <w:rPr>
          <w:noProof/>
        </w:rPr>
        <w:t>1</w:t>
      </w:r>
      <w:r w:rsidR="00C14EF7">
        <w:fldChar w:fldCharType="end"/>
      </w:r>
      <w:bookmarkEnd w:id="134"/>
      <w:r>
        <w:t>: Engine type in road kilometres travelled, minimum efficiency sensitivity</w:t>
      </w:r>
      <w:bookmarkEnd w:id="135"/>
    </w:p>
    <w:p w:rsidR="00186A2D" w:rsidRDefault="00C14EF7" w:rsidP="00186A2D">
      <w:r>
        <w:fldChar w:fldCharType="begin"/>
      </w:r>
      <w:r w:rsidR="00186A2D">
        <w:instrText xml:space="preserve"> REF _Ref365617769 \h </w:instrText>
      </w:r>
      <w:r>
        <w:fldChar w:fldCharType="separate"/>
      </w:r>
      <w:r w:rsidR="003E0F65">
        <w:t xml:space="preserve">Figure </w:t>
      </w:r>
      <w:r w:rsidR="003E0F65">
        <w:rPr>
          <w:noProof/>
        </w:rPr>
        <w:t>6</w:t>
      </w:r>
      <w:r w:rsidR="003E0F65">
        <w:noBreakHyphen/>
      </w:r>
      <w:r w:rsidR="003E0F65">
        <w:rPr>
          <w:noProof/>
        </w:rPr>
        <w:t>1</w:t>
      </w:r>
      <w:r>
        <w:fldChar w:fldCharType="end"/>
      </w:r>
      <w:r w:rsidR="00186A2D">
        <w:t xml:space="preserve"> shows the engine type in road kilometres travelled for the minimum efficiency sensitivity case. The impact of the new policy to 2015 appears muted suggesting that the average efficiency of new light vehicles can largely achieve the minimum standard. From 2015 to 2020, there is a slight increase in the deployment of hybrid vehicles </w:t>
      </w:r>
      <w:r w:rsidR="001144A3">
        <w:t xml:space="preserve">with the policy having a greater effect after 2020 as shown in </w:t>
      </w:r>
      <w:r>
        <w:fldChar w:fldCharType="begin"/>
      </w:r>
      <w:r w:rsidR="001144A3">
        <w:instrText xml:space="preserve"> REF _Ref365618774 \h </w:instrText>
      </w:r>
      <w:r>
        <w:fldChar w:fldCharType="separate"/>
      </w:r>
      <w:r w:rsidR="003E0F65">
        <w:t xml:space="preserve">Figure </w:t>
      </w:r>
      <w:r w:rsidR="003E0F65">
        <w:rPr>
          <w:noProof/>
        </w:rPr>
        <w:t>6</w:t>
      </w:r>
      <w:r w:rsidR="003E0F65">
        <w:noBreakHyphen/>
      </w:r>
      <w:r w:rsidR="003E0F65">
        <w:rPr>
          <w:noProof/>
        </w:rPr>
        <w:t>2</w:t>
      </w:r>
      <w:r>
        <w:fldChar w:fldCharType="end"/>
      </w:r>
      <w:r w:rsidR="001144A3">
        <w:t>.</w:t>
      </w:r>
      <w:r w:rsidR="00885A3D">
        <w:t xml:space="preserve"> As this sensitivity has the central policy EV/PHEV availability assumptions, there is some uptake of fuel cell vehicles late in the projection period.</w:t>
      </w:r>
    </w:p>
    <w:p w:rsidR="00A5109F" w:rsidRDefault="00A5109F" w:rsidP="00707997"/>
    <w:p w:rsidR="00A5109F" w:rsidRDefault="00A5109F" w:rsidP="00707997">
      <w:r w:rsidRPr="00A5109F">
        <w:rPr>
          <w:noProof/>
        </w:rPr>
        <w:lastRenderedPageBreak/>
        <w:drawing>
          <wp:inline distT="0" distB="0" distL="0" distR="0">
            <wp:extent cx="6120130" cy="3994871"/>
            <wp:effectExtent l="1905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srcRect/>
                    <a:stretch>
                      <a:fillRect/>
                    </a:stretch>
                  </pic:blipFill>
                  <pic:spPr bwMode="auto">
                    <a:xfrm>
                      <a:off x="0" y="0"/>
                      <a:ext cx="6120130" cy="3994871"/>
                    </a:xfrm>
                    <a:prstGeom prst="rect">
                      <a:avLst/>
                    </a:prstGeom>
                    <a:noFill/>
                    <a:ln w="9525">
                      <a:noFill/>
                      <a:miter lim="800000"/>
                      <a:headEnd/>
                      <a:tailEnd/>
                    </a:ln>
                  </pic:spPr>
                </pic:pic>
              </a:graphicData>
            </a:graphic>
          </wp:inline>
        </w:drawing>
      </w:r>
    </w:p>
    <w:p w:rsidR="00A5109F" w:rsidRDefault="00A5109F" w:rsidP="00A5109F">
      <w:pPr>
        <w:pStyle w:val="Caption"/>
      </w:pPr>
      <w:bookmarkStart w:id="136" w:name="_Ref365618774"/>
      <w:bookmarkStart w:id="137" w:name="_Toc366227364"/>
      <w:r>
        <w:t xml:space="preserve">Figure </w:t>
      </w:r>
      <w:r w:rsidR="00C14EF7">
        <w:fldChar w:fldCharType="begin"/>
      </w:r>
      <w:r w:rsidR="005B253B">
        <w:instrText xml:space="preserve"> STYLEREF 1 \s </w:instrText>
      </w:r>
      <w:r w:rsidR="00C14EF7">
        <w:fldChar w:fldCharType="separate"/>
      </w:r>
      <w:r w:rsidR="003E0F65">
        <w:rPr>
          <w:noProof/>
        </w:rPr>
        <w:t>6</w:t>
      </w:r>
      <w:r w:rsidR="00C14EF7">
        <w:fldChar w:fldCharType="end"/>
      </w:r>
      <w:r w:rsidR="005B253B">
        <w:noBreakHyphen/>
      </w:r>
      <w:r w:rsidR="00C14EF7">
        <w:fldChar w:fldCharType="begin"/>
      </w:r>
      <w:r w:rsidR="005B253B">
        <w:instrText xml:space="preserve"> SEQ Figure \* ARABIC \s 1 </w:instrText>
      </w:r>
      <w:r w:rsidR="00C14EF7">
        <w:fldChar w:fldCharType="separate"/>
      </w:r>
      <w:r w:rsidR="003E0F65">
        <w:rPr>
          <w:noProof/>
        </w:rPr>
        <w:t>2</w:t>
      </w:r>
      <w:r w:rsidR="00C14EF7">
        <w:fldChar w:fldCharType="end"/>
      </w:r>
      <w:bookmarkEnd w:id="136"/>
      <w:r>
        <w:t>: Comparison share of alternative drivetrains, central policy scenario and minimum efficiency sensitivity</w:t>
      </w:r>
      <w:bookmarkEnd w:id="137"/>
    </w:p>
    <w:p w:rsidR="00A5109F" w:rsidRDefault="007E0B4C" w:rsidP="00707997">
      <w:r>
        <w:t xml:space="preserve">It is not surprising that the impact is delayed until after the emission standards have been imposed. The standards only apply to new vehicle sales and so it will take some time for the more efficient vehicles to dominate the fleet. </w:t>
      </w:r>
    </w:p>
    <w:p w:rsidR="00A5109F" w:rsidRDefault="00201E78" w:rsidP="00707997">
      <w:r>
        <w:t xml:space="preserve">The impact of the minimum emissions policy on road sector greenhouse gas emissions is evident in </w:t>
      </w:r>
      <w:r w:rsidR="00C14EF7">
        <w:fldChar w:fldCharType="begin"/>
      </w:r>
      <w:r>
        <w:instrText xml:space="preserve"> REF _Ref365620186 \h </w:instrText>
      </w:r>
      <w:r w:rsidR="00C14EF7">
        <w:fldChar w:fldCharType="separate"/>
      </w:r>
      <w:r w:rsidR="003E0F65">
        <w:t xml:space="preserve">Figure </w:t>
      </w:r>
      <w:r w:rsidR="003E0F65">
        <w:rPr>
          <w:noProof/>
        </w:rPr>
        <w:t>6</w:t>
      </w:r>
      <w:r w:rsidR="003E0F65">
        <w:noBreakHyphen/>
      </w:r>
      <w:r w:rsidR="003E0F65">
        <w:rPr>
          <w:noProof/>
        </w:rPr>
        <w:t>3</w:t>
      </w:r>
      <w:r w:rsidR="00C14EF7">
        <w:fldChar w:fldCharType="end"/>
      </w:r>
      <w:r>
        <w:t>. By 2015, road sector greenhouse gas emissions are around 1 Mt lower compared to the central policy scenario and around 3 Mt lower by 2020.</w:t>
      </w:r>
    </w:p>
    <w:p w:rsidR="00A5109F" w:rsidRDefault="00B10EA2" w:rsidP="00707997">
      <w:r w:rsidRPr="00B10EA2">
        <w:rPr>
          <w:noProof/>
        </w:rPr>
        <w:lastRenderedPageBreak/>
        <w:drawing>
          <wp:inline distT="0" distB="0" distL="0" distR="0">
            <wp:extent cx="6120130" cy="3994871"/>
            <wp:effectExtent l="1905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srcRect/>
                    <a:stretch>
                      <a:fillRect/>
                    </a:stretch>
                  </pic:blipFill>
                  <pic:spPr bwMode="auto">
                    <a:xfrm>
                      <a:off x="0" y="0"/>
                      <a:ext cx="6120130" cy="3994871"/>
                    </a:xfrm>
                    <a:prstGeom prst="rect">
                      <a:avLst/>
                    </a:prstGeom>
                    <a:noFill/>
                    <a:ln w="9525">
                      <a:noFill/>
                      <a:miter lim="800000"/>
                      <a:headEnd/>
                      <a:tailEnd/>
                    </a:ln>
                  </pic:spPr>
                </pic:pic>
              </a:graphicData>
            </a:graphic>
          </wp:inline>
        </w:drawing>
      </w:r>
    </w:p>
    <w:p w:rsidR="00B10EA2" w:rsidRDefault="00B10EA2" w:rsidP="00B10EA2">
      <w:pPr>
        <w:pStyle w:val="Caption"/>
      </w:pPr>
      <w:bookmarkStart w:id="138" w:name="_Ref365620186"/>
      <w:bookmarkStart w:id="139" w:name="_Toc366227365"/>
      <w:r>
        <w:t xml:space="preserve">Figure </w:t>
      </w:r>
      <w:r w:rsidR="00C14EF7">
        <w:fldChar w:fldCharType="begin"/>
      </w:r>
      <w:r w:rsidR="005B253B">
        <w:instrText xml:space="preserve"> STYLEREF 1 \s </w:instrText>
      </w:r>
      <w:r w:rsidR="00C14EF7">
        <w:fldChar w:fldCharType="separate"/>
      </w:r>
      <w:r w:rsidR="003E0F65">
        <w:rPr>
          <w:noProof/>
        </w:rPr>
        <w:t>6</w:t>
      </w:r>
      <w:r w:rsidR="00C14EF7">
        <w:fldChar w:fldCharType="end"/>
      </w:r>
      <w:r w:rsidR="005B253B">
        <w:noBreakHyphen/>
      </w:r>
      <w:r w:rsidR="00C14EF7">
        <w:fldChar w:fldCharType="begin"/>
      </w:r>
      <w:r w:rsidR="005B253B">
        <w:instrText xml:space="preserve"> SEQ Figure \* ARABIC \s 1 </w:instrText>
      </w:r>
      <w:r w:rsidR="00C14EF7">
        <w:fldChar w:fldCharType="separate"/>
      </w:r>
      <w:r w:rsidR="003E0F65">
        <w:rPr>
          <w:noProof/>
        </w:rPr>
        <w:t>3</w:t>
      </w:r>
      <w:r w:rsidR="00C14EF7">
        <w:fldChar w:fldCharType="end"/>
      </w:r>
      <w:bookmarkEnd w:id="138"/>
      <w:r>
        <w:t>: Road sector greenhouse gas emissions, central policy scenario and minimum efficiency sensitivity</w:t>
      </w:r>
      <w:bookmarkEnd w:id="139"/>
    </w:p>
    <w:p w:rsidR="00C150D6" w:rsidRDefault="00C150D6" w:rsidP="00707997"/>
    <w:p w:rsidR="00422452" w:rsidRDefault="00422452" w:rsidP="00422452">
      <w:pPr>
        <w:spacing w:after="0"/>
      </w:pPr>
      <w:r>
        <w:br w:type="page"/>
      </w:r>
    </w:p>
    <w:p w:rsidR="00C150D6" w:rsidRDefault="00C150D6" w:rsidP="00C150D6">
      <w:pPr>
        <w:pStyle w:val="Heading2"/>
      </w:pPr>
      <w:bookmarkStart w:id="140" w:name="_Toc366228044"/>
      <w:r>
        <w:lastRenderedPageBreak/>
        <w:t xml:space="preserve">No </w:t>
      </w:r>
      <w:r w:rsidR="00905FE9">
        <w:t xml:space="preserve">carbon price on heavy </w:t>
      </w:r>
      <w:r w:rsidRPr="0078670B">
        <w:t>road vehicles from 2014</w:t>
      </w:r>
      <w:bookmarkEnd w:id="140"/>
    </w:p>
    <w:p w:rsidR="00C150D6" w:rsidRDefault="0053360B" w:rsidP="00707997">
      <w:r>
        <w:t xml:space="preserve">Under the central policy scenario, the </w:t>
      </w:r>
      <w:r w:rsidRPr="00580BC8">
        <w:t>on-road combustion of fuels by heavy vehicles</w:t>
      </w:r>
      <w:r>
        <w:t xml:space="preserve"> is subject to a carbon price</w:t>
      </w:r>
      <w:r w:rsidRPr="00580BC8">
        <w:t xml:space="preserve"> </w:t>
      </w:r>
      <w:r>
        <w:t>from 2014-15 onwards. This sensitivity case assumes that the heavy road vehicle segment of the transport sector (rigid trucks, articulated vehicles and buses)</w:t>
      </w:r>
      <w:r w:rsidR="00AB7B10">
        <w:t xml:space="preserve"> are exempt from a carbon price </w:t>
      </w:r>
      <w:r w:rsidR="005340A5">
        <w:t>for the entire projection period.</w:t>
      </w:r>
      <w:r w:rsidR="00E20A93">
        <w:t xml:space="preserve"> This sensitivity case essentially means that only the non-road transport sector is “covered” by the carbon pricing regime.</w:t>
      </w:r>
    </w:p>
    <w:p w:rsidR="00E20A93" w:rsidRDefault="00A30EF0" w:rsidP="00707997">
      <w:r w:rsidRPr="00A30EF0">
        <w:rPr>
          <w:noProof/>
        </w:rPr>
        <w:drawing>
          <wp:inline distT="0" distB="0" distL="0" distR="0">
            <wp:extent cx="6120130" cy="3994871"/>
            <wp:effectExtent l="19050" t="0" r="0" b="0"/>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srcRect/>
                    <a:stretch>
                      <a:fillRect/>
                    </a:stretch>
                  </pic:blipFill>
                  <pic:spPr bwMode="auto">
                    <a:xfrm>
                      <a:off x="0" y="0"/>
                      <a:ext cx="6120130" cy="3994871"/>
                    </a:xfrm>
                    <a:prstGeom prst="rect">
                      <a:avLst/>
                    </a:prstGeom>
                    <a:noFill/>
                    <a:ln w="9525">
                      <a:noFill/>
                      <a:miter lim="800000"/>
                      <a:headEnd/>
                      <a:tailEnd/>
                    </a:ln>
                  </pic:spPr>
                </pic:pic>
              </a:graphicData>
            </a:graphic>
          </wp:inline>
        </w:drawing>
      </w:r>
    </w:p>
    <w:p w:rsidR="00A30EF0" w:rsidRDefault="00A30EF0" w:rsidP="00A30EF0">
      <w:pPr>
        <w:pStyle w:val="Caption"/>
      </w:pPr>
      <w:bookmarkStart w:id="141" w:name="_Ref365623440"/>
      <w:bookmarkStart w:id="142" w:name="_Toc366227366"/>
      <w:r>
        <w:t xml:space="preserve">Figure </w:t>
      </w:r>
      <w:r w:rsidR="00C14EF7">
        <w:fldChar w:fldCharType="begin"/>
      </w:r>
      <w:r w:rsidR="005B253B">
        <w:instrText xml:space="preserve"> STYLEREF 1 \s </w:instrText>
      </w:r>
      <w:r w:rsidR="00C14EF7">
        <w:fldChar w:fldCharType="separate"/>
      </w:r>
      <w:r w:rsidR="003E0F65">
        <w:rPr>
          <w:noProof/>
        </w:rPr>
        <w:t>6</w:t>
      </w:r>
      <w:r w:rsidR="00C14EF7">
        <w:fldChar w:fldCharType="end"/>
      </w:r>
      <w:r w:rsidR="005B253B">
        <w:noBreakHyphen/>
      </w:r>
      <w:r w:rsidR="00C14EF7">
        <w:fldChar w:fldCharType="begin"/>
      </w:r>
      <w:r w:rsidR="005B253B">
        <w:instrText xml:space="preserve"> SEQ Figure \* ARABIC \s 1 </w:instrText>
      </w:r>
      <w:r w:rsidR="00C14EF7">
        <w:fldChar w:fldCharType="separate"/>
      </w:r>
      <w:r w:rsidR="003E0F65">
        <w:rPr>
          <w:noProof/>
        </w:rPr>
        <w:t>4</w:t>
      </w:r>
      <w:r w:rsidR="00C14EF7">
        <w:fldChar w:fldCharType="end"/>
      </w:r>
      <w:bookmarkEnd w:id="141"/>
      <w:r>
        <w:t>: Projected road transport fuel consumption by fuel under the no carbon price on heavy vehicles sensitivity</w:t>
      </w:r>
      <w:bookmarkEnd w:id="142"/>
    </w:p>
    <w:p w:rsidR="006F2A4C" w:rsidRDefault="00C14EF7">
      <w:fldSimple w:instr=" REF _Ref365623440 \h  \* MERGEFORMAT ">
        <w:r w:rsidR="003E0F65">
          <w:t xml:space="preserve">Figure </w:t>
        </w:r>
        <w:r w:rsidR="003E0F65">
          <w:rPr>
            <w:noProof/>
          </w:rPr>
          <w:t>6</w:t>
        </w:r>
        <w:r w:rsidR="003E0F65">
          <w:rPr>
            <w:noProof/>
          </w:rPr>
          <w:noBreakHyphen/>
          <w:t>4</w:t>
        </w:r>
      </w:fldSimple>
      <w:r w:rsidR="001220B3">
        <w:t xml:space="preserve"> shows projected road transport fuel consumption under the no carbon price on heavy vehicles sensitivity case. </w:t>
      </w:r>
      <w:r w:rsidR="00466A4C">
        <w:t xml:space="preserve">In general, the impact is that there is less incentive to take up low emission fuels (biodiesel, ethanol and electricity) when compared to the central policy scenario. </w:t>
      </w:r>
      <w:r w:rsidR="00885A3D">
        <w:t xml:space="preserve">As a point of interest, there is also less biofuel uptake in domestic aviation in this sensitivity compared to the central policy scenario. In 2030, biofuel equals around 9 per cent of domestic aviation fuel (22 per cent in the central policy scenario), by 2040 it is around 15 per cent (32 per cent in the central policy scenario), and by 2050 it is around 23 per cent (29 per </w:t>
      </w:r>
      <w:proofErr w:type="gramStart"/>
      <w:r w:rsidR="00885A3D">
        <w:t>cent  in</w:t>
      </w:r>
      <w:proofErr w:type="gramEnd"/>
      <w:r w:rsidR="00885A3D">
        <w:t xml:space="preserve"> central policy scenario).</w:t>
      </w:r>
    </w:p>
    <w:p w:rsidR="004015CB" w:rsidRDefault="00C14EF7" w:rsidP="00707997">
      <w:r>
        <w:fldChar w:fldCharType="begin"/>
      </w:r>
      <w:r w:rsidR="00466A4C">
        <w:instrText xml:space="preserve"> REF _Ref365623691 \h </w:instrText>
      </w:r>
      <w:r>
        <w:fldChar w:fldCharType="separate"/>
      </w:r>
      <w:r w:rsidR="003E0F65">
        <w:t xml:space="preserve">Figure </w:t>
      </w:r>
      <w:r w:rsidR="003E0F65">
        <w:rPr>
          <w:noProof/>
        </w:rPr>
        <w:t>6</w:t>
      </w:r>
      <w:r w:rsidR="003E0F65">
        <w:noBreakHyphen/>
      </w:r>
      <w:r w:rsidR="003E0F65">
        <w:rPr>
          <w:noProof/>
        </w:rPr>
        <w:t>5</w:t>
      </w:r>
      <w:r>
        <w:fldChar w:fldCharType="end"/>
      </w:r>
      <w:r w:rsidR="00466A4C">
        <w:t xml:space="preserve"> shows the impact on the percentage of low emission fuel use in road transport. </w:t>
      </w:r>
      <w:r>
        <w:fldChar w:fldCharType="begin"/>
      </w:r>
      <w:r w:rsidR="00466A4C">
        <w:instrText xml:space="preserve"> REF _Ref365623799 \h </w:instrText>
      </w:r>
      <w:r>
        <w:fldChar w:fldCharType="separate"/>
      </w:r>
      <w:r w:rsidR="003E0F65">
        <w:t xml:space="preserve">Figure </w:t>
      </w:r>
      <w:r w:rsidR="003E0F65">
        <w:rPr>
          <w:noProof/>
        </w:rPr>
        <w:t>6</w:t>
      </w:r>
      <w:r w:rsidR="003E0F65">
        <w:noBreakHyphen/>
      </w:r>
      <w:r w:rsidR="003E0F65">
        <w:rPr>
          <w:noProof/>
        </w:rPr>
        <w:t>6</w:t>
      </w:r>
      <w:r>
        <w:fldChar w:fldCharType="end"/>
      </w:r>
      <w:r w:rsidR="00466A4C">
        <w:t xml:space="preserve"> also shows that the uptake of alternative drivetrain vehicles (hybrid, plug-in hybrid, fully electric and fuel cell vehicles) is more muted in this sensitivity case. The net result is that by 2050, </w:t>
      </w:r>
      <w:r w:rsidR="009C333A">
        <w:t>around 7.5</w:t>
      </w:r>
      <w:r w:rsidR="00236FD0">
        <w:t xml:space="preserve"> per cent</w:t>
      </w:r>
      <w:r w:rsidR="009C333A">
        <w:t xml:space="preserve"> (110</w:t>
      </w:r>
      <w:r w:rsidR="00466A4C">
        <w:t xml:space="preserve"> PJ) more fuel is combusted by the road sector under the sensitivity case.</w:t>
      </w:r>
    </w:p>
    <w:p w:rsidR="004015CB" w:rsidRDefault="004015CB" w:rsidP="00707997">
      <w:r w:rsidRPr="004015CB">
        <w:rPr>
          <w:noProof/>
        </w:rPr>
        <w:lastRenderedPageBreak/>
        <w:drawing>
          <wp:inline distT="0" distB="0" distL="0" distR="0">
            <wp:extent cx="6120130" cy="3994871"/>
            <wp:effectExtent l="19050" t="0" r="0" b="0"/>
            <wp:docPr id="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srcRect/>
                    <a:stretch>
                      <a:fillRect/>
                    </a:stretch>
                  </pic:blipFill>
                  <pic:spPr bwMode="auto">
                    <a:xfrm>
                      <a:off x="0" y="0"/>
                      <a:ext cx="6120130" cy="3994871"/>
                    </a:xfrm>
                    <a:prstGeom prst="rect">
                      <a:avLst/>
                    </a:prstGeom>
                    <a:noFill/>
                    <a:ln w="9525">
                      <a:noFill/>
                      <a:miter lim="800000"/>
                      <a:headEnd/>
                      <a:tailEnd/>
                    </a:ln>
                  </pic:spPr>
                </pic:pic>
              </a:graphicData>
            </a:graphic>
          </wp:inline>
        </w:drawing>
      </w:r>
    </w:p>
    <w:p w:rsidR="004015CB" w:rsidRDefault="004015CB" w:rsidP="004015CB">
      <w:pPr>
        <w:pStyle w:val="Caption"/>
      </w:pPr>
      <w:bookmarkStart w:id="143" w:name="_Ref365623691"/>
      <w:bookmarkStart w:id="144" w:name="_Toc366227367"/>
      <w:r>
        <w:t xml:space="preserve">Figure </w:t>
      </w:r>
      <w:r w:rsidR="00C14EF7">
        <w:fldChar w:fldCharType="begin"/>
      </w:r>
      <w:r w:rsidR="005B253B">
        <w:instrText xml:space="preserve"> STYLEREF 1 \s </w:instrText>
      </w:r>
      <w:r w:rsidR="00C14EF7">
        <w:fldChar w:fldCharType="separate"/>
      </w:r>
      <w:r w:rsidR="003E0F65">
        <w:rPr>
          <w:noProof/>
        </w:rPr>
        <w:t>6</w:t>
      </w:r>
      <w:r w:rsidR="00C14EF7">
        <w:fldChar w:fldCharType="end"/>
      </w:r>
      <w:r w:rsidR="005B253B">
        <w:noBreakHyphen/>
      </w:r>
      <w:r w:rsidR="00C14EF7">
        <w:fldChar w:fldCharType="begin"/>
      </w:r>
      <w:r w:rsidR="005B253B">
        <w:instrText xml:space="preserve"> SEQ Figure \* ARABIC \s 1 </w:instrText>
      </w:r>
      <w:r w:rsidR="00C14EF7">
        <w:fldChar w:fldCharType="separate"/>
      </w:r>
      <w:r w:rsidR="003E0F65">
        <w:rPr>
          <w:noProof/>
        </w:rPr>
        <w:t>5</w:t>
      </w:r>
      <w:r w:rsidR="00C14EF7">
        <w:fldChar w:fldCharType="end"/>
      </w:r>
      <w:bookmarkEnd w:id="143"/>
      <w:r>
        <w:t>: Comparison of low emission fuel use, central policy scenario and no carbon price on heavy vehicles sensitivity</w:t>
      </w:r>
      <w:bookmarkEnd w:id="144"/>
    </w:p>
    <w:p w:rsidR="00C150D6" w:rsidRDefault="00C150D6" w:rsidP="00707997"/>
    <w:p w:rsidR="00DD7C95" w:rsidRDefault="00DD7C95" w:rsidP="00707997"/>
    <w:p w:rsidR="00DD7C95" w:rsidRDefault="00DD7C95" w:rsidP="00707997">
      <w:r w:rsidRPr="00DD7C95">
        <w:rPr>
          <w:noProof/>
        </w:rPr>
        <w:lastRenderedPageBreak/>
        <w:drawing>
          <wp:inline distT="0" distB="0" distL="0" distR="0">
            <wp:extent cx="6120130" cy="3994871"/>
            <wp:effectExtent l="19050" t="0" r="0" b="0"/>
            <wp:docPr id="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srcRect/>
                    <a:stretch>
                      <a:fillRect/>
                    </a:stretch>
                  </pic:blipFill>
                  <pic:spPr bwMode="auto">
                    <a:xfrm>
                      <a:off x="0" y="0"/>
                      <a:ext cx="6120130" cy="3994871"/>
                    </a:xfrm>
                    <a:prstGeom prst="rect">
                      <a:avLst/>
                    </a:prstGeom>
                    <a:noFill/>
                    <a:ln w="9525">
                      <a:noFill/>
                      <a:miter lim="800000"/>
                      <a:headEnd/>
                      <a:tailEnd/>
                    </a:ln>
                  </pic:spPr>
                </pic:pic>
              </a:graphicData>
            </a:graphic>
          </wp:inline>
        </w:drawing>
      </w:r>
    </w:p>
    <w:p w:rsidR="00DD7C95" w:rsidRDefault="00DD7C95" w:rsidP="00DD7C95">
      <w:pPr>
        <w:pStyle w:val="Caption"/>
      </w:pPr>
      <w:bookmarkStart w:id="145" w:name="_Ref365623799"/>
      <w:bookmarkStart w:id="146" w:name="_Toc366227368"/>
      <w:r>
        <w:t xml:space="preserve">Figure </w:t>
      </w:r>
      <w:r w:rsidR="00C14EF7">
        <w:fldChar w:fldCharType="begin"/>
      </w:r>
      <w:r w:rsidR="005B253B">
        <w:instrText xml:space="preserve"> STYLEREF 1 \s </w:instrText>
      </w:r>
      <w:r w:rsidR="00C14EF7">
        <w:fldChar w:fldCharType="separate"/>
      </w:r>
      <w:r w:rsidR="003E0F65">
        <w:rPr>
          <w:noProof/>
        </w:rPr>
        <w:t>6</w:t>
      </w:r>
      <w:r w:rsidR="00C14EF7">
        <w:fldChar w:fldCharType="end"/>
      </w:r>
      <w:r w:rsidR="005B253B">
        <w:noBreakHyphen/>
      </w:r>
      <w:r w:rsidR="00C14EF7">
        <w:fldChar w:fldCharType="begin"/>
      </w:r>
      <w:r w:rsidR="005B253B">
        <w:instrText xml:space="preserve"> SEQ Figure \* ARABIC \s 1 </w:instrText>
      </w:r>
      <w:r w:rsidR="00C14EF7">
        <w:fldChar w:fldCharType="separate"/>
      </w:r>
      <w:r w:rsidR="003E0F65">
        <w:rPr>
          <w:noProof/>
        </w:rPr>
        <w:t>6</w:t>
      </w:r>
      <w:r w:rsidR="00C14EF7">
        <w:fldChar w:fldCharType="end"/>
      </w:r>
      <w:bookmarkEnd w:id="145"/>
      <w:r>
        <w:t>: Comparison of alternative drivetrain vehicle uptake, central policy scenario and no carbon price on heavy vehicles sensitivity</w:t>
      </w:r>
      <w:bookmarkEnd w:id="146"/>
    </w:p>
    <w:p w:rsidR="009C333A" w:rsidRDefault="009C333A" w:rsidP="009C333A">
      <w:r>
        <w:t xml:space="preserve">The impact of </w:t>
      </w:r>
      <w:r w:rsidR="00DC5717">
        <w:t xml:space="preserve">more fuel use combined with less low emission fuel use is that </w:t>
      </w:r>
      <w:r>
        <w:t xml:space="preserve">road sector greenhouse gas emissions </w:t>
      </w:r>
      <w:r w:rsidR="00DC5717">
        <w:t xml:space="preserve">are around </w:t>
      </w:r>
      <w:r w:rsidR="00236FD0">
        <w:t>14.5 per cent (12</w:t>
      </w:r>
      <w:r w:rsidR="00DC5717">
        <w:t xml:space="preserve"> Mt</w:t>
      </w:r>
      <w:r w:rsidR="00236FD0">
        <w:t>)</w:t>
      </w:r>
      <w:r w:rsidR="00DC5717">
        <w:t xml:space="preserve"> higher compared to the central policy scenario by 205</w:t>
      </w:r>
      <w:r>
        <w:t>0</w:t>
      </w:r>
      <w:r w:rsidR="00DC5717">
        <w:t xml:space="preserve"> (</w:t>
      </w:r>
      <w:r w:rsidR="00C14EF7">
        <w:fldChar w:fldCharType="begin"/>
      </w:r>
      <w:r w:rsidR="00236FD0">
        <w:instrText xml:space="preserve"> REF _Ref365624542 \h </w:instrText>
      </w:r>
      <w:r w:rsidR="00C14EF7">
        <w:fldChar w:fldCharType="separate"/>
      </w:r>
      <w:r w:rsidR="003E0F65">
        <w:t xml:space="preserve">Figure </w:t>
      </w:r>
      <w:r w:rsidR="003E0F65">
        <w:rPr>
          <w:noProof/>
        </w:rPr>
        <w:t>6</w:t>
      </w:r>
      <w:r w:rsidR="003E0F65">
        <w:noBreakHyphen/>
      </w:r>
      <w:r w:rsidR="003E0F65">
        <w:rPr>
          <w:noProof/>
        </w:rPr>
        <w:t>7</w:t>
      </w:r>
      <w:r w:rsidR="00C14EF7">
        <w:fldChar w:fldCharType="end"/>
      </w:r>
      <w:r w:rsidR="00DC5717">
        <w:t>)</w:t>
      </w:r>
      <w:r>
        <w:t>.</w:t>
      </w:r>
    </w:p>
    <w:p w:rsidR="00DD7C95" w:rsidRDefault="00236FD0" w:rsidP="00DD7C95">
      <w:pPr>
        <w:pStyle w:val="Caption"/>
      </w:pPr>
      <w:r w:rsidRPr="00236FD0">
        <w:rPr>
          <w:noProof/>
        </w:rPr>
        <w:lastRenderedPageBreak/>
        <w:drawing>
          <wp:inline distT="0" distB="0" distL="0" distR="0">
            <wp:extent cx="6120130" cy="3994871"/>
            <wp:effectExtent l="19050" t="0" r="0" b="0"/>
            <wp:docPr id="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srcRect/>
                    <a:stretch>
                      <a:fillRect/>
                    </a:stretch>
                  </pic:blipFill>
                  <pic:spPr bwMode="auto">
                    <a:xfrm>
                      <a:off x="0" y="0"/>
                      <a:ext cx="6120130" cy="3994871"/>
                    </a:xfrm>
                    <a:prstGeom prst="rect">
                      <a:avLst/>
                    </a:prstGeom>
                    <a:noFill/>
                    <a:ln w="9525">
                      <a:noFill/>
                      <a:miter lim="800000"/>
                      <a:headEnd/>
                      <a:tailEnd/>
                    </a:ln>
                  </pic:spPr>
                </pic:pic>
              </a:graphicData>
            </a:graphic>
          </wp:inline>
        </w:drawing>
      </w:r>
    </w:p>
    <w:p w:rsidR="00C150D6" w:rsidRDefault="00236FD0" w:rsidP="00236FD0">
      <w:pPr>
        <w:pStyle w:val="Caption"/>
      </w:pPr>
      <w:bookmarkStart w:id="147" w:name="_Ref365624542"/>
      <w:bookmarkStart w:id="148" w:name="_Toc366227369"/>
      <w:r>
        <w:t xml:space="preserve">Figure </w:t>
      </w:r>
      <w:r w:rsidR="00C14EF7">
        <w:fldChar w:fldCharType="begin"/>
      </w:r>
      <w:r w:rsidR="005B253B">
        <w:instrText xml:space="preserve"> STYLEREF 1 \s </w:instrText>
      </w:r>
      <w:r w:rsidR="00C14EF7">
        <w:fldChar w:fldCharType="separate"/>
      </w:r>
      <w:r w:rsidR="003E0F65">
        <w:rPr>
          <w:noProof/>
        </w:rPr>
        <w:t>6</w:t>
      </w:r>
      <w:r w:rsidR="00C14EF7">
        <w:fldChar w:fldCharType="end"/>
      </w:r>
      <w:r w:rsidR="005B253B">
        <w:noBreakHyphen/>
      </w:r>
      <w:r w:rsidR="00C14EF7">
        <w:fldChar w:fldCharType="begin"/>
      </w:r>
      <w:r w:rsidR="005B253B">
        <w:instrText xml:space="preserve"> SEQ Figure \* ARABIC \s 1 </w:instrText>
      </w:r>
      <w:r w:rsidR="00C14EF7">
        <w:fldChar w:fldCharType="separate"/>
      </w:r>
      <w:r w:rsidR="003E0F65">
        <w:rPr>
          <w:noProof/>
        </w:rPr>
        <w:t>7</w:t>
      </w:r>
      <w:r w:rsidR="00C14EF7">
        <w:fldChar w:fldCharType="end"/>
      </w:r>
      <w:bookmarkEnd w:id="147"/>
      <w:r>
        <w:t>: Road sector greenhouse gas emissions, central policy scenario and no carbon price on heavy vehicles sensitivity</w:t>
      </w:r>
      <w:bookmarkEnd w:id="148"/>
    </w:p>
    <w:p w:rsidR="00236FD0" w:rsidRDefault="00236FD0">
      <w:pPr>
        <w:spacing w:after="0"/>
      </w:pPr>
      <w:r>
        <w:br w:type="page"/>
      </w:r>
    </w:p>
    <w:p w:rsidR="00236FD0" w:rsidRPr="00236FD0" w:rsidRDefault="00236FD0" w:rsidP="00236FD0"/>
    <w:p w:rsidR="00C150D6" w:rsidRDefault="00C150D6" w:rsidP="00C150D6">
      <w:pPr>
        <w:pStyle w:val="Heading2"/>
      </w:pPr>
      <w:bookmarkStart w:id="149" w:name="_Toc366228045"/>
      <w:r>
        <w:t>High oil prices</w:t>
      </w:r>
      <w:bookmarkEnd w:id="149"/>
    </w:p>
    <w:p w:rsidR="00C150D6" w:rsidRDefault="00310E34" w:rsidP="00707997">
      <w:r>
        <w:t xml:space="preserve">This sensitivity case is to gauge the impact of high oil prices on the central policy scenario. Under the central policy scenario, oil prices </w:t>
      </w:r>
      <w:r w:rsidR="0018172B">
        <w:t xml:space="preserve">are $134/bbl in 2020, </w:t>
      </w:r>
      <w:r w:rsidR="00BE52D6">
        <w:t>$190</w:t>
      </w:r>
      <w:r w:rsidR="0018172B">
        <w:t xml:space="preserve">/bbl in 2035, and </w:t>
      </w:r>
      <w:r w:rsidR="00BE52D6">
        <w:t xml:space="preserve">are assumed to remain constant at that level to </w:t>
      </w:r>
      <w:r w:rsidR="0018172B">
        <w:t xml:space="preserve">2050. Under the high oil price sensitivity case, oil prices are </w:t>
      </w:r>
      <w:r w:rsidR="00BE52D6">
        <w:t>$1</w:t>
      </w:r>
      <w:r w:rsidR="00AE050D">
        <w:t>44</w:t>
      </w:r>
      <w:r w:rsidR="0018172B">
        <w:t xml:space="preserve">/bbl in 2020, </w:t>
      </w:r>
      <w:r w:rsidR="00BE52D6">
        <w:t>$</w:t>
      </w:r>
      <w:r w:rsidR="00AE050D">
        <w:t>22</w:t>
      </w:r>
      <w:r w:rsidR="00BE52D6">
        <w:t>0</w:t>
      </w:r>
      <w:r w:rsidR="0018172B">
        <w:t>/bbl in 2035,</w:t>
      </w:r>
      <w:r w:rsidR="00BE52D6">
        <w:t xml:space="preserve"> and are assumed to remain constant at that level to 2050</w:t>
      </w:r>
      <w:r w:rsidR="0018172B">
        <w:t>. All prices are in 2011/12 Australian dollar terms.</w:t>
      </w:r>
    </w:p>
    <w:p w:rsidR="00C150D6" w:rsidRDefault="004B4864" w:rsidP="00707997">
      <w:r>
        <w:t>High oil prices leads to a small amount of demand response from around 2020 that reduces the demand for travel by around 1.3 per cent by 2050.</w:t>
      </w:r>
      <w:r w:rsidR="00A043B1">
        <w:t xml:space="preserve"> However, similar the minimum efficiency standards sensitivity, high oil prices tend to encourage the uptake of alternative drivetrain vehicles.</w:t>
      </w:r>
    </w:p>
    <w:p w:rsidR="00A043B1" w:rsidRDefault="00A043B1" w:rsidP="00707997">
      <w:r w:rsidRPr="00A043B1">
        <w:rPr>
          <w:noProof/>
        </w:rPr>
        <w:drawing>
          <wp:inline distT="0" distB="0" distL="0" distR="0">
            <wp:extent cx="6120130" cy="3994871"/>
            <wp:effectExtent l="19050" t="0" r="0" b="0"/>
            <wp:docPr id="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srcRect/>
                    <a:stretch>
                      <a:fillRect/>
                    </a:stretch>
                  </pic:blipFill>
                  <pic:spPr bwMode="auto">
                    <a:xfrm>
                      <a:off x="0" y="0"/>
                      <a:ext cx="6120130" cy="3994871"/>
                    </a:xfrm>
                    <a:prstGeom prst="rect">
                      <a:avLst/>
                    </a:prstGeom>
                    <a:noFill/>
                    <a:ln w="9525">
                      <a:noFill/>
                      <a:miter lim="800000"/>
                      <a:headEnd/>
                      <a:tailEnd/>
                    </a:ln>
                  </pic:spPr>
                </pic:pic>
              </a:graphicData>
            </a:graphic>
          </wp:inline>
        </w:drawing>
      </w:r>
    </w:p>
    <w:p w:rsidR="00A043B1" w:rsidRDefault="00A043B1" w:rsidP="00A043B1">
      <w:pPr>
        <w:pStyle w:val="Caption"/>
      </w:pPr>
      <w:bookmarkStart w:id="150" w:name="_Ref365630724"/>
      <w:bookmarkStart w:id="151" w:name="_Toc366227370"/>
      <w:r>
        <w:t xml:space="preserve">Figure </w:t>
      </w:r>
      <w:r w:rsidR="00C14EF7">
        <w:fldChar w:fldCharType="begin"/>
      </w:r>
      <w:r w:rsidR="005B253B">
        <w:instrText xml:space="preserve"> STYLEREF 1 \s </w:instrText>
      </w:r>
      <w:r w:rsidR="00C14EF7">
        <w:fldChar w:fldCharType="separate"/>
      </w:r>
      <w:r w:rsidR="003E0F65">
        <w:rPr>
          <w:noProof/>
        </w:rPr>
        <w:t>6</w:t>
      </w:r>
      <w:r w:rsidR="00C14EF7">
        <w:fldChar w:fldCharType="end"/>
      </w:r>
      <w:r w:rsidR="005B253B">
        <w:noBreakHyphen/>
      </w:r>
      <w:r w:rsidR="00C14EF7">
        <w:fldChar w:fldCharType="begin"/>
      </w:r>
      <w:r w:rsidR="005B253B">
        <w:instrText xml:space="preserve"> SEQ Figure \* ARABIC \s 1 </w:instrText>
      </w:r>
      <w:r w:rsidR="00C14EF7">
        <w:fldChar w:fldCharType="separate"/>
      </w:r>
      <w:r w:rsidR="003E0F65">
        <w:rPr>
          <w:noProof/>
        </w:rPr>
        <w:t>8</w:t>
      </w:r>
      <w:r w:rsidR="00C14EF7">
        <w:fldChar w:fldCharType="end"/>
      </w:r>
      <w:bookmarkEnd w:id="150"/>
      <w:r>
        <w:t>: Engine type in road kilometres travelled, high oil price</w:t>
      </w:r>
      <w:r w:rsidR="00EF2664">
        <w:t>s</w:t>
      </w:r>
      <w:r>
        <w:t xml:space="preserve"> sensitivity</w:t>
      </w:r>
      <w:bookmarkEnd w:id="151"/>
    </w:p>
    <w:p w:rsidR="00A043B1" w:rsidRDefault="00C14EF7" w:rsidP="00707997">
      <w:r>
        <w:fldChar w:fldCharType="begin"/>
      </w:r>
      <w:r w:rsidR="004150DC">
        <w:instrText xml:space="preserve"> REF _Ref365630724 \h </w:instrText>
      </w:r>
      <w:r>
        <w:fldChar w:fldCharType="separate"/>
      </w:r>
      <w:r w:rsidR="003E0F65">
        <w:t xml:space="preserve">Figure </w:t>
      </w:r>
      <w:r w:rsidR="003E0F65">
        <w:rPr>
          <w:noProof/>
        </w:rPr>
        <w:t>6</w:t>
      </w:r>
      <w:r w:rsidR="003E0F65">
        <w:noBreakHyphen/>
      </w:r>
      <w:r w:rsidR="003E0F65">
        <w:rPr>
          <w:noProof/>
        </w:rPr>
        <w:t>8</w:t>
      </w:r>
      <w:r>
        <w:fldChar w:fldCharType="end"/>
      </w:r>
      <w:r w:rsidR="004150DC">
        <w:t xml:space="preserve"> shows that there is more incentive to take up hybrid and plug-in hybrid vehicles in this sensitivity case. </w:t>
      </w:r>
      <w:r>
        <w:fldChar w:fldCharType="begin"/>
      </w:r>
      <w:r w:rsidR="004150DC">
        <w:instrText xml:space="preserve"> REF _Ref365630813 \h </w:instrText>
      </w:r>
      <w:r>
        <w:fldChar w:fldCharType="separate"/>
      </w:r>
      <w:r w:rsidR="003E0F65">
        <w:t xml:space="preserve">Figure </w:t>
      </w:r>
      <w:r w:rsidR="003E0F65">
        <w:rPr>
          <w:noProof/>
        </w:rPr>
        <w:t>6</w:t>
      </w:r>
      <w:r w:rsidR="003E0F65">
        <w:noBreakHyphen/>
      </w:r>
      <w:r w:rsidR="003E0F65">
        <w:rPr>
          <w:noProof/>
        </w:rPr>
        <w:t>9</w:t>
      </w:r>
      <w:r>
        <w:fldChar w:fldCharType="end"/>
      </w:r>
      <w:r w:rsidR="004150DC">
        <w:t xml:space="preserve"> shows a greater market share for alternative drivetrain vehicles with the differential narrowing by 2050, probably reflecting the assumption that vehicle costs are the same as the central policy scenario.</w:t>
      </w:r>
    </w:p>
    <w:p w:rsidR="00A043B1" w:rsidRDefault="00A043B1" w:rsidP="00707997"/>
    <w:p w:rsidR="00A043B1" w:rsidRDefault="00A043B1" w:rsidP="00707997">
      <w:r w:rsidRPr="00A043B1">
        <w:rPr>
          <w:noProof/>
        </w:rPr>
        <w:lastRenderedPageBreak/>
        <w:drawing>
          <wp:inline distT="0" distB="0" distL="0" distR="0">
            <wp:extent cx="6120130" cy="3994871"/>
            <wp:effectExtent l="19050" t="0" r="0" b="0"/>
            <wp:docPr id="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srcRect/>
                    <a:stretch>
                      <a:fillRect/>
                    </a:stretch>
                  </pic:blipFill>
                  <pic:spPr bwMode="auto">
                    <a:xfrm>
                      <a:off x="0" y="0"/>
                      <a:ext cx="6120130" cy="3994871"/>
                    </a:xfrm>
                    <a:prstGeom prst="rect">
                      <a:avLst/>
                    </a:prstGeom>
                    <a:noFill/>
                    <a:ln w="9525">
                      <a:noFill/>
                      <a:miter lim="800000"/>
                      <a:headEnd/>
                      <a:tailEnd/>
                    </a:ln>
                  </pic:spPr>
                </pic:pic>
              </a:graphicData>
            </a:graphic>
          </wp:inline>
        </w:drawing>
      </w:r>
    </w:p>
    <w:p w:rsidR="00A043B1" w:rsidRDefault="00A043B1" w:rsidP="00A043B1">
      <w:pPr>
        <w:pStyle w:val="Caption"/>
      </w:pPr>
      <w:bookmarkStart w:id="152" w:name="_Ref365630813"/>
      <w:bookmarkStart w:id="153" w:name="_Toc366227371"/>
      <w:r>
        <w:t xml:space="preserve">Figure </w:t>
      </w:r>
      <w:r w:rsidR="00C14EF7">
        <w:fldChar w:fldCharType="begin"/>
      </w:r>
      <w:r w:rsidR="005B253B">
        <w:instrText xml:space="preserve"> STYLEREF 1 \s </w:instrText>
      </w:r>
      <w:r w:rsidR="00C14EF7">
        <w:fldChar w:fldCharType="separate"/>
      </w:r>
      <w:r w:rsidR="003E0F65">
        <w:rPr>
          <w:noProof/>
        </w:rPr>
        <w:t>6</w:t>
      </w:r>
      <w:r w:rsidR="00C14EF7">
        <w:fldChar w:fldCharType="end"/>
      </w:r>
      <w:r w:rsidR="005B253B">
        <w:noBreakHyphen/>
      </w:r>
      <w:r w:rsidR="00C14EF7">
        <w:fldChar w:fldCharType="begin"/>
      </w:r>
      <w:r w:rsidR="005B253B">
        <w:instrText xml:space="preserve"> SEQ Figure \* ARABIC \s 1 </w:instrText>
      </w:r>
      <w:r w:rsidR="00C14EF7">
        <w:fldChar w:fldCharType="separate"/>
      </w:r>
      <w:r w:rsidR="003E0F65">
        <w:rPr>
          <w:noProof/>
        </w:rPr>
        <w:t>9</w:t>
      </w:r>
      <w:r w:rsidR="00C14EF7">
        <w:fldChar w:fldCharType="end"/>
      </w:r>
      <w:bookmarkEnd w:id="152"/>
      <w:r>
        <w:t>: Comparison of alternative drivetrain vehicle uptake,</w:t>
      </w:r>
      <w:r w:rsidR="002961DB">
        <w:t xml:space="preserve"> central policy scenario and </w:t>
      </w:r>
      <w:r>
        <w:t>high oil price</w:t>
      </w:r>
      <w:r w:rsidR="00EF2664">
        <w:t>s</w:t>
      </w:r>
      <w:r>
        <w:t xml:space="preserve"> sensitivity</w:t>
      </w:r>
      <w:bookmarkEnd w:id="153"/>
    </w:p>
    <w:p w:rsidR="00C150D6" w:rsidRDefault="00C14EF7" w:rsidP="00707997">
      <w:r>
        <w:fldChar w:fldCharType="begin"/>
      </w:r>
      <w:r w:rsidR="00FE7579">
        <w:instrText xml:space="preserve"> REF _Ref365631125 \h </w:instrText>
      </w:r>
      <w:r>
        <w:fldChar w:fldCharType="separate"/>
      </w:r>
      <w:r w:rsidR="003E0F65">
        <w:t xml:space="preserve">Figure </w:t>
      </w:r>
      <w:r w:rsidR="003E0F65">
        <w:rPr>
          <w:noProof/>
        </w:rPr>
        <w:t>6</w:t>
      </w:r>
      <w:r w:rsidR="003E0F65">
        <w:noBreakHyphen/>
      </w:r>
      <w:r w:rsidR="003E0F65">
        <w:rPr>
          <w:noProof/>
        </w:rPr>
        <w:t>10</w:t>
      </w:r>
      <w:r>
        <w:fldChar w:fldCharType="end"/>
      </w:r>
      <w:r w:rsidR="00FE7579">
        <w:t xml:space="preserve"> shows that road sector greenhouse gas emissions are less than the central policy scenario.</w:t>
      </w:r>
    </w:p>
    <w:p w:rsidR="00EF2664" w:rsidRDefault="00EF2664" w:rsidP="00707997"/>
    <w:p w:rsidR="00EF2664" w:rsidRDefault="00EF2664" w:rsidP="00707997">
      <w:r w:rsidRPr="00EF2664">
        <w:rPr>
          <w:noProof/>
        </w:rPr>
        <w:lastRenderedPageBreak/>
        <w:drawing>
          <wp:inline distT="0" distB="0" distL="0" distR="0">
            <wp:extent cx="6120130" cy="3994871"/>
            <wp:effectExtent l="19050" t="0" r="0" b="0"/>
            <wp:docPr id="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srcRect/>
                    <a:stretch>
                      <a:fillRect/>
                    </a:stretch>
                  </pic:blipFill>
                  <pic:spPr bwMode="auto">
                    <a:xfrm>
                      <a:off x="0" y="0"/>
                      <a:ext cx="6120130" cy="3994871"/>
                    </a:xfrm>
                    <a:prstGeom prst="rect">
                      <a:avLst/>
                    </a:prstGeom>
                    <a:noFill/>
                    <a:ln w="9525">
                      <a:noFill/>
                      <a:miter lim="800000"/>
                      <a:headEnd/>
                      <a:tailEnd/>
                    </a:ln>
                  </pic:spPr>
                </pic:pic>
              </a:graphicData>
            </a:graphic>
          </wp:inline>
        </w:drawing>
      </w:r>
    </w:p>
    <w:p w:rsidR="00EF2664" w:rsidRDefault="00EF2664" w:rsidP="00EF2664">
      <w:pPr>
        <w:pStyle w:val="Caption"/>
      </w:pPr>
      <w:bookmarkStart w:id="154" w:name="_Ref365631125"/>
      <w:bookmarkStart w:id="155" w:name="_Toc366227372"/>
      <w:r>
        <w:t xml:space="preserve">Figure </w:t>
      </w:r>
      <w:r w:rsidR="00C14EF7">
        <w:fldChar w:fldCharType="begin"/>
      </w:r>
      <w:r w:rsidR="005B253B">
        <w:instrText xml:space="preserve"> STYLEREF 1 \s </w:instrText>
      </w:r>
      <w:r w:rsidR="00C14EF7">
        <w:fldChar w:fldCharType="separate"/>
      </w:r>
      <w:r w:rsidR="003E0F65">
        <w:rPr>
          <w:noProof/>
        </w:rPr>
        <w:t>6</w:t>
      </w:r>
      <w:r w:rsidR="00C14EF7">
        <w:fldChar w:fldCharType="end"/>
      </w:r>
      <w:r w:rsidR="005B253B">
        <w:noBreakHyphen/>
      </w:r>
      <w:r w:rsidR="00C14EF7">
        <w:fldChar w:fldCharType="begin"/>
      </w:r>
      <w:r w:rsidR="005B253B">
        <w:instrText xml:space="preserve"> SEQ Figure \* ARABIC \s 1 </w:instrText>
      </w:r>
      <w:r w:rsidR="00C14EF7">
        <w:fldChar w:fldCharType="separate"/>
      </w:r>
      <w:r w:rsidR="003E0F65">
        <w:rPr>
          <w:noProof/>
        </w:rPr>
        <w:t>10</w:t>
      </w:r>
      <w:r w:rsidR="00C14EF7">
        <w:fldChar w:fldCharType="end"/>
      </w:r>
      <w:bookmarkEnd w:id="154"/>
      <w:r>
        <w:t>: Road sector greenhouse gas emissions, central policy scenario and high oil prices sensitivity</w:t>
      </w:r>
      <w:bookmarkEnd w:id="155"/>
    </w:p>
    <w:p w:rsidR="00C150D6" w:rsidRDefault="00DE7C1E" w:rsidP="00DE7C1E">
      <w:pPr>
        <w:spacing w:after="0"/>
      </w:pPr>
      <w:r>
        <w:br w:type="page"/>
      </w:r>
    </w:p>
    <w:p w:rsidR="00C150D6" w:rsidRDefault="00C150D6" w:rsidP="00C150D6">
      <w:pPr>
        <w:pStyle w:val="Heading2"/>
      </w:pPr>
      <w:bookmarkStart w:id="156" w:name="_Toc366228046"/>
      <w:r>
        <w:lastRenderedPageBreak/>
        <w:t>Low oil prices</w:t>
      </w:r>
      <w:bookmarkEnd w:id="156"/>
    </w:p>
    <w:p w:rsidR="00B23FAD" w:rsidRDefault="00B23FAD" w:rsidP="00B23FAD">
      <w:r>
        <w:t>This sensitivity case is to gauge the impact of low oil prices on the central policy scenario. Under the central policy scenario, oil prices are $134/bbl in 2020, $190/bbl in 2035, and are assumed to remain constant at that level to 2050. Under the low oil price sensi</w:t>
      </w:r>
      <w:r w:rsidR="00AE050D">
        <w:t>tivity case, oil prices are $125/bbl in 2020, $160</w:t>
      </w:r>
      <w:r>
        <w:t>/bbl in 2035, and are assumed to remain constant at that level to 2050. All prices are in 2011/12 Australian dollar terms.</w:t>
      </w:r>
    </w:p>
    <w:p w:rsidR="002961DB" w:rsidRDefault="000A5E5A" w:rsidP="002961DB">
      <w:r>
        <w:t xml:space="preserve">This sensitivity is the obverse of the high oil prices sensitivity case </w:t>
      </w:r>
      <w:r w:rsidR="002961DB">
        <w:t xml:space="preserve">with less incentive to take up hybrid and plug-in hybrid vehicles. </w:t>
      </w:r>
      <w:r w:rsidR="005B253B">
        <w:t xml:space="preserve">. Figure 6-11 shows the projected vehicle kilometres travelled by engine type. </w:t>
      </w:r>
      <w:r w:rsidR="00C14EF7">
        <w:fldChar w:fldCharType="begin"/>
      </w:r>
      <w:r w:rsidR="00607AEA">
        <w:instrText xml:space="preserve"> REF _Ref365636075 \h </w:instrText>
      </w:r>
      <w:r w:rsidR="00C14EF7">
        <w:fldChar w:fldCharType="separate"/>
      </w:r>
      <w:r w:rsidR="003E0F65">
        <w:t xml:space="preserve">Figure </w:t>
      </w:r>
      <w:r w:rsidR="003E0F65">
        <w:rPr>
          <w:noProof/>
        </w:rPr>
        <w:t>6</w:t>
      </w:r>
      <w:r w:rsidR="003E0F65">
        <w:noBreakHyphen/>
      </w:r>
      <w:r w:rsidR="003E0F65">
        <w:rPr>
          <w:noProof/>
        </w:rPr>
        <w:t>12</w:t>
      </w:r>
      <w:r w:rsidR="00C14EF7">
        <w:fldChar w:fldCharType="end"/>
      </w:r>
      <w:r w:rsidR="00607AEA">
        <w:t xml:space="preserve"> shows a smaller</w:t>
      </w:r>
      <w:r w:rsidR="002961DB">
        <w:t xml:space="preserve"> market share for alternati</w:t>
      </w:r>
      <w:r w:rsidR="00607AEA">
        <w:t>ve drivetrain vehicles.</w:t>
      </w:r>
    </w:p>
    <w:p w:rsidR="005B253B" w:rsidRDefault="006F2A4C" w:rsidP="002961DB">
      <w:r>
        <w:rPr>
          <w:noProof/>
        </w:rPr>
        <w:drawing>
          <wp:inline distT="0" distB="0" distL="0" distR="0">
            <wp:extent cx="5395595" cy="3527889"/>
            <wp:effectExtent l="0" t="0" r="0"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srcRect/>
                    <a:stretch>
                      <a:fillRect/>
                    </a:stretch>
                  </pic:blipFill>
                  <pic:spPr bwMode="auto">
                    <a:xfrm>
                      <a:off x="0" y="0"/>
                      <a:ext cx="5395595" cy="3527889"/>
                    </a:xfrm>
                    <a:prstGeom prst="rect">
                      <a:avLst/>
                    </a:prstGeom>
                    <a:noFill/>
                    <a:ln w="9525">
                      <a:noFill/>
                      <a:miter lim="800000"/>
                      <a:headEnd/>
                      <a:tailEnd/>
                    </a:ln>
                  </pic:spPr>
                </pic:pic>
              </a:graphicData>
            </a:graphic>
          </wp:inline>
        </w:drawing>
      </w:r>
    </w:p>
    <w:p w:rsidR="006F2A4C" w:rsidRDefault="005B253B">
      <w:pPr>
        <w:pStyle w:val="Caption"/>
      </w:pPr>
      <w:bookmarkStart w:id="157" w:name="_Toc366227373"/>
      <w:r>
        <w:lastRenderedPageBreak/>
        <w:t xml:space="preserve">Figure </w:t>
      </w:r>
      <w:r w:rsidR="00C14EF7">
        <w:fldChar w:fldCharType="begin"/>
      </w:r>
      <w:r>
        <w:instrText xml:space="preserve"> STYLEREF 1 \s </w:instrText>
      </w:r>
      <w:r w:rsidR="00C14EF7">
        <w:fldChar w:fldCharType="separate"/>
      </w:r>
      <w:r w:rsidR="003E0F65">
        <w:rPr>
          <w:noProof/>
        </w:rPr>
        <w:t>6</w:t>
      </w:r>
      <w:r w:rsidR="00C14EF7">
        <w:fldChar w:fldCharType="end"/>
      </w:r>
      <w:r>
        <w:noBreakHyphen/>
      </w:r>
      <w:r w:rsidR="00C14EF7">
        <w:fldChar w:fldCharType="begin"/>
      </w:r>
      <w:r>
        <w:instrText xml:space="preserve"> SEQ Figure \* ARABIC \s 1 </w:instrText>
      </w:r>
      <w:r w:rsidR="00C14EF7">
        <w:fldChar w:fldCharType="separate"/>
      </w:r>
      <w:r w:rsidR="003E0F65">
        <w:rPr>
          <w:noProof/>
        </w:rPr>
        <w:t>11</w:t>
      </w:r>
      <w:r w:rsidR="00C14EF7">
        <w:fldChar w:fldCharType="end"/>
      </w:r>
      <w:r>
        <w:t>: Engine type in road kilometres travelled, low oil prices sensitivity</w:t>
      </w:r>
      <w:bookmarkEnd w:id="157"/>
    </w:p>
    <w:p w:rsidR="002961DB" w:rsidRDefault="002961DB" w:rsidP="002961DB">
      <w:r w:rsidRPr="002961DB">
        <w:rPr>
          <w:noProof/>
        </w:rPr>
        <w:drawing>
          <wp:inline distT="0" distB="0" distL="0" distR="0">
            <wp:extent cx="6120130" cy="3994871"/>
            <wp:effectExtent l="19050" t="0" r="0" b="0"/>
            <wp:docPr id="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srcRect/>
                    <a:stretch>
                      <a:fillRect/>
                    </a:stretch>
                  </pic:blipFill>
                  <pic:spPr bwMode="auto">
                    <a:xfrm>
                      <a:off x="0" y="0"/>
                      <a:ext cx="6120130" cy="3994871"/>
                    </a:xfrm>
                    <a:prstGeom prst="rect">
                      <a:avLst/>
                    </a:prstGeom>
                    <a:noFill/>
                    <a:ln w="9525">
                      <a:noFill/>
                      <a:miter lim="800000"/>
                      <a:headEnd/>
                      <a:tailEnd/>
                    </a:ln>
                  </pic:spPr>
                </pic:pic>
              </a:graphicData>
            </a:graphic>
          </wp:inline>
        </w:drawing>
      </w:r>
    </w:p>
    <w:p w:rsidR="002961DB" w:rsidRDefault="002961DB" w:rsidP="002961DB">
      <w:pPr>
        <w:pStyle w:val="Caption"/>
      </w:pPr>
      <w:bookmarkStart w:id="158" w:name="_Ref365636075"/>
      <w:bookmarkStart w:id="159" w:name="_Toc366227374"/>
      <w:r>
        <w:t xml:space="preserve">Figure </w:t>
      </w:r>
      <w:r w:rsidR="00C14EF7">
        <w:fldChar w:fldCharType="begin"/>
      </w:r>
      <w:r w:rsidR="005B253B">
        <w:instrText xml:space="preserve"> STYLEREF 1 \s </w:instrText>
      </w:r>
      <w:r w:rsidR="00C14EF7">
        <w:fldChar w:fldCharType="separate"/>
      </w:r>
      <w:r w:rsidR="003E0F65">
        <w:rPr>
          <w:noProof/>
        </w:rPr>
        <w:t>6</w:t>
      </w:r>
      <w:r w:rsidR="00C14EF7">
        <w:fldChar w:fldCharType="end"/>
      </w:r>
      <w:r w:rsidR="005B253B">
        <w:noBreakHyphen/>
      </w:r>
      <w:r w:rsidR="00C14EF7">
        <w:fldChar w:fldCharType="begin"/>
      </w:r>
      <w:r w:rsidR="005B253B">
        <w:instrText xml:space="preserve"> SEQ Figure \* ARABIC \s 1 </w:instrText>
      </w:r>
      <w:r w:rsidR="00C14EF7">
        <w:fldChar w:fldCharType="separate"/>
      </w:r>
      <w:r w:rsidR="003E0F65">
        <w:rPr>
          <w:noProof/>
        </w:rPr>
        <w:t>12</w:t>
      </w:r>
      <w:r w:rsidR="00C14EF7">
        <w:fldChar w:fldCharType="end"/>
      </w:r>
      <w:bookmarkEnd w:id="158"/>
      <w:r>
        <w:t>: Comparison of alternative drivetrain vehicle uptake, central policy scenario and low oil prices sensitivity</w:t>
      </w:r>
      <w:bookmarkEnd w:id="159"/>
    </w:p>
    <w:p w:rsidR="00E74271" w:rsidRDefault="00607AEA" w:rsidP="00707997">
      <w:r>
        <w:t>The impact of more fuel use due to less uptake of alternative drivetrain vehicles is that road sector greenhouse gas emissions are around 14.5 per cent (12 Mt) higher compared to the central policy scenario by 2050, similar to the no carbon price on heavy road vehicles sensitivity case (</w:t>
      </w:r>
      <w:r w:rsidR="00C14EF7">
        <w:fldChar w:fldCharType="begin"/>
      </w:r>
      <w:r>
        <w:instrText xml:space="preserve"> REF _Ref365636277 \h </w:instrText>
      </w:r>
      <w:r w:rsidR="00C14EF7">
        <w:fldChar w:fldCharType="separate"/>
      </w:r>
      <w:r w:rsidR="003E0F65">
        <w:t xml:space="preserve">Figure </w:t>
      </w:r>
      <w:r w:rsidR="003E0F65">
        <w:rPr>
          <w:noProof/>
        </w:rPr>
        <w:t>6</w:t>
      </w:r>
      <w:r w:rsidR="003E0F65">
        <w:noBreakHyphen/>
      </w:r>
      <w:r w:rsidR="003E0F65">
        <w:rPr>
          <w:noProof/>
        </w:rPr>
        <w:t>13</w:t>
      </w:r>
      <w:r w:rsidR="00C14EF7">
        <w:fldChar w:fldCharType="end"/>
      </w:r>
      <w:r>
        <w:t>).</w:t>
      </w:r>
    </w:p>
    <w:p w:rsidR="00E74271" w:rsidRDefault="002961DB" w:rsidP="00707997">
      <w:r w:rsidRPr="002961DB">
        <w:rPr>
          <w:noProof/>
        </w:rPr>
        <w:lastRenderedPageBreak/>
        <w:drawing>
          <wp:inline distT="0" distB="0" distL="0" distR="0">
            <wp:extent cx="6120130" cy="3994871"/>
            <wp:effectExtent l="19050" t="0" r="0" b="0"/>
            <wp:docPr id="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a:srcRect/>
                    <a:stretch>
                      <a:fillRect/>
                    </a:stretch>
                  </pic:blipFill>
                  <pic:spPr bwMode="auto">
                    <a:xfrm>
                      <a:off x="0" y="0"/>
                      <a:ext cx="6120130" cy="3994871"/>
                    </a:xfrm>
                    <a:prstGeom prst="rect">
                      <a:avLst/>
                    </a:prstGeom>
                    <a:noFill/>
                    <a:ln w="9525">
                      <a:noFill/>
                      <a:miter lim="800000"/>
                      <a:headEnd/>
                      <a:tailEnd/>
                    </a:ln>
                  </pic:spPr>
                </pic:pic>
              </a:graphicData>
            </a:graphic>
          </wp:inline>
        </w:drawing>
      </w:r>
    </w:p>
    <w:p w:rsidR="002961DB" w:rsidRDefault="002961DB" w:rsidP="002961DB">
      <w:pPr>
        <w:pStyle w:val="Caption"/>
      </w:pPr>
      <w:bookmarkStart w:id="160" w:name="_Ref365636277"/>
      <w:bookmarkStart w:id="161" w:name="_Toc366227375"/>
      <w:r>
        <w:t xml:space="preserve">Figure </w:t>
      </w:r>
      <w:r w:rsidR="00C14EF7">
        <w:fldChar w:fldCharType="begin"/>
      </w:r>
      <w:r w:rsidR="005B253B">
        <w:instrText xml:space="preserve"> STYLEREF 1 \s </w:instrText>
      </w:r>
      <w:r w:rsidR="00C14EF7">
        <w:fldChar w:fldCharType="separate"/>
      </w:r>
      <w:r w:rsidR="003E0F65">
        <w:rPr>
          <w:noProof/>
        </w:rPr>
        <w:t>6</w:t>
      </w:r>
      <w:r w:rsidR="00C14EF7">
        <w:fldChar w:fldCharType="end"/>
      </w:r>
      <w:r w:rsidR="005B253B">
        <w:noBreakHyphen/>
      </w:r>
      <w:r w:rsidR="00C14EF7">
        <w:fldChar w:fldCharType="begin"/>
      </w:r>
      <w:r w:rsidR="005B253B">
        <w:instrText xml:space="preserve"> SEQ Figure \* ARABIC \s 1 </w:instrText>
      </w:r>
      <w:r w:rsidR="00C14EF7">
        <w:fldChar w:fldCharType="separate"/>
      </w:r>
      <w:r w:rsidR="003E0F65">
        <w:rPr>
          <w:noProof/>
        </w:rPr>
        <w:t>13</w:t>
      </w:r>
      <w:r w:rsidR="00C14EF7">
        <w:fldChar w:fldCharType="end"/>
      </w:r>
      <w:bookmarkEnd w:id="160"/>
      <w:r>
        <w:t>: Road sector greenhouse gas emissions, central policy scenario and low oil prices sensitivity</w:t>
      </w:r>
      <w:bookmarkEnd w:id="161"/>
    </w:p>
    <w:p w:rsidR="00E74271" w:rsidRDefault="00E74271" w:rsidP="00707997"/>
    <w:p w:rsidR="007E68F0" w:rsidRDefault="007E68F0" w:rsidP="004E50E4">
      <w:pPr>
        <w:spacing w:after="0"/>
      </w:pPr>
      <w:r>
        <w:br w:type="page"/>
      </w:r>
    </w:p>
    <w:p w:rsidR="00E74271" w:rsidRDefault="007E68F0" w:rsidP="007E68F0">
      <w:pPr>
        <w:pStyle w:val="Heading2"/>
      </w:pPr>
      <w:bookmarkStart w:id="162" w:name="_Toc366228047"/>
      <w:r>
        <w:lastRenderedPageBreak/>
        <w:t>E</w:t>
      </w:r>
      <w:r w:rsidR="00AB35C1">
        <w:t>mission trading</w:t>
      </w:r>
      <w:r>
        <w:t xml:space="preserve"> </w:t>
      </w:r>
      <w:r w:rsidR="00AB35C1">
        <w:t xml:space="preserve">scheme </w:t>
      </w:r>
      <w:r>
        <w:t>2015/16</w:t>
      </w:r>
      <w:bookmarkEnd w:id="162"/>
    </w:p>
    <w:p w:rsidR="00707997" w:rsidRDefault="006B1621" w:rsidP="00707997">
      <w:r>
        <w:t>E</w:t>
      </w:r>
      <w:r w:rsidR="00AB35C1">
        <w:t xml:space="preserve">mission trading scheme </w:t>
      </w:r>
      <w:r>
        <w:t>201</w:t>
      </w:r>
      <w:r w:rsidR="00DE065A">
        <w:t>5</w:t>
      </w:r>
      <w:r>
        <w:t xml:space="preserve">/16 </w:t>
      </w:r>
      <w:r w:rsidR="00AB35C1">
        <w:t xml:space="preserve">(ETS 2015/16) </w:t>
      </w:r>
      <w:r>
        <w:t xml:space="preserve">is a </w:t>
      </w:r>
      <w:r w:rsidR="007E68F0">
        <w:t xml:space="preserve">sensitivity on the central policy scenario assuming that Australia adopts an emissions trading scheme in 2015/16 rather than in </w:t>
      </w:r>
      <w:r w:rsidR="00D76486">
        <w:t>2014</w:t>
      </w:r>
      <w:r w:rsidR="007E68F0">
        <w:t>/</w:t>
      </w:r>
      <w:r w:rsidR="00D76486">
        <w:t xml:space="preserve">15 </w:t>
      </w:r>
      <w:r w:rsidR="007E68F0">
        <w:t xml:space="preserve">as under the central policy scenario. </w:t>
      </w:r>
    </w:p>
    <w:p w:rsidR="007E68F0" w:rsidRDefault="006B1621" w:rsidP="00707997">
      <w:pPr>
        <w:rPr>
          <w:color w:val="auto"/>
        </w:rPr>
      </w:pPr>
      <w:r>
        <w:t xml:space="preserve">The discussion of results will focus on the road transport sector </w:t>
      </w:r>
      <w:r w:rsidRPr="006B1621">
        <w:rPr>
          <w:color w:val="auto"/>
        </w:rPr>
        <w:t>as activity levels were unchanged between scenarios with the carbon price change not significant enough to deliver any technology impact or fuel switching in the non-road transport sector.</w:t>
      </w:r>
    </w:p>
    <w:p w:rsidR="00DF6625" w:rsidRDefault="0028410A" w:rsidP="00707997">
      <w:pPr>
        <w:rPr>
          <w:color w:val="auto"/>
        </w:rPr>
      </w:pPr>
      <w:r>
        <w:rPr>
          <w:color w:val="auto"/>
        </w:rPr>
        <w:t>The impact of this two-</w:t>
      </w:r>
      <w:r w:rsidR="00751FA0">
        <w:rPr>
          <w:color w:val="auto"/>
        </w:rPr>
        <w:t xml:space="preserve">year delay in transition to an ETS is largely indistinguishable from the central policy scenario. The </w:t>
      </w:r>
      <w:r>
        <w:rPr>
          <w:color w:val="auto"/>
        </w:rPr>
        <w:t>comparison</w:t>
      </w:r>
      <w:r w:rsidR="004E50E4">
        <w:rPr>
          <w:color w:val="auto"/>
        </w:rPr>
        <w:t xml:space="preserve"> in road sector greenhouse gas emissions is shown in </w:t>
      </w:r>
      <w:r w:rsidR="00C14EF7">
        <w:rPr>
          <w:color w:val="auto"/>
        </w:rPr>
        <w:fldChar w:fldCharType="begin"/>
      </w:r>
      <w:r w:rsidR="004E50E4">
        <w:rPr>
          <w:color w:val="auto"/>
        </w:rPr>
        <w:instrText xml:space="preserve"> REF _Ref365637572 \h </w:instrText>
      </w:r>
      <w:r w:rsidR="00C14EF7">
        <w:rPr>
          <w:color w:val="auto"/>
        </w:rPr>
      </w:r>
      <w:r w:rsidR="00C14EF7">
        <w:rPr>
          <w:color w:val="auto"/>
        </w:rPr>
        <w:fldChar w:fldCharType="separate"/>
      </w:r>
      <w:r w:rsidR="003E0F65">
        <w:t xml:space="preserve">Figure </w:t>
      </w:r>
      <w:r w:rsidR="003E0F65">
        <w:rPr>
          <w:noProof/>
        </w:rPr>
        <w:t>6</w:t>
      </w:r>
      <w:r w:rsidR="003E0F65">
        <w:noBreakHyphen/>
      </w:r>
      <w:r w:rsidR="003E0F65">
        <w:rPr>
          <w:noProof/>
        </w:rPr>
        <w:t>14</w:t>
      </w:r>
      <w:r w:rsidR="00C14EF7">
        <w:rPr>
          <w:color w:val="auto"/>
        </w:rPr>
        <w:fldChar w:fldCharType="end"/>
      </w:r>
      <w:r w:rsidR="004E50E4">
        <w:rPr>
          <w:color w:val="auto"/>
        </w:rPr>
        <w:t>.</w:t>
      </w:r>
    </w:p>
    <w:p w:rsidR="00F86761" w:rsidRDefault="006F2A4C" w:rsidP="00707997">
      <w:r>
        <w:rPr>
          <w:noProof/>
        </w:rPr>
        <w:drawing>
          <wp:inline distT="0" distB="0" distL="0" distR="0">
            <wp:extent cx="5395595" cy="3527889"/>
            <wp:effectExtent l="0" t="0" r="0" b="0"/>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a:srcRect/>
                    <a:stretch>
                      <a:fillRect/>
                    </a:stretch>
                  </pic:blipFill>
                  <pic:spPr bwMode="auto">
                    <a:xfrm>
                      <a:off x="0" y="0"/>
                      <a:ext cx="5395595" cy="3527889"/>
                    </a:xfrm>
                    <a:prstGeom prst="rect">
                      <a:avLst/>
                    </a:prstGeom>
                    <a:noFill/>
                    <a:ln w="9525">
                      <a:noFill/>
                      <a:miter lim="800000"/>
                      <a:headEnd/>
                      <a:tailEnd/>
                    </a:ln>
                  </pic:spPr>
                </pic:pic>
              </a:graphicData>
            </a:graphic>
          </wp:inline>
        </w:drawing>
      </w:r>
    </w:p>
    <w:p w:rsidR="00F86761" w:rsidRDefault="00F86761" w:rsidP="00F86761">
      <w:pPr>
        <w:pStyle w:val="Caption"/>
      </w:pPr>
      <w:bookmarkStart w:id="163" w:name="_Ref365637572"/>
      <w:bookmarkStart w:id="164" w:name="_Toc366227376"/>
      <w:r>
        <w:t xml:space="preserve">Figure </w:t>
      </w:r>
      <w:r w:rsidR="00C14EF7">
        <w:fldChar w:fldCharType="begin"/>
      </w:r>
      <w:r w:rsidR="005B253B">
        <w:instrText xml:space="preserve"> STYLEREF 1 \s </w:instrText>
      </w:r>
      <w:r w:rsidR="00C14EF7">
        <w:fldChar w:fldCharType="separate"/>
      </w:r>
      <w:r w:rsidR="003E0F65">
        <w:rPr>
          <w:noProof/>
        </w:rPr>
        <w:t>6</w:t>
      </w:r>
      <w:r w:rsidR="00C14EF7">
        <w:fldChar w:fldCharType="end"/>
      </w:r>
      <w:r w:rsidR="005B253B">
        <w:noBreakHyphen/>
      </w:r>
      <w:r w:rsidR="00C14EF7">
        <w:fldChar w:fldCharType="begin"/>
      </w:r>
      <w:r w:rsidR="005B253B">
        <w:instrText xml:space="preserve"> SEQ Figure \* ARABIC \s 1 </w:instrText>
      </w:r>
      <w:r w:rsidR="00C14EF7">
        <w:fldChar w:fldCharType="separate"/>
      </w:r>
      <w:r w:rsidR="003E0F65">
        <w:rPr>
          <w:noProof/>
        </w:rPr>
        <w:t>14</w:t>
      </w:r>
      <w:r w:rsidR="00C14EF7">
        <w:fldChar w:fldCharType="end"/>
      </w:r>
      <w:bookmarkEnd w:id="163"/>
      <w:r>
        <w:t>: Road sector greenhouse gas emissions, central policy scenario and ETS2015/16 sensitivity</w:t>
      </w:r>
      <w:bookmarkEnd w:id="164"/>
    </w:p>
    <w:p w:rsidR="004E50E4" w:rsidRPr="004E50E4" w:rsidRDefault="004E50E4" w:rsidP="004E50E4"/>
    <w:p w:rsidR="00A943B2" w:rsidRPr="00AF37BE" w:rsidRDefault="00DE065A" w:rsidP="00A03AFA">
      <w:pPr>
        <w:spacing w:after="0"/>
      </w:pPr>
      <w:r>
        <w:br w:type="page"/>
      </w:r>
    </w:p>
    <w:p w:rsidR="00A943B2" w:rsidRDefault="00A943B2" w:rsidP="001D36DC">
      <w:pPr>
        <w:pStyle w:val="Heading1notnumbered"/>
      </w:pPr>
      <w:bookmarkStart w:id="165" w:name="_Toc315694433"/>
      <w:bookmarkStart w:id="166" w:name="_Toc366228048"/>
      <w:r>
        <w:lastRenderedPageBreak/>
        <w:t>References</w:t>
      </w:r>
      <w:bookmarkEnd w:id="165"/>
      <w:bookmarkEnd w:id="166"/>
    </w:p>
    <w:p w:rsidR="00667897" w:rsidRDefault="00667897" w:rsidP="00A67332">
      <w:pPr>
        <w:pStyle w:val="Reference"/>
      </w:pPr>
      <w:r>
        <w:t xml:space="preserve">ABS 2007, Survey of Motor Vehicle Use: Data Cubes, Australia, 12 months ended 31 October2007, Catalogue No. 9210.0.55.001, Australian Bureau of Statistics, Canberra ACT, </w:t>
      </w:r>
      <w:hyperlink r:id="rId64" w:history="1">
        <w:r w:rsidRPr="001A5436">
          <w:rPr>
            <w:rStyle w:val="Hyperlink"/>
          </w:rPr>
          <w:t>http://abs.gov.au/AUSSTATS/abs@.nsf/DetailsPage/9210.0.55.00112%20months%20ended%2031%20October%202007?OpenDocument</w:t>
        </w:r>
      </w:hyperlink>
    </w:p>
    <w:p w:rsidR="00667897" w:rsidRDefault="00667897" w:rsidP="00A67332">
      <w:pPr>
        <w:pStyle w:val="Reference"/>
      </w:pPr>
      <w:r>
        <w:t>ABS 2009</w:t>
      </w:r>
      <w:r w:rsidRPr="00C13629">
        <w:t xml:space="preserve">, </w:t>
      </w:r>
      <w:r w:rsidRPr="00C13629">
        <w:rPr>
          <w:i/>
        </w:rPr>
        <w:t>Environmental Issues: Waste Management and Transport Use, Catalogue No. 4602.0.55.002</w:t>
      </w:r>
      <w:r w:rsidRPr="00C13629">
        <w:t xml:space="preserve">, Australian Bureau of Statistics, Canberra, ACT, </w:t>
      </w:r>
      <w:hyperlink r:id="rId65" w:history="1">
        <w:r w:rsidRPr="001A5436">
          <w:rPr>
            <w:rStyle w:val="Hyperlink"/>
          </w:rPr>
          <w:t>http://www.abs.gov.au/ausstats/abs@.nsf/mf/4602.0.55.002</w:t>
        </w:r>
      </w:hyperlink>
    </w:p>
    <w:p w:rsidR="00667897" w:rsidRDefault="00667897" w:rsidP="00A67332">
      <w:pPr>
        <w:pStyle w:val="Reference"/>
      </w:pPr>
      <w:r>
        <w:t xml:space="preserve">ANL 2009, ‘VISION 2009 AEO Base Case’, Transportation Technology R&amp;D Centre, Argonne National Laboratory, </w:t>
      </w:r>
      <w:hyperlink r:id="rId66" w:history="1">
        <w:r w:rsidRPr="001A5436">
          <w:rPr>
            <w:rStyle w:val="Hyperlink"/>
          </w:rPr>
          <w:t>http://www.transportation.anl.gov/modeling_simulation/VISION/</w:t>
        </w:r>
      </w:hyperlink>
    </w:p>
    <w:p w:rsidR="00667897" w:rsidRDefault="00B476A6" w:rsidP="00A67332">
      <w:pPr>
        <w:pStyle w:val="Reference"/>
      </w:pPr>
      <w:r>
        <w:t>BITRE and CSIRO 2008</w:t>
      </w:r>
      <w:r w:rsidR="00667897">
        <w:t xml:space="preserve">, </w:t>
      </w:r>
      <w:r w:rsidR="00667897" w:rsidRPr="00B476A6">
        <w:rPr>
          <w:i/>
        </w:rPr>
        <w:t xml:space="preserve">Modelling the Road Transport Sector: Appendix to Australia’s Low Pollution Future - </w:t>
      </w:r>
      <w:proofErr w:type="gramStart"/>
      <w:r w:rsidR="00667897" w:rsidRPr="00B476A6">
        <w:rPr>
          <w:i/>
        </w:rPr>
        <w:t>The</w:t>
      </w:r>
      <w:proofErr w:type="gramEnd"/>
      <w:r w:rsidR="00667897" w:rsidRPr="00B476A6">
        <w:rPr>
          <w:i/>
        </w:rPr>
        <w:t xml:space="preserve"> Economics of Climate Change Mitigation</w:t>
      </w:r>
      <w:r w:rsidR="00667897">
        <w:t xml:space="preserve">, </w:t>
      </w:r>
      <w:hyperlink r:id="rId67" w:history="1">
        <w:r w:rsidRPr="001A5436">
          <w:rPr>
            <w:rStyle w:val="Hyperlink"/>
          </w:rPr>
          <w:t>http://www.treasury.gov.au/lowpollutionfuture/consultants_report/downloads/Modelling_the_road_transport_sector.pdf</w:t>
        </w:r>
      </w:hyperlink>
    </w:p>
    <w:p w:rsidR="003357EB" w:rsidRDefault="003357EB" w:rsidP="00A67332">
      <w:pPr>
        <w:pStyle w:val="Reference"/>
      </w:pPr>
      <w:r w:rsidRPr="003357EB">
        <w:t xml:space="preserve">Bureau of Infrastructure, Transport and Regional Economics 2010, Long-term projections of Australian transport emissions:  base case 2010, report for Department of Climate Change and Energy Efficiency , Canberra,  ACT, viewed 23 November 2011, &lt; </w:t>
      </w:r>
      <w:hyperlink r:id="rId68" w:history="1">
        <w:r w:rsidRPr="008A54C6">
          <w:rPr>
            <w:rStyle w:val="Hyperlink"/>
          </w:rPr>
          <w:t>http://www.climatechange.gov.au/publications/projections/~/media/publications/projections/bitre-transport-modelling-pdf.pdf</w:t>
        </w:r>
      </w:hyperlink>
      <w:r w:rsidRPr="003357EB">
        <w:t>&gt;</w:t>
      </w:r>
    </w:p>
    <w:p w:rsidR="00667897" w:rsidRDefault="00667897" w:rsidP="00A67332">
      <w:pPr>
        <w:pStyle w:val="Reference"/>
      </w:pPr>
      <w:r>
        <w:t xml:space="preserve">Bureau of Resource and Energy Economics 2013, </w:t>
      </w:r>
      <w:r w:rsidR="009C4587">
        <w:t xml:space="preserve">Table F: </w:t>
      </w:r>
      <w:r w:rsidR="009C4587" w:rsidRPr="009C4587">
        <w:t>Australian energy consumption, by industry and fuel type</w:t>
      </w:r>
      <w:r w:rsidR="009C4587">
        <w:t>,</w:t>
      </w:r>
      <w:r w:rsidR="00766D8A" w:rsidRPr="00766D8A">
        <w:t xml:space="preserve"> </w:t>
      </w:r>
      <w:hyperlink r:id="rId69" w:history="1">
        <w:r w:rsidR="00766D8A" w:rsidRPr="008A54C6">
          <w:rPr>
            <w:rStyle w:val="Hyperlink"/>
          </w:rPr>
          <w:t>http://www.bree.gov.au/publications/aes-2013.html</w:t>
        </w:r>
      </w:hyperlink>
    </w:p>
    <w:p w:rsidR="00667897" w:rsidRDefault="00667897" w:rsidP="00A67332">
      <w:pPr>
        <w:pStyle w:val="Reference"/>
      </w:pPr>
      <w:r>
        <w:t>Chen</w:t>
      </w:r>
      <w:r w:rsidR="00B476A6">
        <w:t xml:space="preserve">g, J.Y. and Graham, P. W. 2009, </w:t>
      </w:r>
      <w:r>
        <w:t>Model</w:t>
      </w:r>
      <w:r w:rsidR="00B476A6">
        <w:t>ling hydrogen fuel distribution</w:t>
      </w:r>
      <w:r>
        <w:t xml:space="preserve">, in Anderssen, R.S., R.D. Braddock and L.T.H. Newham (eds), 18th World IMACS Congress and MODSIM09 International Congress on Modelling and Simulation. Modelling and Simulation Society of Australia and New Zealand and International Association for Mathematics and Computers in Simulation, July 2009, pp. 1979-1985 [ISBN: 978-0-9758400-7-8]. </w:t>
      </w:r>
      <w:hyperlink r:id="rId70" w:history="1">
        <w:r w:rsidR="00492C39" w:rsidRPr="001A5436">
          <w:rPr>
            <w:rStyle w:val="Hyperlink"/>
          </w:rPr>
          <w:t>http://www.mssanz.org.au/modsim09/A3/cheng_j.pdf</w:t>
        </w:r>
      </w:hyperlink>
    </w:p>
    <w:p w:rsidR="00A67332" w:rsidRDefault="00A67332" w:rsidP="00A67332">
      <w:pPr>
        <w:pStyle w:val="Reference"/>
      </w:pPr>
      <w:r w:rsidRPr="00A67332">
        <w:t>Cosgrove, D., Gargett, D., Evans, C. and Graham, P. 2011, Greenhouse gas abatement potential of the Australian transport sector: T</w:t>
      </w:r>
      <w:r>
        <w:t xml:space="preserve">echnical report, CSIRO, </w:t>
      </w:r>
      <w:hyperlink r:id="rId71" w:history="1">
        <w:r w:rsidRPr="008A54C6">
          <w:rPr>
            <w:rStyle w:val="Hyperlink"/>
          </w:rPr>
          <w:t>http://www.csiro.au/~/media/CSIROau/Flagships/Energy%20Transformed%20Flagship/ALCTF%20technical%20report.pdf</w:t>
        </w:r>
      </w:hyperlink>
    </w:p>
    <w:p w:rsidR="00B06E83" w:rsidRPr="00F444B7" w:rsidRDefault="00A65ED0" w:rsidP="00A67332">
      <w:pPr>
        <w:pStyle w:val="Reference"/>
      </w:pPr>
      <w:proofErr w:type="gramStart"/>
      <w:r>
        <w:t>Dixit ,</w:t>
      </w:r>
      <w:proofErr w:type="gramEnd"/>
      <w:r>
        <w:t xml:space="preserve"> A. and Pindyck, R. 1994, </w:t>
      </w:r>
      <w:r w:rsidR="00E33D3B" w:rsidRPr="00E33D3B">
        <w:rPr>
          <w:i/>
        </w:rPr>
        <w:t>Investment under uncertainty</w:t>
      </w:r>
      <w:r>
        <w:t>, Princeton University Press</w:t>
      </w:r>
      <w:r w:rsidR="00605C58">
        <w:t>.</w:t>
      </w:r>
    </w:p>
    <w:p w:rsidR="00667897" w:rsidRDefault="00667897" w:rsidP="00A67332">
      <w:pPr>
        <w:pStyle w:val="Reference"/>
      </w:pPr>
      <w:r>
        <w:t xml:space="preserve">Electrification Coalition 2009, Electrification Roadmap: Revolutionizing Transportation and Achieving Energy Security, Washington DC: Electrification Coalition, November, </w:t>
      </w:r>
      <w:hyperlink r:id="rId72" w:history="1">
        <w:r w:rsidRPr="001A5436">
          <w:rPr>
            <w:rStyle w:val="Hyperlink"/>
          </w:rPr>
          <w:t>http://www.electrificationcoalition.org/electrification-roadmap.php</w:t>
        </w:r>
      </w:hyperlink>
    </w:p>
    <w:p w:rsidR="00667897" w:rsidRDefault="00667897" w:rsidP="00A67332">
      <w:pPr>
        <w:pStyle w:val="Reference"/>
      </w:pPr>
      <w:r>
        <w:t>Farine, D., O’Connell, D., Raison, J., May, B., O'Connor, M., Crawford, D., Herr, A., Taylor, J., Jovanovic, T., Campbell, P., Dunlop, M., Rodriguez, L., Poole, M., Brai</w:t>
      </w:r>
      <w:r w:rsidR="00492C39">
        <w:t>d, A. and Kriticos, D. 2011</w:t>
      </w:r>
      <w:r>
        <w:t xml:space="preserve">, An assessment of biomass for bioelectricity and biofuel, and for greenhouse gas emission reduction in Australia, </w:t>
      </w:r>
      <w:r w:rsidRPr="00667897">
        <w:rPr>
          <w:i/>
        </w:rPr>
        <w:t>GCB Bioenergy</w:t>
      </w:r>
      <w:r>
        <w:t>, doi: 10.1111/j.1757-1707.2011.01115.x</w:t>
      </w:r>
    </w:p>
    <w:p w:rsidR="00667897" w:rsidRDefault="00667897" w:rsidP="00A67332">
      <w:pPr>
        <w:pStyle w:val="Reference"/>
      </w:pPr>
      <w:r>
        <w:lastRenderedPageBreak/>
        <w:t>FCAI 2011</w:t>
      </w:r>
      <w:r w:rsidRPr="00F82E23">
        <w:t xml:space="preserve">, ‘Vehicle sales’, Federal Chamber of Automotive Sales, </w:t>
      </w:r>
      <w:hyperlink r:id="rId73" w:history="1">
        <w:r w:rsidRPr="001A5436">
          <w:rPr>
            <w:rStyle w:val="Hyperlink"/>
          </w:rPr>
          <w:t>http://www.fcai.com.au/sales</w:t>
        </w:r>
      </w:hyperlink>
    </w:p>
    <w:p w:rsidR="004237E1" w:rsidRDefault="004237E1" w:rsidP="00A67332">
      <w:pPr>
        <w:pStyle w:val="Reference"/>
      </w:pPr>
      <w:r>
        <w:t>G</w:t>
      </w:r>
      <w:r w:rsidR="00A67332">
        <w:t>argett, D. 2010</w:t>
      </w:r>
      <w:r>
        <w:t xml:space="preserve"> Petrol prices in Australia</w:t>
      </w:r>
      <w:r w:rsidR="00A67332">
        <w:t xml:space="preserve">, Australasian Transport Research Forum 2010 Proceedings 29 September – 1 October 2010, Canberra, </w:t>
      </w:r>
      <w:hyperlink r:id="rId74" w:history="1">
        <w:r w:rsidR="00A67332" w:rsidRPr="008A54C6">
          <w:rPr>
            <w:rStyle w:val="Hyperlink"/>
          </w:rPr>
          <w:t>http://www.bitre.gov.au/publications/2010/files/sp_005_Gargett.pdf</w:t>
        </w:r>
      </w:hyperlink>
    </w:p>
    <w:p w:rsidR="00667897" w:rsidRDefault="00667897" w:rsidP="00A67332">
      <w:pPr>
        <w:pStyle w:val="Reference"/>
      </w:pPr>
      <w:r w:rsidRPr="008A1341">
        <w:t>Graham, P. Reedman, L., Rodriguez, L., Raison, J., Braid, A., Haritos, V., Brinsmead, T., Hayward, J., Tayl</w:t>
      </w:r>
      <w:r>
        <w:t>or, T., and O’Connell, D. 2011</w:t>
      </w:r>
      <w:r w:rsidRPr="008A1341">
        <w:t xml:space="preserve"> </w:t>
      </w:r>
      <w:r w:rsidRPr="008A1341">
        <w:rPr>
          <w:i/>
        </w:rPr>
        <w:t>Sustainable Aviation Fuels Road Map: Data assumptions and modelling</w:t>
      </w:r>
      <w:r w:rsidRPr="008A1341">
        <w:t xml:space="preserve">, </w:t>
      </w:r>
      <w:hyperlink r:id="rId75" w:history="1">
        <w:r w:rsidRPr="001A5436">
          <w:rPr>
            <w:rStyle w:val="Hyperlink"/>
          </w:rPr>
          <w:t>http://www.csiro.au/resources/Sustainable-Aviation-Fuels.html</w:t>
        </w:r>
      </w:hyperlink>
    </w:p>
    <w:p w:rsidR="00CF67C7" w:rsidRDefault="00CF67C7" w:rsidP="00A67332">
      <w:pPr>
        <w:pStyle w:val="Reference"/>
      </w:pPr>
      <w:r w:rsidRPr="00CF67C7">
        <w:t>Graham,</w:t>
      </w:r>
      <w:r>
        <w:t xml:space="preserve"> P., Reedman, L. and Poldy, F. 2008</w:t>
      </w:r>
      <w:r w:rsidRPr="00CF67C7">
        <w:t xml:space="preserve">, Modelling of the Future of Transport Fuels in Australia: A Report to the Future Fuels Forum, CSIRO Report No. ET/IR 1046, June, </w:t>
      </w:r>
      <w:hyperlink r:id="rId76" w:history="1">
        <w:r w:rsidRPr="001A5436">
          <w:rPr>
            <w:rStyle w:val="Hyperlink"/>
          </w:rPr>
          <w:t>http://www.csiro.au/resources/FuelForThoughtModelling.html</w:t>
        </w:r>
      </w:hyperlink>
    </w:p>
    <w:p w:rsidR="00667897" w:rsidRDefault="00667897" w:rsidP="00A67332">
      <w:pPr>
        <w:pStyle w:val="Reference"/>
      </w:pPr>
      <w:r>
        <w:t xml:space="preserve">Graham, P.W. and Smart, A. 2011, </w:t>
      </w:r>
      <w:r w:rsidRPr="00C13629">
        <w:rPr>
          <w:i/>
        </w:rPr>
        <w:t>Possible Futures: Scenario Modelling of Australian Alternative Transport Fuels to 2050</w:t>
      </w:r>
      <w:r>
        <w:t xml:space="preserve">, </w:t>
      </w:r>
      <w:proofErr w:type="gramStart"/>
      <w:r>
        <w:t>A</w:t>
      </w:r>
      <w:proofErr w:type="gramEnd"/>
      <w:r>
        <w:t xml:space="preserve"> report for the Department of Resources, Energy and Tourism.</w:t>
      </w:r>
    </w:p>
    <w:p w:rsidR="00667897" w:rsidRDefault="00667897" w:rsidP="00A67332">
      <w:pPr>
        <w:pStyle w:val="Reference"/>
      </w:pPr>
      <w:r>
        <w:t xml:space="preserve">Honda 2011 Home energy station, </w:t>
      </w:r>
      <w:hyperlink r:id="rId77" w:history="1">
        <w:r w:rsidRPr="001A5436">
          <w:rPr>
            <w:rStyle w:val="Hyperlink"/>
          </w:rPr>
          <w:t>http://automobiles.honda.com/fcx-clarity/home-energy-station.aspx</w:t>
        </w:r>
      </w:hyperlink>
    </w:p>
    <w:p w:rsidR="00667897" w:rsidRDefault="00667897" w:rsidP="00A67332">
      <w:pPr>
        <w:pStyle w:val="Reference"/>
      </w:pPr>
      <w:r>
        <w:t xml:space="preserve">IEA 2008, World Energy Outlook 2008, Paris: IEA, November, </w:t>
      </w:r>
      <w:hyperlink r:id="rId78" w:history="1">
        <w:r w:rsidRPr="001A5436">
          <w:rPr>
            <w:rStyle w:val="Hyperlink"/>
          </w:rPr>
          <w:t>http://www.worldenergyoutlook.org/</w:t>
        </w:r>
      </w:hyperlink>
    </w:p>
    <w:p w:rsidR="00667897" w:rsidRDefault="00667897" w:rsidP="00A67332">
      <w:pPr>
        <w:pStyle w:val="Reference"/>
      </w:pPr>
      <w:r>
        <w:t xml:space="preserve">IEA 2009, Transport, Energy and CO2: Moving Toward Sustainability, Paris: IEA, October, </w:t>
      </w:r>
      <w:hyperlink r:id="rId79" w:history="1">
        <w:r w:rsidRPr="001A5436">
          <w:rPr>
            <w:rStyle w:val="Hyperlink"/>
          </w:rPr>
          <w:t>http://www.iea.org/publications/free_new_Desc.asp?PUBS_ID=2133</w:t>
        </w:r>
      </w:hyperlink>
    </w:p>
    <w:p w:rsidR="00667897" w:rsidRDefault="00667897" w:rsidP="00A67332">
      <w:pPr>
        <w:pStyle w:val="Reference"/>
      </w:pPr>
      <w:r>
        <w:t>King Review 2007</w:t>
      </w:r>
      <w:r w:rsidRPr="008A1341">
        <w:t xml:space="preserve">, </w:t>
      </w:r>
      <w:r w:rsidRPr="008A1341">
        <w:rPr>
          <w:i/>
        </w:rPr>
        <w:t>The King Review of Low-carbon Cars Part I: The Potential for CO2 Reduction</w:t>
      </w:r>
      <w:r w:rsidRPr="008A1341">
        <w:t xml:space="preserve">, </w:t>
      </w:r>
      <w:hyperlink r:id="rId80" w:history="1">
        <w:r w:rsidRPr="001A5436">
          <w:rPr>
            <w:rStyle w:val="Hyperlink"/>
          </w:rPr>
          <w:t>http://webarchive.nationalarchives.gov.uk/+/http://www.hm-treasury.gov.uk/d/pbr_csr07_king840.pdf</w:t>
        </w:r>
      </w:hyperlink>
    </w:p>
    <w:p w:rsidR="00766D8A" w:rsidRDefault="00B476A6" w:rsidP="00766D8A">
      <w:pPr>
        <w:pStyle w:val="Reference"/>
      </w:pPr>
      <w:r>
        <w:t>Mantripragada</w:t>
      </w:r>
      <w:r w:rsidR="00766D8A">
        <w:t xml:space="preserve">, H. and Rubin, E. 2011, Techno-economic evaluation of coal-to-liquids (CTL) plants with carbon capture and </w:t>
      </w:r>
      <w:proofErr w:type="gramStart"/>
      <w:r w:rsidR="00766D8A">
        <w:t>sequestration ,</w:t>
      </w:r>
      <w:proofErr w:type="gramEnd"/>
      <w:r w:rsidR="00766D8A">
        <w:t xml:space="preserve"> </w:t>
      </w:r>
      <w:r w:rsidR="00766D8A" w:rsidRPr="00766D8A">
        <w:rPr>
          <w:i/>
        </w:rPr>
        <w:t>Energy Policy</w:t>
      </w:r>
      <w:r w:rsidR="00766D8A">
        <w:t xml:space="preserve">, no. </w:t>
      </w:r>
      <w:r w:rsidR="00766D8A" w:rsidRPr="00766D8A">
        <w:t>39</w:t>
      </w:r>
      <w:r w:rsidR="00766D8A">
        <w:t xml:space="preserve">, pp. </w:t>
      </w:r>
      <w:r w:rsidR="00766D8A" w:rsidRPr="00766D8A">
        <w:t>2808–2816</w:t>
      </w:r>
      <w:r w:rsidR="00766D8A">
        <w:t>.</w:t>
      </w:r>
    </w:p>
    <w:p w:rsidR="00B476A6" w:rsidRDefault="00766D8A" w:rsidP="00766D8A">
      <w:pPr>
        <w:pStyle w:val="Reference"/>
      </w:pPr>
      <w:proofErr w:type="gramStart"/>
      <w:r>
        <w:t>capture</w:t>
      </w:r>
      <w:proofErr w:type="gramEnd"/>
      <w:r>
        <w:t xml:space="preserve"> andsequestration</w:t>
      </w:r>
    </w:p>
    <w:p w:rsidR="00667897" w:rsidRDefault="00667897" w:rsidP="00A67332">
      <w:pPr>
        <w:pStyle w:val="Reference"/>
      </w:pPr>
      <w:r>
        <w:t xml:space="preserve">Mintz, M., Gillette, J., Elgowainy, A., Paster, M., Ringer, M., Brown, D. and Li, J. 2006, Hydrogen Delivery Scenario Analysis Model for Hydrogen Distribution Options, </w:t>
      </w:r>
      <w:r w:rsidRPr="00667897">
        <w:rPr>
          <w:i/>
        </w:rPr>
        <w:t>Transportation Research Record: Journal of the Transportation Research Board</w:t>
      </w:r>
      <w:r>
        <w:t>, Vol. 1983, pp.114-120.</w:t>
      </w:r>
    </w:p>
    <w:p w:rsidR="00667897" w:rsidRDefault="00667897" w:rsidP="00A67332">
      <w:pPr>
        <w:pStyle w:val="Reference"/>
      </w:pPr>
      <w:r>
        <w:t xml:space="preserve">NRMA 2011, NRMA Motoring + Services 2011 Private Whole of Life Fixed Vehicle Operating Costs, NRMA, </w:t>
      </w:r>
      <w:hyperlink r:id="rId81" w:history="1">
        <w:r w:rsidRPr="001A5436">
          <w:rPr>
            <w:rStyle w:val="Hyperlink"/>
          </w:rPr>
          <w:t>http://www.mynrma.com.au/images/Motoring-PDF/Private-Costs-Report-Summary.pdf</w:t>
        </w:r>
      </w:hyperlink>
    </w:p>
    <w:p w:rsidR="00667897" w:rsidRDefault="00667897" w:rsidP="00A67332">
      <w:pPr>
        <w:pStyle w:val="Reference"/>
      </w:pPr>
      <w:r>
        <w:t xml:space="preserve">O’Connell, D., Batten, D., O’Connor, M., May, B., Raison, J., Keating, B., Beer, T., Braid, A., Haritos, V., Begley, C., Poole, M., Poulton, P., Graham, S., Dunlop, M., Grant, T., Campbell, P. and Lamb, D. 2007, Biofuels in Australia – Issues and Prospects: A Report for the Rural Industries Research and Development Corporation, Canberra: RIRDC, May, </w:t>
      </w:r>
      <w:hyperlink r:id="rId82" w:history="1">
        <w:r w:rsidRPr="001A5436">
          <w:rPr>
            <w:rStyle w:val="Hyperlink"/>
          </w:rPr>
          <w:t>https://rirdc.infoservices.com.au/downloads/07-071.pdf</w:t>
        </w:r>
      </w:hyperlink>
    </w:p>
    <w:p w:rsidR="00667897" w:rsidRDefault="00667897" w:rsidP="00A67332">
      <w:pPr>
        <w:pStyle w:val="Reference"/>
      </w:pPr>
      <w:r>
        <w:t xml:space="preserve">Pigneri A. 2005, Hydrogen Strategies: An Integrated Resource Planning Analysis for the Development of Hydrogen Energy Infrastructures, Proceedings of the International Hydrogen Energy Congress and Exhibition IHEC 2005, Istanbul, Turkey, 13-15 July 2005, </w:t>
      </w:r>
      <w:hyperlink r:id="rId83" w:history="1">
        <w:r w:rsidRPr="001A5436">
          <w:rPr>
            <w:rStyle w:val="Hyperlink"/>
          </w:rPr>
          <w:t>http://pubs.its.ucdavis.edu/publication_detail.php?id=123</w:t>
        </w:r>
      </w:hyperlink>
    </w:p>
    <w:p w:rsidR="008A1341" w:rsidRDefault="00667897" w:rsidP="00A67332">
      <w:pPr>
        <w:pStyle w:val="Reference"/>
      </w:pPr>
      <w:r>
        <w:lastRenderedPageBreak/>
        <w:t xml:space="preserve">Yang, C. and Ogden, J. 2007, </w:t>
      </w:r>
      <w:proofErr w:type="gramStart"/>
      <w:r>
        <w:t>Determining</w:t>
      </w:r>
      <w:proofErr w:type="gramEnd"/>
      <w:r>
        <w:t xml:space="preserve"> the lowest-cost hydrogen delivery mode, </w:t>
      </w:r>
      <w:r w:rsidRPr="00667897">
        <w:rPr>
          <w:i/>
        </w:rPr>
        <w:t>International Journal of Hydrogen Energy</w:t>
      </w:r>
      <w:r>
        <w:t>, 32(2), 268-286.</w:t>
      </w:r>
    </w:p>
    <w:p w:rsidR="000D142D" w:rsidRDefault="000D142D" w:rsidP="006B4FE4">
      <w:pPr>
        <w:pStyle w:val="Heading1notnumbered"/>
      </w:pPr>
      <w:bookmarkStart w:id="167" w:name="_Toc366228049"/>
      <w:r w:rsidRPr="006B4FE4">
        <w:lastRenderedPageBreak/>
        <w:t>Appendix A</w:t>
      </w:r>
      <w:r w:rsidR="00300092" w:rsidRPr="006B4FE4">
        <w:t>: Additional details of ESM road</w:t>
      </w:r>
      <w:r w:rsidR="00300092">
        <w:t xml:space="preserve"> transport sector modelling and assumptions</w:t>
      </w:r>
      <w:bookmarkEnd w:id="167"/>
    </w:p>
    <w:p w:rsidR="00300092" w:rsidRDefault="00300092" w:rsidP="00300092">
      <w:r>
        <w:t xml:space="preserve">The appendix provides additional detail about ESM modelling of the road transport sector. </w:t>
      </w:r>
    </w:p>
    <w:p w:rsidR="00300092" w:rsidRPr="001C1260" w:rsidRDefault="00300092" w:rsidP="00E96318">
      <w:pPr>
        <w:pStyle w:val="AppendixHeading2"/>
      </w:pPr>
      <w:bookmarkStart w:id="168" w:name="_Toc308600726"/>
      <w:r>
        <w:t>ESM model</w:t>
      </w:r>
      <w:r w:rsidRPr="001C1260">
        <w:t xml:space="preserve"> structure</w:t>
      </w:r>
      <w:bookmarkEnd w:id="168"/>
    </w:p>
    <w:p w:rsidR="00300092" w:rsidRPr="00FD00DA" w:rsidRDefault="00300092" w:rsidP="00300092">
      <w:pPr>
        <w:pStyle w:val="BodyText"/>
      </w:pPr>
      <w:r>
        <w:t>Energy Sector Model (</w:t>
      </w:r>
      <w:r w:rsidRPr="00843B30">
        <w:t>ESM</w:t>
      </w:r>
      <w:r>
        <w:t>)</w:t>
      </w:r>
      <w:r w:rsidRPr="00843B30">
        <w:t xml:space="preserve"> is solved as a linear program where the </w:t>
      </w:r>
      <w:proofErr w:type="gramStart"/>
      <w:r w:rsidRPr="00843B30">
        <w:t>objective function</w:t>
      </w:r>
      <w:proofErr w:type="gramEnd"/>
      <w:r w:rsidRPr="00843B30">
        <w:t xml:space="preserve"> to </w:t>
      </w:r>
      <w:r>
        <w:t xml:space="preserve">be </w:t>
      </w:r>
      <w:r w:rsidRPr="00843B30">
        <w:t>maximise</w:t>
      </w:r>
      <w:r>
        <w:t>d is</w:t>
      </w:r>
      <w:r w:rsidRPr="00843B30">
        <w:t xml:space="preserve"> welfare</w:t>
      </w:r>
      <w:r>
        <w:t>,</w:t>
      </w:r>
      <w:r w:rsidRPr="00843B30">
        <w:t xml:space="preserve"> which is </w:t>
      </w:r>
      <w:r>
        <w:t xml:space="preserve">calculated as </w:t>
      </w:r>
      <w:r w:rsidRPr="00843B30">
        <w:t xml:space="preserve">the discounted sum of consumer and producer surplus over time. The sum of consumer and producer surplus </w:t>
      </w:r>
      <w:r>
        <w:t>is</w:t>
      </w:r>
      <w:r w:rsidRPr="00843B30">
        <w:t xml:space="preserve"> calculated as the integral of the demand functions minus the integral of the supply functions</w:t>
      </w:r>
      <w:r>
        <w:t>, each of</w:t>
      </w:r>
      <w:r w:rsidRPr="00843B30">
        <w:t xml:space="preserve"> which are disaggregated into many components across the electricity and transport markets. The objective function is maximised subject to constraints </w:t>
      </w:r>
      <w:r>
        <w:t>that</w:t>
      </w:r>
      <w:r w:rsidRPr="00843B30">
        <w:t xml:space="preserve"> control </w:t>
      </w:r>
      <w:r>
        <w:t xml:space="preserve">for </w:t>
      </w:r>
      <w:r w:rsidRPr="00843B30">
        <w:t xml:space="preserve">the physical limitations of fuel resources, the stock of electricity plant and </w:t>
      </w:r>
      <w:r>
        <w:t xml:space="preserve">transport </w:t>
      </w:r>
      <w:r w:rsidRPr="00843B30">
        <w:t>vehicles, greenhouse gas emissions as prescribed by legislation, and various market and technology specific constraints such as the need to maintain a minimum number of peaking plants to meet rapid changes in the electricity load.</w:t>
      </w:r>
      <w:r>
        <w:t xml:space="preserve"> </w:t>
      </w:r>
      <w:r w:rsidRPr="00FD00DA">
        <w:t>The main components of ESM include:</w:t>
      </w:r>
    </w:p>
    <w:p w:rsidR="00300092" w:rsidRDefault="00300092" w:rsidP="00E5753E">
      <w:pPr>
        <w:pStyle w:val="BodyText"/>
        <w:numPr>
          <w:ilvl w:val="0"/>
          <w:numId w:val="45"/>
        </w:numPr>
        <w:tabs>
          <w:tab w:val="left" w:pos="1080"/>
          <w:tab w:val="left" w:pos="1800"/>
          <w:tab w:val="left" w:pos="2520"/>
          <w:tab w:val="left" w:pos="3240"/>
          <w:tab w:val="left" w:pos="3960"/>
          <w:tab w:val="left" w:pos="4680"/>
          <w:tab w:val="left" w:pos="5400"/>
          <w:tab w:val="left" w:pos="6120"/>
          <w:tab w:val="left" w:pos="6840"/>
          <w:tab w:val="left" w:pos="7560"/>
          <w:tab w:val="left" w:pos="8280"/>
        </w:tabs>
        <w:spacing w:after="240" w:line="280" w:lineRule="atLeast"/>
      </w:pPr>
      <w:r w:rsidRPr="00FD00DA">
        <w:t>Coverage of all States and the Northern Territory (Australian Capital Territory is modelled as part of NSW)</w:t>
      </w:r>
    </w:p>
    <w:p w:rsidR="00300092" w:rsidRDefault="00FE0313" w:rsidP="00E5753E">
      <w:pPr>
        <w:pStyle w:val="BodyText"/>
        <w:numPr>
          <w:ilvl w:val="0"/>
          <w:numId w:val="45"/>
        </w:numPr>
        <w:tabs>
          <w:tab w:val="left" w:pos="1080"/>
          <w:tab w:val="left" w:pos="1800"/>
          <w:tab w:val="left" w:pos="2520"/>
          <w:tab w:val="left" w:pos="3240"/>
          <w:tab w:val="left" w:pos="3960"/>
          <w:tab w:val="left" w:pos="4680"/>
          <w:tab w:val="left" w:pos="5400"/>
          <w:tab w:val="left" w:pos="6120"/>
          <w:tab w:val="left" w:pos="6840"/>
          <w:tab w:val="left" w:pos="7560"/>
          <w:tab w:val="left" w:pos="8280"/>
        </w:tabs>
        <w:spacing w:after="240" w:line="280" w:lineRule="atLeast"/>
      </w:pPr>
      <w:r>
        <w:t>Ten</w:t>
      </w:r>
      <w:r w:rsidR="00300092" w:rsidRPr="00FD00DA">
        <w:t xml:space="preserve"> road transport modes: </w:t>
      </w:r>
      <w:r>
        <w:t xml:space="preserve">motorcycles, </w:t>
      </w:r>
      <w:r w:rsidR="00300092">
        <w:t>small</w:t>
      </w:r>
      <w:r w:rsidR="00300092" w:rsidRPr="00FD00DA">
        <w:t xml:space="preserve">, medium and </w:t>
      </w:r>
      <w:r w:rsidR="00300092">
        <w:t>large</w:t>
      </w:r>
      <w:r w:rsidR="00300092" w:rsidRPr="00FD00DA">
        <w:t xml:space="preserve"> passenger cars; </w:t>
      </w:r>
      <w:r w:rsidR="00300092">
        <w:t>small</w:t>
      </w:r>
      <w:r w:rsidR="00300092" w:rsidRPr="00FD00DA">
        <w:t xml:space="preserve">, medium and </w:t>
      </w:r>
      <w:r w:rsidR="00300092">
        <w:t>large</w:t>
      </w:r>
      <w:r w:rsidR="00300092" w:rsidRPr="00FD00DA">
        <w:t xml:space="preserve"> commercial vehicles; rigid trucks; articulated trucks and buses</w:t>
      </w:r>
    </w:p>
    <w:p w:rsidR="00300092" w:rsidRDefault="00300092" w:rsidP="00E5753E">
      <w:pPr>
        <w:pStyle w:val="BodyText"/>
        <w:numPr>
          <w:ilvl w:val="0"/>
          <w:numId w:val="45"/>
        </w:numPr>
        <w:tabs>
          <w:tab w:val="left" w:pos="1080"/>
          <w:tab w:val="left" w:pos="1800"/>
          <w:tab w:val="left" w:pos="2520"/>
          <w:tab w:val="left" w:pos="3240"/>
          <w:tab w:val="left" w:pos="3960"/>
          <w:tab w:val="left" w:pos="4680"/>
          <w:tab w:val="left" w:pos="5400"/>
          <w:tab w:val="left" w:pos="6120"/>
          <w:tab w:val="left" w:pos="6840"/>
          <w:tab w:val="left" w:pos="7560"/>
          <w:tab w:val="left" w:pos="8280"/>
        </w:tabs>
        <w:spacing w:after="240" w:line="280" w:lineRule="atLeast"/>
      </w:pPr>
      <w:r w:rsidRPr="00FD00DA">
        <w:t>F</w:t>
      </w:r>
      <w:r>
        <w:t>ive</w:t>
      </w:r>
      <w:r w:rsidRPr="00FD00DA">
        <w:t xml:space="preserve"> engine types: internal combustion; hybrid electric/internal combustion; hybrid plug-in electric/internal combustion</w:t>
      </w:r>
      <w:r>
        <w:t>;</w:t>
      </w:r>
      <w:r w:rsidRPr="00FD00DA">
        <w:t xml:space="preserve"> fully electric</w:t>
      </w:r>
      <w:r>
        <w:t xml:space="preserve"> and fuel cell</w:t>
      </w:r>
    </w:p>
    <w:p w:rsidR="00300092" w:rsidRDefault="00300092" w:rsidP="00E5753E">
      <w:pPr>
        <w:pStyle w:val="BodyText"/>
        <w:numPr>
          <w:ilvl w:val="0"/>
          <w:numId w:val="45"/>
        </w:numPr>
        <w:tabs>
          <w:tab w:val="left" w:pos="1080"/>
          <w:tab w:val="left" w:pos="1800"/>
          <w:tab w:val="left" w:pos="2520"/>
          <w:tab w:val="left" w:pos="3240"/>
          <w:tab w:val="left" w:pos="3960"/>
          <w:tab w:val="left" w:pos="4680"/>
          <w:tab w:val="left" w:pos="5400"/>
          <w:tab w:val="left" w:pos="6120"/>
          <w:tab w:val="left" w:pos="6840"/>
          <w:tab w:val="left" w:pos="7560"/>
          <w:tab w:val="left" w:pos="8280"/>
        </w:tabs>
        <w:spacing w:after="240" w:line="280" w:lineRule="atLeast"/>
      </w:pPr>
      <w:r>
        <w:t>Fourteen</w:t>
      </w:r>
      <w:r w:rsidRPr="00FD00DA">
        <w:t xml:space="preserve"> road transport fuels: petrol; diesel; liquefied petroleum gas (LPG); natural gas (compressed (CNG) or liquefied</w:t>
      </w:r>
      <w:r>
        <w:t xml:space="preserve"> </w:t>
      </w:r>
      <w:r w:rsidRPr="00FD00DA">
        <w:t xml:space="preserve">(LNG)); petrol with 10 percent ethanol blend; diesel with 20 percent biodiesel blend; ethanol and biodiesel at high concentrations; </w:t>
      </w:r>
      <w:r>
        <w:t xml:space="preserve">biomass </w:t>
      </w:r>
      <w:r w:rsidRPr="00FD00DA">
        <w:t>to liquids diesel;</w:t>
      </w:r>
      <w:r>
        <w:t xml:space="preserve"> </w:t>
      </w:r>
      <w:r w:rsidRPr="00FD00DA">
        <w:t>gas to liquids diesel; coal to liquids diesel with upstream CO</w:t>
      </w:r>
      <w:r w:rsidRPr="00FD00DA">
        <w:rPr>
          <w:vertAlign w:val="subscript"/>
        </w:rPr>
        <w:t>2</w:t>
      </w:r>
      <w:r w:rsidRPr="00FD00DA">
        <w:t xml:space="preserve"> capture; </w:t>
      </w:r>
      <w:r>
        <w:t>shale</w:t>
      </w:r>
      <w:r w:rsidRPr="00FD00DA">
        <w:t xml:space="preserve"> to liquids diesel with upstream CO</w:t>
      </w:r>
      <w:r w:rsidRPr="00FD00DA">
        <w:rPr>
          <w:vertAlign w:val="subscript"/>
        </w:rPr>
        <w:t>2</w:t>
      </w:r>
      <w:r w:rsidRPr="00FD00DA">
        <w:t xml:space="preserve"> capture</w:t>
      </w:r>
      <w:r>
        <w:t>,</w:t>
      </w:r>
      <w:r w:rsidRPr="00FD00DA">
        <w:t xml:space="preserve"> hydrogen (from renewables) and electricity</w:t>
      </w:r>
    </w:p>
    <w:p w:rsidR="00300092" w:rsidRDefault="00300092" w:rsidP="00E5753E">
      <w:pPr>
        <w:pStyle w:val="BodyText"/>
        <w:numPr>
          <w:ilvl w:val="0"/>
          <w:numId w:val="45"/>
        </w:numPr>
        <w:tabs>
          <w:tab w:val="left" w:pos="1080"/>
          <w:tab w:val="left" w:pos="1800"/>
          <w:tab w:val="left" w:pos="2520"/>
          <w:tab w:val="left" w:pos="3240"/>
          <w:tab w:val="left" w:pos="3960"/>
          <w:tab w:val="left" w:pos="4680"/>
          <w:tab w:val="left" w:pos="5400"/>
          <w:tab w:val="left" w:pos="6120"/>
          <w:tab w:val="left" w:pos="6840"/>
          <w:tab w:val="left" w:pos="7560"/>
          <w:tab w:val="left" w:pos="8280"/>
        </w:tabs>
        <w:spacing w:after="240" w:line="280" w:lineRule="atLeast"/>
      </w:pPr>
      <w:r w:rsidRPr="00FD00DA">
        <w:t>Seventeen centralised generation (CG) electricity plant types: black coal pulverised fuel; black coal integrated gasification combined cycle (IGCC); black coal with CO</w:t>
      </w:r>
      <w:r w:rsidRPr="00FD00DA">
        <w:rPr>
          <w:vertAlign w:val="subscript"/>
        </w:rPr>
        <w:t>2</w:t>
      </w:r>
      <w:r w:rsidRPr="00FD00DA">
        <w:t xml:space="preserve"> capture and sequestration (CCS) (</w:t>
      </w:r>
      <w:r w:rsidRPr="008812FE">
        <w:t>90 percent capture rate</w:t>
      </w:r>
      <w:r w:rsidRPr="00FD00DA">
        <w:t>); brown coal pulverised fuel; brown coal IGCC; brown coal with CCS (</w:t>
      </w:r>
      <w:r w:rsidRPr="008812FE">
        <w:t>90 percent capture rate</w:t>
      </w:r>
      <w:r w:rsidRPr="00FD00DA">
        <w:t>); natural gas combined cycle; natural gas peaking plant; natural gas with CCS (</w:t>
      </w:r>
      <w:r w:rsidRPr="008812FE">
        <w:t>90 percent capture rate</w:t>
      </w:r>
      <w:r w:rsidRPr="00FD00DA">
        <w:t>); biomass; hydro; wind; solar thermal; hot fractured rocks (geothermal)</w:t>
      </w:r>
      <w:r>
        <w:t>, wave, ocean current</w:t>
      </w:r>
      <w:r w:rsidRPr="00FD00DA">
        <w:t xml:space="preserve"> and nuclear</w:t>
      </w:r>
    </w:p>
    <w:p w:rsidR="00300092" w:rsidRDefault="00300092" w:rsidP="00E5753E">
      <w:pPr>
        <w:pStyle w:val="BodyText"/>
        <w:numPr>
          <w:ilvl w:val="0"/>
          <w:numId w:val="45"/>
        </w:numPr>
        <w:spacing w:after="240" w:line="280" w:lineRule="atLeast"/>
      </w:pPr>
      <w:r>
        <w:lastRenderedPageBreak/>
        <w:t>Seventeen</w:t>
      </w:r>
      <w:r w:rsidRPr="00FD00DA">
        <w:t xml:space="preserve"> distributed generation (DG) electricity plant types: internal combustion diesel; internal combustion gas; gas turbine; gas micro turbine; gas combined heat and power (CHP); gas micro turbine CHP; gas micro turbine </w:t>
      </w:r>
      <w:r>
        <w:t xml:space="preserve">with </w:t>
      </w:r>
      <w:r w:rsidRPr="00FD00DA">
        <w:t xml:space="preserve">combined </w:t>
      </w:r>
      <w:r>
        <w:t xml:space="preserve">cooling, </w:t>
      </w:r>
      <w:r w:rsidRPr="00FD00DA">
        <w:t xml:space="preserve">heat and power </w:t>
      </w:r>
      <w:r>
        <w:t>(C</w:t>
      </w:r>
      <w:r w:rsidRPr="00FD00DA">
        <w:t>CHP</w:t>
      </w:r>
      <w:r>
        <w:t>)</w:t>
      </w:r>
      <w:r w:rsidRPr="00FD00DA">
        <w:t xml:space="preserve">; gas reciprocating engine </w:t>
      </w:r>
      <w:r>
        <w:t>C</w:t>
      </w:r>
      <w:r w:rsidRPr="00FD00DA">
        <w:t>CHP;</w:t>
      </w:r>
      <w:r>
        <w:t xml:space="preserve"> </w:t>
      </w:r>
      <w:r w:rsidRPr="00FD00DA">
        <w:t>gas reciprocating engine CHP; solar photovoltaic; biomass CHP; biomass</w:t>
      </w:r>
      <w:r>
        <w:t xml:space="preserve"> steam</w:t>
      </w:r>
      <w:r w:rsidRPr="00FD00DA">
        <w:t>; biogas reciprocating engine; wind;</w:t>
      </w:r>
      <w:r>
        <w:t xml:space="preserve"> </w:t>
      </w:r>
      <w:r w:rsidRPr="00FD00DA">
        <w:t>natural gas fuel cell and hydrogen fuel cell</w:t>
      </w:r>
    </w:p>
    <w:p w:rsidR="00300092" w:rsidRDefault="00300092" w:rsidP="00E5753E">
      <w:pPr>
        <w:pStyle w:val="BodyText"/>
        <w:numPr>
          <w:ilvl w:val="0"/>
          <w:numId w:val="45"/>
        </w:numPr>
        <w:tabs>
          <w:tab w:val="left" w:pos="1080"/>
          <w:tab w:val="left" w:pos="1800"/>
          <w:tab w:val="left" w:pos="2520"/>
          <w:tab w:val="left" w:pos="3240"/>
          <w:tab w:val="left" w:pos="3960"/>
          <w:tab w:val="left" w:pos="4680"/>
          <w:tab w:val="left" w:pos="5400"/>
          <w:tab w:val="left" w:pos="6120"/>
          <w:tab w:val="left" w:pos="6840"/>
          <w:tab w:val="left" w:pos="7560"/>
          <w:tab w:val="left" w:pos="8280"/>
        </w:tabs>
        <w:spacing w:after="240" w:line="280" w:lineRule="atLeast"/>
      </w:pPr>
      <w:r w:rsidRPr="00FD00DA">
        <w:t>Trade in electricity between National Electricity Market</w:t>
      </w:r>
      <w:r>
        <w:t xml:space="preserve"> (NEM)</w:t>
      </w:r>
      <w:r w:rsidRPr="00FD00DA">
        <w:t xml:space="preserve"> </w:t>
      </w:r>
      <w:r>
        <w:t>regions</w:t>
      </w:r>
    </w:p>
    <w:p w:rsidR="00300092" w:rsidRDefault="00300092" w:rsidP="00E5753E">
      <w:pPr>
        <w:pStyle w:val="BodyText"/>
        <w:numPr>
          <w:ilvl w:val="0"/>
          <w:numId w:val="45"/>
        </w:numPr>
        <w:tabs>
          <w:tab w:val="left" w:pos="1080"/>
          <w:tab w:val="left" w:pos="1800"/>
          <w:tab w:val="left" w:pos="2520"/>
          <w:tab w:val="left" w:pos="3240"/>
          <w:tab w:val="left" w:pos="3960"/>
          <w:tab w:val="left" w:pos="4680"/>
          <w:tab w:val="left" w:pos="5400"/>
          <w:tab w:val="left" w:pos="6120"/>
          <w:tab w:val="left" w:pos="6840"/>
          <w:tab w:val="left" w:pos="7560"/>
          <w:tab w:val="left" w:pos="8280"/>
        </w:tabs>
        <w:spacing w:after="240" w:line="280" w:lineRule="atLeast"/>
      </w:pPr>
      <w:r w:rsidRPr="00FD00DA">
        <w:t>All vehicles and centralised electricity generation plants are assigned a vintage based on when they were first purchased or installed in annual increments</w:t>
      </w:r>
    </w:p>
    <w:p w:rsidR="00300092" w:rsidRDefault="00300092" w:rsidP="00E5753E">
      <w:pPr>
        <w:pStyle w:val="BodyText"/>
        <w:numPr>
          <w:ilvl w:val="0"/>
          <w:numId w:val="45"/>
        </w:numPr>
        <w:tabs>
          <w:tab w:val="left" w:pos="1080"/>
          <w:tab w:val="left" w:pos="1800"/>
          <w:tab w:val="left" w:pos="2520"/>
          <w:tab w:val="left" w:pos="3240"/>
          <w:tab w:val="left" w:pos="3960"/>
          <w:tab w:val="left" w:pos="4680"/>
          <w:tab w:val="left" w:pos="5400"/>
          <w:tab w:val="left" w:pos="6120"/>
          <w:tab w:val="left" w:pos="6840"/>
          <w:tab w:val="left" w:pos="7560"/>
          <w:tab w:val="left" w:pos="8280"/>
        </w:tabs>
        <w:spacing w:after="240" w:line="280" w:lineRule="atLeast"/>
      </w:pPr>
      <w:r w:rsidRPr="00FD00DA">
        <w:t xml:space="preserve">Four electricity end use sectors: industrial; commercial </w:t>
      </w:r>
      <w:r>
        <w:t>&amp;</w:t>
      </w:r>
      <w:r w:rsidRPr="00FD00DA">
        <w:t xml:space="preserve"> services; rural and residential</w:t>
      </w:r>
      <w:r>
        <w:t>; and</w:t>
      </w:r>
    </w:p>
    <w:p w:rsidR="00300092" w:rsidRDefault="00300092" w:rsidP="00E5753E">
      <w:pPr>
        <w:pStyle w:val="BodyText"/>
        <w:numPr>
          <w:ilvl w:val="0"/>
          <w:numId w:val="45"/>
        </w:numPr>
        <w:tabs>
          <w:tab w:val="left" w:pos="1080"/>
          <w:tab w:val="left" w:pos="1800"/>
          <w:tab w:val="left" w:pos="2520"/>
          <w:tab w:val="left" w:pos="3240"/>
          <w:tab w:val="left" w:pos="3960"/>
          <w:tab w:val="left" w:pos="4680"/>
          <w:tab w:val="left" w:pos="5400"/>
          <w:tab w:val="left" w:pos="6120"/>
          <w:tab w:val="left" w:pos="6840"/>
          <w:tab w:val="left" w:pos="7560"/>
          <w:tab w:val="left" w:pos="8280"/>
        </w:tabs>
        <w:spacing w:after="240" w:line="280" w:lineRule="atLeast"/>
      </w:pPr>
      <w:r w:rsidRPr="00FD00DA">
        <w:t>Time is represented in annual frequency (2006, 2007</w:t>
      </w:r>
      <w:proofErr w:type="gramStart"/>
      <w:r w:rsidRPr="00FD00DA">
        <w:t>, …,</w:t>
      </w:r>
      <w:proofErr w:type="gramEnd"/>
      <w:r w:rsidRPr="00FD00DA">
        <w:t xml:space="preserve"> 2050).</w:t>
      </w:r>
    </w:p>
    <w:p w:rsidR="00300092" w:rsidRPr="00FD00DA" w:rsidRDefault="00300092" w:rsidP="00300092">
      <w:pPr>
        <w:pStyle w:val="BodyText"/>
      </w:pPr>
      <w:r w:rsidRPr="00FD00DA">
        <w:t>All technologies are assessed on the basis of their relative costs subject to constraints such as the turnover of capital stock, existing or new policies such as subsidies and taxes. The model aims to mirror real world investment decisions by simultaneously taking into account:</w:t>
      </w:r>
    </w:p>
    <w:p w:rsidR="00300092" w:rsidRDefault="00300092" w:rsidP="00E5753E">
      <w:pPr>
        <w:pStyle w:val="BodyText"/>
        <w:numPr>
          <w:ilvl w:val="0"/>
          <w:numId w:val="46"/>
        </w:numPr>
        <w:tabs>
          <w:tab w:val="left" w:pos="1080"/>
          <w:tab w:val="left" w:pos="1800"/>
          <w:tab w:val="left" w:pos="2520"/>
          <w:tab w:val="left" w:pos="3240"/>
          <w:tab w:val="left" w:pos="3960"/>
          <w:tab w:val="left" w:pos="4680"/>
          <w:tab w:val="left" w:pos="5400"/>
          <w:tab w:val="left" w:pos="6120"/>
          <w:tab w:val="left" w:pos="6840"/>
          <w:tab w:val="left" w:pos="7560"/>
          <w:tab w:val="left" w:pos="8280"/>
        </w:tabs>
        <w:spacing w:after="240" w:line="280" w:lineRule="atLeast"/>
      </w:pPr>
      <w:r w:rsidRPr="00FD00DA">
        <w:t>The requirement to earn a reasonable return on investment over the life of a plant or vehicle</w:t>
      </w:r>
    </w:p>
    <w:p w:rsidR="00300092" w:rsidRDefault="00300092" w:rsidP="00E5753E">
      <w:pPr>
        <w:pStyle w:val="BodyText"/>
        <w:numPr>
          <w:ilvl w:val="0"/>
          <w:numId w:val="46"/>
        </w:numPr>
        <w:tabs>
          <w:tab w:val="left" w:pos="1080"/>
          <w:tab w:val="left" w:pos="1800"/>
          <w:tab w:val="left" w:pos="2520"/>
          <w:tab w:val="left" w:pos="3240"/>
          <w:tab w:val="left" w:pos="3960"/>
          <w:tab w:val="left" w:pos="4680"/>
          <w:tab w:val="left" w:pos="5400"/>
          <w:tab w:val="left" w:pos="6120"/>
          <w:tab w:val="left" w:pos="6840"/>
          <w:tab w:val="left" w:pos="7560"/>
          <w:tab w:val="left" w:pos="8280"/>
        </w:tabs>
        <w:spacing w:after="240" w:line="280" w:lineRule="atLeast"/>
      </w:pPr>
      <w:r w:rsidRPr="00FD00DA">
        <w:t>That the actions of one investor or user affects the financial viability of all other investors or users simultaneously and dynamically</w:t>
      </w:r>
    </w:p>
    <w:p w:rsidR="00300092" w:rsidRDefault="00300092" w:rsidP="00E5753E">
      <w:pPr>
        <w:pStyle w:val="BodyText"/>
        <w:numPr>
          <w:ilvl w:val="0"/>
          <w:numId w:val="46"/>
        </w:numPr>
        <w:tabs>
          <w:tab w:val="left" w:pos="1080"/>
          <w:tab w:val="left" w:pos="1800"/>
          <w:tab w:val="left" w:pos="2520"/>
          <w:tab w:val="left" w:pos="3240"/>
          <w:tab w:val="left" w:pos="3960"/>
          <w:tab w:val="left" w:pos="4680"/>
          <w:tab w:val="left" w:pos="5400"/>
          <w:tab w:val="left" w:pos="6120"/>
          <w:tab w:val="left" w:pos="6840"/>
          <w:tab w:val="left" w:pos="7560"/>
          <w:tab w:val="left" w:pos="8280"/>
        </w:tabs>
        <w:spacing w:after="240" w:line="280" w:lineRule="atLeast"/>
      </w:pPr>
      <w:r w:rsidRPr="00FD00DA">
        <w:t>That consumers react to price signals</w:t>
      </w:r>
      <w:r>
        <w:t xml:space="preserve"> (price elastic demand)</w:t>
      </w:r>
    </w:p>
    <w:p w:rsidR="00300092" w:rsidRDefault="00300092" w:rsidP="00E5753E">
      <w:pPr>
        <w:pStyle w:val="BodyText"/>
        <w:numPr>
          <w:ilvl w:val="0"/>
          <w:numId w:val="46"/>
        </w:numPr>
        <w:tabs>
          <w:tab w:val="left" w:pos="1080"/>
          <w:tab w:val="left" w:pos="1800"/>
          <w:tab w:val="left" w:pos="2520"/>
          <w:tab w:val="left" w:pos="3240"/>
          <w:tab w:val="left" w:pos="3960"/>
          <w:tab w:val="left" w:pos="4680"/>
          <w:tab w:val="left" w:pos="5400"/>
          <w:tab w:val="left" w:pos="6120"/>
          <w:tab w:val="left" w:pos="6840"/>
          <w:tab w:val="left" w:pos="7560"/>
          <w:tab w:val="left" w:pos="8280"/>
        </w:tabs>
        <w:spacing w:after="240" w:line="280" w:lineRule="atLeast"/>
      </w:pPr>
      <w:r w:rsidRPr="00FD00DA">
        <w:t>That the consumption of energy resources by one user affects the price and availability of that resource for other users, and the overall cost of energy and transport services</w:t>
      </w:r>
      <w:r>
        <w:t>, and</w:t>
      </w:r>
    </w:p>
    <w:p w:rsidR="00300092" w:rsidRDefault="00300092" w:rsidP="00E5753E">
      <w:pPr>
        <w:pStyle w:val="BodyText"/>
        <w:numPr>
          <w:ilvl w:val="0"/>
          <w:numId w:val="46"/>
        </w:numPr>
        <w:tabs>
          <w:tab w:val="left" w:pos="1080"/>
          <w:tab w:val="left" w:pos="1800"/>
          <w:tab w:val="left" w:pos="2520"/>
          <w:tab w:val="left" w:pos="3240"/>
          <w:tab w:val="left" w:pos="3960"/>
          <w:tab w:val="left" w:pos="4680"/>
          <w:tab w:val="left" w:pos="5400"/>
          <w:tab w:val="left" w:pos="6120"/>
          <w:tab w:val="left" w:pos="6840"/>
          <w:tab w:val="left" w:pos="7560"/>
          <w:tab w:val="left" w:pos="8280"/>
        </w:tabs>
        <w:spacing w:after="240" w:line="280" w:lineRule="atLeast"/>
      </w:pPr>
      <w:r w:rsidRPr="00FD00DA">
        <w:t>Energy and transport market policies and regulations.</w:t>
      </w:r>
    </w:p>
    <w:p w:rsidR="00300092" w:rsidRPr="00FD00DA" w:rsidRDefault="00300092" w:rsidP="00300092">
      <w:pPr>
        <w:pStyle w:val="BodyText"/>
      </w:pPr>
      <w:r w:rsidRPr="00FD00DA">
        <w:t xml:space="preserve">The model </w:t>
      </w:r>
      <w:r>
        <w:t>projects</w:t>
      </w:r>
      <w:r w:rsidRPr="00FD00DA">
        <w:t xml:space="preserve"> uptake on the basis of cost competitiveness but at the same time takes into account constraints </w:t>
      </w:r>
      <w:r>
        <w:t>on</w:t>
      </w:r>
      <w:r w:rsidRPr="00FD00DA">
        <w:t xml:space="preserve"> the operation of energy and transport markets, current excise and mandated fuel mix legislation, GHG emission limits, existing plant and vehicle stock in each State, and lead times in the availability of new vehicles or plant. It does not take into account issues such as community acceptance of technologies but these can be controlled by imposing various scenario assumptions which constrain the solution to user provided limits.</w:t>
      </w:r>
    </w:p>
    <w:p w:rsidR="00300092" w:rsidRPr="001C1260" w:rsidRDefault="00300092" w:rsidP="00E96318">
      <w:pPr>
        <w:pStyle w:val="AppendixHeading2"/>
      </w:pPr>
      <w:bookmarkStart w:id="169" w:name="_Toc308600727"/>
      <w:r w:rsidRPr="001C1260">
        <w:t>ESM model outputs</w:t>
      </w:r>
      <w:bookmarkEnd w:id="169"/>
    </w:p>
    <w:p w:rsidR="00300092" w:rsidRPr="00FD00DA" w:rsidRDefault="00300092" w:rsidP="00300092">
      <w:pPr>
        <w:pStyle w:val="BodyText"/>
      </w:pPr>
      <w:r w:rsidRPr="00FD00DA">
        <w:t>For given time paths of the exogenous (or input) variables that define the economic environment, ESM determines the time paths of the endogenous (output) variables. Key output variables include:</w:t>
      </w:r>
    </w:p>
    <w:p w:rsidR="00300092" w:rsidRDefault="00300092" w:rsidP="00E5753E">
      <w:pPr>
        <w:pStyle w:val="BodyText"/>
        <w:numPr>
          <w:ilvl w:val="0"/>
          <w:numId w:val="47"/>
        </w:numPr>
        <w:tabs>
          <w:tab w:val="left" w:pos="1080"/>
          <w:tab w:val="left" w:pos="1800"/>
          <w:tab w:val="left" w:pos="2520"/>
          <w:tab w:val="left" w:pos="3240"/>
          <w:tab w:val="left" w:pos="3960"/>
          <w:tab w:val="left" w:pos="4680"/>
          <w:tab w:val="left" w:pos="5400"/>
          <w:tab w:val="left" w:pos="6120"/>
          <w:tab w:val="left" w:pos="6840"/>
          <w:tab w:val="left" w:pos="7560"/>
          <w:tab w:val="left" w:pos="8280"/>
        </w:tabs>
        <w:spacing w:after="240" w:line="280" w:lineRule="atLeast"/>
      </w:pPr>
      <w:r w:rsidRPr="00FD00DA">
        <w:t>Fuel, engine</w:t>
      </w:r>
      <w:r>
        <w:t>,</w:t>
      </w:r>
      <w:r w:rsidRPr="00FD00DA">
        <w:t xml:space="preserve"> and electricity generation technology uptake</w:t>
      </w:r>
    </w:p>
    <w:p w:rsidR="00300092" w:rsidRDefault="00300092" w:rsidP="00E5753E">
      <w:pPr>
        <w:pStyle w:val="BodyText"/>
        <w:numPr>
          <w:ilvl w:val="0"/>
          <w:numId w:val="47"/>
        </w:numPr>
        <w:tabs>
          <w:tab w:val="left" w:pos="1080"/>
          <w:tab w:val="left" w:pos="1800"/>
          <w:tab w:val="left" w:pos="2520"/>
          <w:tab w:val="left" w:pos="3240"/>
          <w:tab w:val="left" w:pos="3960"/>
          <w:tab w:val="left" w:pos="4680"/>
          <w:tab w:val="left" w:pos="5400"/>
          <w:tab w:val="left" w:pos="6120"/>
          <w:tab w:val="left" w:pos="6840"/>
          <w:tab w:val="left" w:pos="7560"/>
          <w:tab w:val="left" w:pos="8280"/>
        </w:tabs>
        <w:spacing w:after="240" w:line="280" w:lineRule="atLeast"/>
      </w:pPr>
      <w:r w:rsidRPr="00FD00DA">
        <w:lastRenderedPageBreak/>
        <w:t>Fuel consumption</w:t>
      </w:r>
    </w:p>
    <w:p w:rsidR="00300092" w:rsidRDefault="00300092" w:rsidP="00E5753E">
      <w:pPr>
        <w:pStyle w:val="BodyText"/>
        <w:numPr>
          <w:ilvl w:val="0"/>
          <w:numId w:val="47"/>
        </w:numPr>
        <w:tabs>
          <w:tab w:val="left" w:pos="1080"/>
          <w:tab w:val="left" w:pos="1800"/>
          <w:tab w:val="left" w:pos="2520"/>
          <w:tab w:val="left" w:pos="3240"/>
          <w:tab w:val="left" w:pos="3960"/>
          <w:tab w:val="left" w:pos="4680"/>
          <w:tab w:val="left" w:pos="5400"/>
          <w:tab w:val="left" w:pos="6120"/>
          <w:tab w:val="left" w:pos="6840"/>
          <w:tab w:val="left" w:pos="7560"/>
          <w:tab w:val="left" w:pos="8280"/>
        </w:tabs>
        <w:spacing w:after="240" w:line="280" w:lineRule="atLeast"/>
      </w:pPr>
      <w:r w:rsidRPr="00FD00DA">
        <w:t>Price of fuels</w:t>
      </w:r>
    </w:p>
    <w:p w:rsidR="00300092" w:rsidRDefault="00300092" w:rsidP="00E5753E">
      <w:pPr>
        <w:pStyle w:val="BodyText"/>
        <w:numPr>
          <w:ilvl w:val="0"/>
          <w:numId w:val="47"/>
        </w:numPr>
        <w:tabs>
          <w:tab w:val="left" w:pos="1080"/>
          <w:tab w:val="left" w:pos="1800"/>
          <w:tab w:val="left" w:pos="2520"/>
          <w:tab w:val="left" w:pos="3240"/>
          <w:tab w:val="left" w:pos="3960"/>
          <w:tab w:val="left" w:pos="4680"/>
          <w:tab w:val="left" w:pos="5400"/>
          <w:tab w:val="left" w:pos="6120"/>
          <w:tab w:val="left" w:pos="6840"/>
          <w:tab w:val="left" w:pos="7560"/>
          <w:tab w:val="left" w:pos="8280"/>
        </w:tabs>
        <w:spacing w:after="240" w:line="280" w:lineRule="atLeast"/>
      </w:pPr>
      <w:r w:rsidRPr="00FD00DA">
        <w:t>GHG and criteria air pollutant emissions</w:t>
      </w:r>
    </w:p>
    <w:p w:rsidR="00300092" w:rsidRDefault="00300092" w:rsidP="00E5753E">
      <w:pPr>
        <w:pStyle w:val="BodyText"/>
        <w:numPr>
          <w:ilvl w:val="0"/>
          <w:numId w:val="47"/>
        </w:numPr>
        <w:tabs>
          <w:tab w:val="left" w:pos="1080"/>
          <w:tab w:val="left" w:pos="1800"/>
          <w:tab w:val="left" w:pos="2520"/>
          <w:tab w:val="left" w:pos="3240"/>
          <w:tab w:val="left" w:pos="3960"/>
          <w:tab w:val="left" w:pos="4680"/>
          <w:tab w:val="left" w:pos="5400"/>
          <w:tab w:val="left" w:pos="6120"/>
          <w:tab w:val="left" w:pos="6840"/>
          <w:tab w:val="left" w:pos="7560"/>
          <w:tab w:val="left" w:pos="8280"/>
        </w:tabs>
        <w:spacing w:after="240" w:line="280" w:lineRule="atLeast"/>
      </w:pPr>
      <w:r w:rsidRPr="00FD00DA">
        <w:t>Wholesale and retail electricity prices</w:t>
      </w:r>
      <w:r>
        <w:t>, and</w:t>
      </w:r>
    </w:p>
    <w:p w:rsidR="00300092" w:rsidRDefault="00300092" w:rsidP="00E5753E">
      <w:pPr>
        <w:pStyle w:val="BodyText"/>
        <w:numPr>
          <w:ilvl w:val="0"/>
          <w:numId w:val="47"/>
        </w:numPr>
        <w:tabs>
          <w:tab w:val="left" w:pos="1080"/>
          <w:tab w:val="left" w:pos="1800"/>
          <w:tab w:val="left" w:pos="2520"/>
          <w:tab w:val="left" w:pos="3240"/>
          <w:tab w:val="left" w:pos="3960"/>
          <w:tab w:val="left" w:pos="4680"/>
          <w:tab w:val="left" w:pos="5400"/>
          <w:tab w:val="left" w:pos="6120"/>
          <w:tab w:val="left" w:pos="6840"/>
          <w:tab w:val="left" w:pos="7560"/>
          <w:tab w:val="left" w:pos="8280"/>
        </w:tabs>
        <w:spacing w:after="240" w:line="280" w:lineRule="atLeast"/>
      </w:pPr>
      <w:r w:rsidRPr="00FD00DA">
        <w:t>Demand for transport and electricity services.</w:t>
      </w:r>
    </w:p>
    <w:p w:rsidR="00300092" w:rsidRPr="00FD00DA" w:rsidRDefault="00300092" w:rsidP="00300092">
      <w:pPr>
        <w:pStyle w:val="BodyText"/>
      </w:pPr>
      <w:r w:rsidRPr="00FD00DA">
        <w:t>Some of these outputs can also be defined as fixed inputs depending upon the design of the scenario.</w:t>
      </w:r>
    </w:p>
    <w:p w:rsidR="00300092" w:rsidRPr="00FD00DA" w:rsidRDefault="00300092" w:rsidP="00300092">
      <w:pPr>
        <w:pStyle w:val="BodyText"/>
      </w:pPr>
      <w:r w:rsidRPr="00FD00DA">
        <w:t>The endogenous variables are determined using demand and production relationships, commodity balance definitions and assumptions of competitive markets at each time step for fuels, electricity and transport services, and over time for assets such as vehicles and plant capacities. With respect to asset markets, the assumption is used that market participants know future outcomes of their joint actions over the entire time horizon of the model.</w:t>
      </w:r>
    </w:p>
    <w:p w:rsidR="00300092" w:rsidRPr="001C1260" w:rsidRDefault="00300092" w:rsidP="00E96318">
      <w:pPr>
        <w:pStyle w:val="AppendixHeading2"/>
      </w:pPr>
      <w:bookmarkStart w:id="170" w:name="_Toc308600728"/>
      <w:r w:rsidRPr="001C1260">
        <w:t>Road vehicle type configuration</w:t>
      </w:r>
      <w:bookmarkEnd w:id="170"/>
    </w:p>
    <w:p w:rsidR="00300092" w:rsidRPr="00FD00DA" w:rsidRDefault="00300092" w:rsidP="00300092">
      <w:pPr>
        <w:pStyle w:val="BodyText"/>
      </w:pPr>
      <w:r w:rsidRPr="00FD00DA">
        <w:t>An important consideration in the transport model is how to represent the vehicle</w:t>
      </w:r>
      <w:r>
        <w:t xml:space="preserve"> type</w:t>
      </w:r>
      <w:r w:rsidRPr="00FD00DA">
        <w:t xml:space="preserve"> combinations that are of interest. In theory</w:t>
      </w:r>
      <w:r>
        <w:t>,</w:t>
      </w:r>
      <w:r w:rsidRPr="00FD00DA">
        <w:t xml:space="preserve"> one could construct a model of the Australian </w:t>
      </w:r>
      <w:r>
        <w:t xml:space="preserve">road </w:t>
      </w:r>
      <w:r w:rsidRPr="00FD00DA">
        <w:t xml:space="preserve">transport sector which included every make of existing vehicle </w:t>
      </w:r>
      <w:r>
        <w:t xml:space="preserve">type </w:t>
      </w:r>
      <w:r w:rsidRPr="00FD00DA">
        <w:t xml:space="preserve">and possible future </w:t>
      </w:r>
      <w:r>
        <w:t>types</w:t>
      </w:r>
      <w:r w:rsidRPr="00FD00DA">
        <w:t>. In practice, modellers will always seek to</w:t>
      </w:r>
      <w:r>
        <w:t xml:space="preserve"> reduce the size of the </w:t>
      </w:r>
      <w:r w:rsidRPr="00FD00DA">
        <w:t>technology set in order to make the model manageable in terms of data, model structure and mathematical solution speed and reliability.</w:t>
      </w:r>
    </w:p>
    <w:p w:rsidR="00300092" w:rsidRPr="00FD00DA" w:rsidRDefault="00300092" w:rsidP="00300092">
      <w:pPr>
        <w:pStyle w:val="BodyText"/>
      </w:pPr>
      <w:r w:rsidRPr="00FD00DA">
        <w:t xml:space="preserve">For road transport, the proposed vehicle aggregation is as follows. Passenger and light commercial vehicles </w:t>
      </w:r>
      <w:r>
        <w:t>are</w:t>
      </w:r>
      <w:r w:rsidRPr="00FD00DA">
        <w:t xml:space="preserve"> represented in three weight categories:</w:t>
      </w:r>
    </w:p>
    <w:p w:rsidR="00300092" w:rsidRDefault="00300092" w:rsidP="00E5753E">
      <w:pPr>
        <w:pStyle w:val="BodyText"/>
        <w:numPr>
          <w:ilvl w:val="0"/>
          <w:numId w:val="48"/>
        </w:numPr>
        <w:spacing w:after="240" w:line="280" w:lineRule="atLeast"/>
      </w:pPr>
      <w:r w:rsidRPr="00FD00DA">
        <w:t>Light</w:t>
      </w:r>
      <w:r>
        <w:t>/small</w:t>
      </w:r>
      <w:r w:rsidRPr="00FD00DA">
        <w:t>:  less than 1200</w:t>
      </w:r>
      <w:r>
        <w:t xml:space="preserve"> </w:t>
      </w:r>
      <w:r w:rsidRPr="00FD00DA">
        <w:t>kg</w:t>
      </w:r>
    </w:p>
    <w:p w:rsidR="00300092" w:rsidRDefault="00300092" w:rsidP="00E5753E">
      <w:pPr>
        <w:pStyle w:val="BodyText"/>
        <w:numPr>
          <w:ilvl w:val="0"/>
          <w:numId w:val="48"/>
        </w:numPr>
        <w:spacing w:after="240" w:line="280" w:lineRule="atLeast"/>
      </w:pPr>
      <w:r w:rsidRPr="00FD00DA">
        <w:t>Medium: 1200 to 1500</w:t>
      </w:r>
      <w:r>
        <w:t xml:space="preserve"> </w:t>
      </w:r>
      <w:r w:rsidRPr="00FD00DA">
        <w:t>kg</w:t>
      </w:r>
    </w:p>
    <w:p w:rsidR="00300092" w:rsidRDefault="00300092" w:rsidP="00E5753E">
      <w:pPr>
        <w:pStyle w:val="BodyText"/>
        <w:numPr>
          <w:ilvl w:val="0"/>
          <w:numId w:val="48"/>
        </w:numPr>
        <w:spacing w:after="240" w:line="280" w:lineRule="atLeast"/>
      </w:pPr>
      <w:r w:rsidRPr="00FD00DA">
        <w:t>Heavy</w:t>
      </w:r>
      <w:r>
        <w:t>/large</w:t>
      </w:r>
      <w:r w:rsidRPr="00FD00DA">
        <w:t>: 1500 to 3000</w:t>
      </w:r>
      <w:r>
        <w:t xml:space="preserve"> </w:t>
      </w:r>
      <w:r w:rsidRPr="00FD00DA">
        <w:t>kg</w:t>
      </w:r>
      <w:r>
        <w:t>.</w:t>
      </w:r>
    </w:p>
    <w:p w:rsidR="00300092" w:rsidRDefault="00300092" w:rsidP="00300092">
      <w:pPr>
        <w:pStyle w:val="BodyText"/>
      </w:pPr>
      <w:r w:rsidRPr="00FD00DA">
        <w:t xml:space="preserve">The remaining vehicle types </w:t>
      </w:r>
      <w:r>
        <w:t>are</w:t>
      </w:r>
      <w:r w:rsidRPr="00FD00DA">
        <w:t xml:space="preserve"> rigid trucks, articulated trucks and buses. Motor cycles and campervans </w:t>
      </w:r>
      <w:r>
        <w:t>are</w:t>
      </w:r>
      <w:r w:rsidRPr="00FD00DA">
        <w:t xml:space="preserve"> not specifically modelled but </w:t>
      </w:r>
      <w:r>
        <w:t xml:space="preserve">are </w:t>
      </w:r>
      <w:r w:rsidRPr="00FD00DA">
        <w:t>accounted for as a constant in the emission profile.</w:t>
      </w:r>
    </w:p>
    <w:p w:rsidR="00300092" w:rsidRDefault="00300092" w:rsidP="00300092">
      <w:pPr>
        <w:pStyle w:val="BodyText"/>
      </w:pPr>
      <w:r>
        <w:t xml:space="preserve">Fleet data for Australia was sourced from the ABS (2007) and the vehicle weight categories based on data therein. </w:t>
      </w:r>
    </w:p>
    <w:p w:rsidR="00300092" w:rsidRDefault="00C14EF7" w:rsidP="00300092">
      <w:r>
        <w:pict>
          <v:shapetype id="_x0000_t202" coordsize="21600,21600" o:spt="202" path="m,l,21600r21600,l21600,xe">
            <v:stroke joinstyle="miter"/>
            <v:path gradientshapeok="t" o:connecttype="rect"/>
          </v:shapetype>
          <v:shape id="_x0000_s1087" type="#_x0000_t202" style="width:427.6pt;height:259.7pt;mso-left-percent:-10001;mso-top-percent:-10001;mso-position-horizontal:absolute;mso-position-horizontal-relative:char;mso-position-vertical:absolute;mso-position-vertical-relative:line;mso-left-percent:-10001;mso-top-percent:-10001" stroked="f">
            <v:textbox style="mso-next-textbox:#_x0000_s1087">
              <w:txbxContent>
                <w:p w:rsidR="00957B8A" w:rsidRPr="005A37CB" w:rsidRDefault="00957B8A" w:rsidP="00300092">
                  <w:r>
                    <w:rPr>
                      <w:noProof/>
                    </w:rPr>
                    <w:drawing>
                      <wp:inline distT="0" distB="0" distL="0" distR="0">
                        <wp:extent cx="5372100" cy="3124200"/>
                        <wp:effectExtent l="0" t="0" r="0" b="0"/>
                        <wp:docPr id="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4"/>
                                <a:srcRect/>
                                <a:stretch>
                                  <a:fillRect/>
                                </a:stretch>
                              </pic:blipFill>
                              <pic:spPr bwMode="auto">
                                <a:xfrm>
                                  <a:off x="0" y="0"/>
                                  <a:ext cx="5372100" cy="3124200"/>
                                </a:xfrm>
                                <a:prstGeom prst="rect">
                                  <a:avLst/>
                                </a:prstGeom>
                                <a:noFill/>
                                <a:ln w="9525">
                                  <a:noFill/>
                                  <a:miter lim="800000"/>
                                  <a:headEnd/>
                                  <a:tailEnd/>
                                </a:ln>
                              </pic:spPr>
                            </pic:pic>
                          </a:graphicData>
                        </a:graphic>
                      </wp:inline>
                    </w:drawing>
                  </w:r>
                </w:p>
              </w:txbxContent>
            </v:textbox>
            <w10:wrap type="none"/>
            <w10:anchorlock/>
          </v:shape>
        </w:pict>
      </w:r>
    </w:p>
    <w:p w:rsidR="00300092" w:rsidRPr="00F165EC" w:rsidRDefault="00300092" w:rsidP="00300092">
      <w:pPr>
        <w:pStyle w:val="BodyText20"/>
        <w:rPr>
          <w:rFonts w:ascii="Arial" w:hAnsi="Arial" w:cs="Arial"/>
          <w:sz w:val="18"/>
          <w:szCs w:val="18"/>
        </w:rPr>
      </w:pPr>
      <w:r>
        <w:rPr>
          <w:rFonts w:ascii="Arial" w:hAnsi="Arial" w:cs="Arial"/>
          <w:sz w:val="18"/>
          <w:szCs w:val="18"/>
        </w:rPr>
        <w:t xml:space="preserve">Source: </w:t>
      </w:r>
      <w:r w:rsidRPr="00F165EC">
        <w:rPr>
          <w:rFonts w:ascii="Arial" w:hAnsi="Arial" w:cs="Arial"/>
          <w:sz w:val="18"/>
          <w:szCs w:val="18"/>
        </w:rPr>
        <w:t>A</w:t>
      </w:r>
      <w:r>
        <w:rPr>
          <w:rFonts w:ascii="Arial" w:hAnsi="Arial" w:cs="Arial"/>
          <w:sz w:val="18"/>
          <w:szCs w:val="18"/>
        </w:rPr>
        <w:t>BS (2007).</w:t>
      </w:r>
    </w:p>
    <w:p w:rsidR="00300092" w:rsidRDefault="00300092" w:rsidP="00300092">
      <w:pPr>
        <w:pStyle w:val="Caption"/>
      </w:pPr>
      <w:bookmarkStart w:id="171" w:name="_Toc308443476"/>
      <w:r>
        <w:t xml:space="preserve">Figure </w:t>
      </w:r>
      <w:r w:rsidR="00FE0313">
        <w:t>A</w:t>
      </w:r>
      <w:r w:rsidR="005B253B">
        <w:noBreakHyphen/>
      </w:r>
      <w:r w:rsidR="00FE0313">
        <w:t>1</w:t>
      </w:r>
      <w:r>
        <w:t xml:space="preserve">: </w:t>
      </w:r>
      <w:r w:rsidRPr="00FD00DA">
        <w:t xml:space="preserve">Current share of kilometres travelled within the </w:t>
      </w:r>
      <w:r>
        <w:t xml:space="preserve">Australian </w:t>
      </w:r>
      <w:r w:rsidRPr="00FD00DA">
        <w:t xml:space="preserve">road transport </w:t>
      </w:r>
      <w:r>
        <w:t>task</w:t>
      </w:r>
      <w:r w:rsidRPr="00FD00DA">
        <w:t xml:space="preserve"> by vehicle type,</w:t>
      </w:r>
      <w:r>
        <w:t xml:space="preserve"> </w:t>
      </w:r>
      <w:r w:rsidRPr="00FD00DA">
        <w:t>2006</w:t>
      </w:r>
      <w:bookmarkEnd w:id="171"/>
    </w:p>
    <w:p w:rsidR="00300092" w:rsidRDefault="00300092" w:rsidP="00300092">
      <w:pPr>
        <w:pStyle w:val="BodyText"/>
      </w:pPr>
    </w:p>
    <w:p w:rsidR="00300092" w:rsidRPr="001C1260" w:rsidRDefault="00300092" w:rsidP="00E96318">
      <w:pPr>
        <w:pStyle w:val="AppendixHeading2"/>
      </w:pPr>
      <w:bookmarkStart w:id="172" w:name="_Toc308600729"/>
      <w:r w:rsidRPr="001C1260">
        <w:t>Road fuel coverage</w:t>
      </w:r>
      <w:bookmarkEnd w:id="172"/>
    </w:p>
    <w:p w:rsidR="00300092" w:rsidRDefault="00300092" w:rsidP="00300092">
      <w:pPr>
        <w:pStyle w:val="BodyText20"/>
      </w:pPr>
      <w:r>
        <w:t>Within the current version of ESM, the road transport fuel options are:</w:t>
      </w:r>
    </w:p>
    <w:p w:rsidR="00300092" w:rsidRDefault="00300092" w:rsidP="00E5753E">
      <w:pPr>
        <w:pStyle w:val="BodyText"/>
        <w:numPr>
          <w:ilvl w:val="0"/>
          <w:numId w:val="49"/>
        </w:numPr>
        <w:tabs>
          <w:tab w:val="left" w:pos="1080"/>
          <w:tab w:val="left" w:pos="1800"/>
          <w:tab w:val="left" w:pos="2520"/>
          <w:tab w:val="left" w:pos="3240"/>
          <w:tab w:val="left" w:pos="3960"/>
          <w:tab w:val="left" w:pos="4680"/>
          <w:tab w:val="left" w:pos="5400"/>
          <w:tab w:val="left" w:pos="6120"/>
          <w:tab w:val="left" w:pos="6840"/>
          <w:tab w:val="left" w:pos="7560"/>
          <w:tab w:val="left" w:pos="8280"/>
        </w:tabs>
        <w:spacing w:after="240" w:line="280" w:lineRule="atLeast"/>
      </w:pPr>
      <w:r w:rsidRPr="00FD00DA">
        <w:t>Petrol – aggregating unleaded, lead replacement and premium</w:t>
      </w:r>
      <w:r>
        <w:t xml:space="preserve"> (PET)</w:t>
      </w:r>
    </w:p>
    <w:p w:rsidR="00300092" w:rsidRDefault="00300092" w:rsidP="00E5753E">
      <w:pPr>
        <w:pStyle w:val="BodyText"/>
        <w:numPr>
          <w:ilvl w:val="0"/>
          <w:numId w:val="49"/>
        </w:numPr>
        <w:tabs>
          <w:tab w:val="left" w:pos="1080"/>
          <w:tab w:val="left" w:pos="1800"/>
          <w:tab w:val="left" w:pos="2520"/>
          <w:tab w:val="left" w:pos="3240"/>
          <w:tab w:val="left" w:pos="3960"/>
          <w:tab w:val="left" w:pos="4680"/>
          <w:tab w:val="left" w:pos="5400"/>
          <w:tab w:val="left" w:pos="6120"/>
          <w:tab w:val="left" w:pos="6840"/>
          <w:tab w:val="left" w:pos="7560"/>
          <w:tab w:val="left" w:pos="8280"/>
        </w:tabs>
        <w:spacing w:after="240" w:line="280" w:lineRule="atLeast"/>
      </w:pPr>
      <w:r w:rsidRPr="00FD00DA">
        <w:t>Petrol with 10 percent ethanol (E10)</w:t>
      </w:r>
    </w:p>
    <w:p w:rsidR="00300092" w:rsidRDefault="00300092" w:rsidP="00E5753E">
      <w:pPr>
        <w:pStyle w:val="BodyText"/>
        <w:numPr>
          <w:ilvl w:val="0"/>
          <w:numId w:val="49"/>
        </w:numPr>
        <w:tabs>
          <w:tab w:val="left" w:pos="1080"/>
          <w:tab w:val="left" w:pos="1800"/>
          <w:tab w:val="left" w:pos="2520"/>
          <w:tab w:val="left" w:pos="3240"/>
          <w:tab w:val="left" w:pos="3960"/>
          <w:tab w:val="left" w:pos="4680"/>
          <w:tab w:val="left" w:pos="5400"/>
          <w:tab w:val="left" w:pos="6120"/>
          <w:tab w:val="left" w:pos="6840"/>
          <w:tab w:val="left" w:pos="7560"/>
          <w:tab w:val="left" w:pos="8280"/>
        </w:tabs>
        <w:spacing w:after="240" w:line="280" w:lineRule="atLeast"/>
      </w:pPr>
      <w:r w:rsidRPr="00FD00DA">
        <w:t xml:space="preserve">Ethanol </w:t>
      </w:r>
      <w:r>
        <w:t xml:space="preserve">blend </w:t>
      </w:r>
      <w:r w:rsidRPr="00FD00DA">
        <w:t xml:space="preserve">with </w:t>
      </w:r>
      <w:r>
        <w:t>up to 8</w:t>
      </w:r>
      <w:r w:rsidRPr="00FD00DA">
        <w:t xml:space="preserve">5 percent </w:t>
      </w:r>
      <w:r>
        <w:t xml:space="preserve">ethanol and 15 percent </w:t>
      </w:r>
      <w:r w:rsidRPr="00FD00DA">
        <w:t>petrol (E85)</w:t>
      </w:r>
      <w:r>
        <w:rPr>
          <w:rStyle w:val="FootnoteReference"/>
          <w:rFonts w:cs="Arial"/>
        </w:rPr>
        <w:footnoteReference w:id="10"/>
      </w:r>
    </w:p>
    <w:p w:rsidR="00300092" w:rsidRDefault="00300092" w:rsidP="00E5753E">
      <w:pPr>
        <w:pStyle w:val="BodyText"/>
        <w:numPr>
          <w:ilvl w:val="0"/>
          <w:numId w:val="49"/>
        </w:numPr>
        <w:tabs>
          <w:tab w:val="left" w:pos="1080"/>
          <w:tab w:val="left" w:pos="1800"/>
          <w:tab w:val="left" w:pos="2520"/>
          <w:tab w:val="left" w:pos="3240"/>
          <w:tab w:val="left" w:pos="3960"/>
          <w:tab w:val="left" w:pos="4680"/>
          <w:tab w:val="left" w:pos="5400"/>
          <w:tab w:val="left" w:pos="6120"/>
          <w:tab w:val="left" w:pos="6840"/>
          <w:tab w:val="left" w:pos="7560"/>
          <w:tab w:val="left" w:pos="8280"/>
        </w:tabs>
        <w:spacing w:after="240" w:line="280" w:lineRule="atLeast"/>
      </w:pPr>
      <w:r w:rsidRPr="00FD00DA">
        <w:t>Diesel</w:t>
      </w:r>
      <w:r>
        <w:t xml:space="preserve"> (DSL)</w:t>
      </w:r>
    </w:p>
    <w:p w:rsidR="00300092" w:rsidRDefault="00300092" w:rsidP="00E5753E">
      <w:pPr>
        <w:pStyle w:val="BodyText"/>
        <w:numPr>
          <w:ilvl w:val="0"/>
          <w:numId w:val="49"/>
        </w:numPr>
        <w:tabs>
          <w:tab w:val="left" w:pos="1080"/>
          <w:tab w:val="left" w:pos="1800"/>
          <w:tab w:val="left" w:pos="2520"/>
          <w:tab w:val="left" w:pos="3240"/>
          <w:tab w:val="left" w:pos="3960"/>
          <w:tab w:val="left" w:pos="4680"/>
          <w:tab w:val="left" w:pos="5400"/>
          <w:tab w:val="left" w:pos="6120"/>
          <w:tab w:val="left" w:pos="6840"/>
          <w:tab w:val="left" w:pos="7560"/>
          <w:tab w:val="left" w:pos="8280"/>
        </w:tabs>
        <w:spacing w:after="240" w:line="280" w:lineRule="atLeast"/>
      </w:pPr>
      <w:r>
        <w:t>Diesel with 20 percent biodiesel blend (B20)</w:t>
      </w:r>
    </w:p>
    <w:p w:rsidR="00300092" w:rsidRDefault="00300092" w:rsidP="00E5753E">
      <w:pPr>
        <w:pStyle w:val="BodyText"/>
        <w:numPr>
          <w:ilvl w:val="0"/>
          <w:numId w:val="49"/>
        </w:numPr>
        <w:tabs>
          <w:tab w:val="left" w:pos="1080"/>
          <w:tab w:val="left" w:pos="1800"/>
          <w:tab w:val="left" w:pos="2520"/>
          <w:tab w:val="left" w:pos="3240"/>
          <w:tab w:val="left" w:pos="3960"/>
          <w:tab w:val="left" w:pos="4680"/>
          <w:tab w:val="left" w:pos="5400"/>
          <w:tab w:val="left" w:pos="6120"/>
          <w:tab w:val="left" w:pos="6840"/>
          <w:tab w:val="left" w:pos="7560"/>
          <w:tab w:val="left" w:pos="8280"/>
        </w:tabs>
        <w:spacing w:after="240" w:line="280" w:lineRule="atLeast"/>
      </w:pPr>
      <w:r>
        <w:t>100 percent b</w:t>
      </w:r>
      <w:r w:rsidRPr="006242CA">
        <w:t xml:space="preserve">iodiesel </w:t>
      </w:r>
      <w:r>
        <w:t>(B100</w:t>
      </w:r>
      <w:r w:rsidRPr="006242CA">
        <w:t>)</w:t>
      </w:r>
    </w:p>
    <w:p w:rsidR="00300092" w:rsidRDefault="00300092" w:rsidP="00E5753E">
      <w:pPr>
        <w:pStyle w:val="BodyText"/>
        <w:numPr>
          <w:ilvl w:val="0"/>
          <w:numId w:val="49"/>
        </w:numPr>
        <w:tabs>
          <w:tab w:val="left" w:pos="1080"/>
          <w:tab w:val="left" w:pos="1800"/>
          <w:tab w:val="left" w:pos="2520"/>
          <w:tab w:val="left" w:pos="3240"/>
          <w:tab w:val="left" w:pos="3960"/>
          <w:tab w:val="left" w:pos="4680"/>
          <w:tab w:val="left" w:pos="5400"/>
          <w:tab w:val="left" w:pos="6120"/>
          <w:tab w:val="left" w:pos="6840"/>
          <w:tab w:val="left" w:pos="7560"/>
          <w:tab w:val="left" w:pos="8280"/>
        </w:tabs>
        <w:spacing w:after="240" w:line="280" w:lineRule="atLeast"/>
      </w:pPr>
      <w:r w:rsidRPr="00FD00DA">
        <w:t>Liquefied petroleum gas (LPG)</w:t>
      </w:r>
    </w:p>
    <w:p w:rsidR="00300092" w:rsidRDefault="00300092" w:rsidP="00E5753E">
      <w:pPr>
        <w:pStyle w:val="BodyText"/>
        <w:numPr>
          <w:ilvl w:val="0"/>
          <w:numId w:val="49"/>
        </w:numPr>
        <w:tabs>
          <w:tab w:val="left" w:pos="1080"/>
          <w:tab w:val="left" w:pos="1800"/>
          <w:tab w:val="left" w:pos="2520"/>
          <w:tab w:val="left" w:pos="3240"/>
          <w:tab w:val="left" w:pos="3960"/>
          <w:tab w:val="left" w:pos="4680"/>
          <w:tab w:val="left" w:pos="5400"/>
          <w:tab w:val="left" w:pos="6120"/>
          <w:tab w:val="left" w:pos="6840"/>
          <w:tab w:val="left" w:pos="7560"/>
          <w:tab w:val="left" w:pos="8280"/>
        </w:tabs>
        <w:spacing w:after="240" w:line="280" w:lineRule="atLeast"/>
      </w:pPr>
      <w:r w:rsidRPr="00FD00DA">
        <w:lastRenderedPageBreak/>
        <w:t>Compressed natural gas (</w:t>
      </w:r>
      <w:r>
        <w:t>C</w:t>
      </w:r>
      <w:r w:rsidRPr="00FD00DA">
        <w:t>NG)</w:t>
      </w:r>
    </w:p>
    <w:p w:rsidR="00300092" w:rsidRDefault="00300092" w:rsidP="00E5753E">
      <w:pPr>
        <w:pStyle w:val="BodyText"/>
        <w:numPr>
          <w:ilvl w:val="0"/>
          <w:numId w:val="49"/>
        </w:numPr>
        <w:tabs>
          <w:tab w:val="left" w:pos="1080"/>
          <w:tab w:val="left" w:pos="1800"/>
          <w:tab w:val="left" w:pos="2520"/>
          <w:tab w:val="left" w:pos="3240"/>
          <w:tab w:val="left" w:pos="3960"/>
          <w:tab w:val="left" w:pos="4680"/>
          <w:tab w:val="left" w:pos="5400"/>
          <w:tab w:val="left" w:pos="6120"/>
          <w:tab w:val="left" w:pos="6840"/>
          <w:tab w:val="left" w:pos="7560"/>
          <w:tab w:val="left" w:pos="8280"/>
        </w:tabs>
        <w:spacing w:after="240" w:line="280" w:lineRule="atLeast"/>
      </w:pPr>
      <w:r>
        <w:t>L</w:t>
      </w:r>
      <w:r w:rsidRPr="00FD00DA">
        <w:t>iquefied natural gas (</w:t>
      </w:r>
      <w:r>
        <w:t>LNG</w:t>
      </w:r>
      <w:r w:rsidRPr="00FD00DA">
        <w:t>)</w:t>
      </w:r>
    </w:p>
    <w:p w:rsidR="00300092" w:rsidRDefault="00300092" w:rsidP="00E5753E">
      <w:pPr>
        <w:pStyle w:val="BodyText"/>
        <w:numPr>
          <w:ilvl w:val="0"/>
          <w:numId w:val="49"/>
        </w:numPr>
        <w:tabs>
          <w:tab w:val="left" w:pos="1080"/>
          <w:tab w:val="left" w:pos="1800"/>
          <w:tab w:val="left" w:pos="2520"/>
          <w:tab w:val="left" w:pos="3240"/>
          <w:tab w:val="left" w:pos="3960"/>
          <w:tab w:val="left" w:pos="4680"/>
          <w:tab w:val="left" w:pos="5400"/>
          <w:tab w:val="left" w:pos="6120"/>
          <w:tab w:val="left" w:pos="6840"/>
          <w:tab w:val="left" w:pos="7560"/>
          <w:tab w:val="left" w:pos="8280"/>
        </w:tabs>
        <w:spacing w:after="240" w:line="280" w:lineRule="atLeast"/>
      </w:pPr>
      <w:r w:rsidRPr="00FD00DA">
        <w:t>Hydrogen produced from renewables (H</w:t>
      </w:r>
      <w:r w:rsidRPr="00FD00DA">
        <w:rPr>
          <w:vertAlign w:val="subscript"/>
        </w:rPr>
        <w:t>2</w:t>
      </w:r>
      <w:r w:rsidRPr="00FD00DA">
        <w:t>)</w:t>
      </w:r>
    </w:p>
    <w:p w:rsidR="00300092" w:rsidRDefault="00300092" w:rsidP="00E5753E">
      <w:pPr>
        <w:pStyle w:val="BodyText"/>
        <w:numPr>
          <w:ilvl w:val="0"/>
          <w:numId w:val="49"/>
        </w:numPr>
        <w:tabs>
          <w:tab w:val="left" w:pos="1080"/>
          <w:tab w:val="left" w:pos="1800"/>
          <w:tab w:val="left" w:pos="2520"/>
          <w:tab w:val="left" w:pos="3240"/>
          <w:tab w:val="left" w:pos="3960"/>
          <w:tab w:val="left" w:pos="4680"/>
          <w:tab w:val="left" w:pos="5400"/>
          <w:tab w:val="left" w:pos="6120"/>
          <w:tab w:val="left" w:pos="6840"/>
          <w:tab w:val="left" w:pos="7560"/>
          <w:tab w:val="left" w:pos="8280"/>
        </w:tabs>
        <w:spacing w:after="240" w:line="280" w:lineRule="atLeast"/>
      </w:pPr>
      <w:r>
        <w:t>Biomass to liquids (BTL</w:t>
      </w:r>
      <w:r w:rsidRPr="00FD00DA">
        <w:t>)</w:t>
      </w:r>
      <w:r>
        <w:t xml:space="preserve"> diesel </w:t>
      </w:r>
    </w:p>
    <w:p w:rsidR="00300092" w:rsidRDefault="00300092" w:rsidP="00E5753E">
      <w:pPr>
        <w:pStyle w:val="BodyText"/>
        <w:numPr>
          <w:ilvl w:val="0"/>
          <w:numId w:val="49"/>
        </w:numPr>
        <w:tabs>
          <w:tab w:val="left" w:pos="1080"/>
          <w:tab w:val="left" w:pos="1800"/>
          <w:tab w:val="left" w:pos="2520"/>
          <w:tab w:val="left" w:pos="3240"/>
          <w:tab w:val="left" w:pos="3960"/>
          <w:tab w:val="left" w:pos="4680"/>
          <w:tab w:val="left" w:pos="5400"/>
          <w:tab w:val="left" w:pos="6120"/>
          <w:tab w:val="left" w:pos="6840"/>
          <w:tab w:val="left" w:pos="7560"/>
          <w:tab w:val="left" w:pos="8280"/>
        </w:tabs>
        <w:spacing w:after="240" w:line="280" w:lineRule="atLeast"/>
      </w:pPr>
      <w:r>
        <w:t>Gas to liquids (GTL</w:t>
      </w:r>
      <w:r w:rsidRPr="00FD00DA">
        <w:t>)</w:t>
      </w:r>
      <w:r>
        <w:t xml:space="preserve"> diesel</w:t>
      </w:r>
    </w:p>
    <w:p w:rsidR="00300092" w:rsidRDefault="00300092" w:rsidP="00E5753E">
      <w:pPr>
        <w:pStyle w:val="BodyText"/>
        <w:numPr>
          <w:ilvl w:val="0"/>
          <w:numId w:val="49"/>
        </w:numPr>
        <w:tabs>
          <w:tab w:val="left" w:pos="1080"/>
          <w:tab w:val="left" w:pos="1800"/>
          <w:tab w:val="left" w:pos="2520"/>
          <w:tab w:val="left" w:pos="3240"/>
          <w:tab w:val="left" w:pos="3960"/>
          <w:tab w:val="left" w:pos="4680"/>
          <w:tab w:val="left" w:pos="5400"/>
          <w:tab w:val="left" w:pos="6120"/>
          <w:tab w:val="left" w:pos="6840"/>
          <w:tab w:val="left" w:pos="7560"/>
          <w:tab w:val="left" w:pos="8280"/>
        </w:tabs>
        <w:spacing w:after="240" w:line="280" w:lineRule="atLeast"/>
      </w:pPr>
      <w:r>
        <w:t>Coal to liquids (CTL</w:t>
      </w:r>
      <w:r w:rsidRPr="00FD00DA">
        <w:t xml:space="preserve">) </w:t>
      </w:r>
      <w:r>
        <w:t xml:space="preserve">diesel </w:t>
      </w:r>
      <w:r w:rsidRPr="00FD00DA">
        <w:t>with upstream CO</w:t>
      </w:r>
      <w:r w:rsidRPr="00FD00DA">
        <w:rPr>
          <w:vertAlign w:val="subscript"/>
        </w:rPr>
        <w:t>2</w:t>
      </w:r>
      <w:r w:rsidRPr="00FD00DA">
        <w:t xml:space="preserve"> capture and s</w:t>
      </w:r>
      <w:r>
        <w:t>torage</w:t>
      </w:r>
    </w:p>
    <w:p w:rsidR="00300092" w:rsidRDefault="00300092" w:rsidP="00E5753E">
      <w:pPr>
        <w:pStyle w:val="BodyText"/>
        <w:numPr>
          <w:ilvl w:val="0"/>
          <w:numId w:val="49"/>
        </w:numPr>
        <w:tabs>
          <w:tab w:val="left" w:pos="1080"/>
          <w:tab w:val="left" w:pos="1800"/>
          <w:tab w:val="left" w:pos="2520"/>
          <w:tab w:val="left" w:pos="3240"/>
          <w:tab w:val="left" w:pos="3960"/>
          <w:tab w:val="left" w:pos="4680"/>
          <w:tab w:val="left" w:pos="5400"/>
          <w:tab w:val="left" w:pos="6120"/>
          <w:tab w:val="left" w:pos="6840"/>
          <w:tab w:val="left" w:pos="7560"/>
          <w:tab w:val="left" w:pos="8280"/>
        </w:tabs>
        <w:spacing w:after="240" w:line="280" w:lineRule="atLeast"/>
      </w:pPr>
      <w:r>
        <w:t>Shale to liquids (STL</w:t>
      </w:r>
      <w:r w:rsidRPr="00FD00DA">
        <w:t xml:space="preserve">) </w:t>
      </w:r>
      <w:r>
        <w:t xml:space="preserve">diesel </w:t>
      </w:r>
      <w:r w:rsidRPr="00FD00DA">
        <w:t>with upstream CO</w:t>
      </w:r>
      <w:r w:rsidRPr="00FD00DA">
        <w:rPr>
          <w:vertAlign w:val="subscript"/>
        </w:rPr>
        <w:t>2</w:t>
      </w:r>
      <w:r w:rsidRPr="00FD00DA">
        <w:t xml:space="preserve"> capture and s</w:t>
      </w:r>
      <w:r>
        <w:t>torage, and</w:t>
      </w:r>
    </w:p>
    <w:p w:rsidR="00300092" w:rsidRDefault="00300092" w:rsidP="00E5753E">
      <w:pPr>
        <w:pStyle w:val="BodyText"/>
        <w:numPr>
          <w:ilvl w:val="0"/>
          <w:numId w:val="49"/>
        </w:numPr>
        <w:tabs>
          <w:tab w:val="left" w:pos="1080"/>
          <w:tab w:val="left" w:pos="1800"/>
          <w:tab w:val="left" w:pos="2520"/>
          <w:tab w:val="left" w:pos="3240"/>
          <w:tab w:val="left" w:pos="3960"/>
          <w:tab w:val="left" w:pos="4680"/>
          <w:tab w:val="left" w:pos="5400"/>
          <w:tab w:val="left" w:pos="6120"/>
          <w:tab w:val="left" w:pos="6840"/>
          <w:tab w:val="left" w:pos="7560"/>
          <w:tab w:val="left" w:pos="8280"/>
        </w:tabs>
        <w:spacing w:after="240" w:line="280" w:lineRule="atLeast"/>
      </w:pPr>
      <w:r w:rsidRPr="00FD00DA">
        <w:t>Electricity</w:t>
      </w:r>
      <w:r>
        <w:t xml:space="preserve"> (ELE).</w:t>
      </w:r>
    </w:p>
    <w:p w:rsidR="006F2A4C" w:rsidRDefault="00300092">
      <w:r w:rsidRPr="00FD00DA">
        <w:t xml:space="preserve">This is obviously not a complete list of possible fuels but covers those </w:t>
      </w:r>
      <w:r>
        <w:t>that</w:t>
      </w:r>
      <w:r w:rsidRPr="00FD00DA">
        <w:t xml:space="preserve"> are generally of greatest interest</w:t>
      </w:r>
      <w:r>
        <w:t xml:space="preserve"> in the Australian marketplace at the time of the study.</w:t>
      </w:r>
    </w:p>
    <w:p w:rsidR="006F2A4C" w:rsidRDefault="00300092">
      <w:r w:rsidRPr="00FD00DA">
        <w:t xml:space="preserve">More categories of hydrogen production might be desirable. However, given the greatest cost associated with hydrogen </w:t>
      </w:r>
      <w:r>
        <w:t>is</w:t>
      </w:r>
      <w:r w:rsidRPr="00FD00DA">
        <w:t xml:space="preserve"> not the fuel but the </w:t>
      </w:r>
      <w:r>
        <w:t xml:space="preserve">cost of the </w:t>
      </w:r>
      <w:r w:rsidRPr="00FD00DA">
        <w:t xml:space="preserve">storage </w:t>
      </w:r>
      <w:r>
        <w:t xml:space="preserve">and engine </w:t>
      </w:r>
      <w:r w:rsidRPr="00FD00DA">
        <w:t>system, including additional cheaper hydrogen sources will make little difference in the modelling.</w:t>
      </w:r>
    </w:p>
    <w:p w:rsidR="006F2A4C" w:rsidRDefault="00300092">
      <w:r w:rsidRPr="00FD00DA">
        <w:t>Compressed natural gas (CNG) is assumed to be used in all natural gas vehicles except for articulated trucks which use Liquefied natural gas (LNG).</w:t>
      </w:r>
    </w:p>
    <w:p w:rsidR="00EA567D" w:rsidRDefault="00FA123A">
      <w:r>
        <w:t>Table A</w:t>
      </w:r>
      <w:r w:rsidR="00300092">
        <w:t>-1 maps the allowable road mode and fuel combinations for road transport in ESM.</w:t>
      </w:r>
    </w:p>
    <w:p w:rsidR="00300092" w:rsidRDefault="00300092" w:rsidP="00300092">
      <w:pPr>
        <w:rPr>
          <w:rFonts w:ascii="Arial" w:hAnsi="Arial"/>
          <w:bCs/>
          <w:sz w:val="18"/>
          <w:szCs w:val="18"/>
        </w:rPr>
      </w:pPr>
    </w:p>
    <w:p w:rsidR="00300092" w:rsidRDefault="00300092" w:rsidP="00300092">
      <w:pPr>
        <w:rPr>
          <w:rFonts w:ascii="Arial" w:hAnsi="Arial"/>
          <w:bCs/>
          <w:sz w:val="18"/>
          <w:szCs w:val="18"/>
        </w:rPr>
      </w:pPr>
      <w:r>
        <w:br w:type="page"/>
      </w:r>
    </w:p>
    <w:p w:rsidR="00300092" w:rsidRDefault="00300092" w:rsidP="00300092">
      <w:pPr>
        <w:pStyle w:val="Caption"/>
      </w:pPr>
      <w:bookmarkStart w:id="173" w:name="_Toc308443504"/>
      <w:bookmarkStart w:id="174" w:name="_Toc366227387"/>
      <w:r>
        <w:lastRenderedPageBreak/>
        <w:t xml:space="preserve">Table </w:t>
      </w:r>
      <w:r w:rsidR="00FE0313">
        <w:t>A</w:t>
      </w:r>
      <w:r>
        <w:noBreakHyphen/>
      </w:r>
      <w:r w:rsidR="00C14EF7">
        <w:fldChar w:fldCharType="begin"/>
      </w:r>
      <w:r>
        <w:instrText xml:space="preserve"> SEQ Table \* ARABIC \s 1 </w:instrText>
      </w:r>
      <w:r w:rsidR="00C14EF7">
        <w:fldChar w:fldCharType="separate"/>
      </w:r>
      <w:r w:rsidR="003E0F65">
        <w:rPr>
          <w:noProof/>
        </w:rPr>
        <w:t>1</w:t>
      </w:r>
      <w:r w:rsidR="00C14EF7">
        <w:fldChar w:fldCharType="end"/>
      </w:r>
      <w:r>
        <w:t>: Allowable road mode and fuel combinations</w:t>
      </w:r>
      <w:bookmarkEnd w:id="173"/>
      <w:bookmarkEnd w:id="174"/>
    </w:p>
    <w:tbl>
      <w:tblPr>
        <w:tblW w:w="0" w:type="auto"/>
        <w:tblBorders>
          <w:top w:val="single" w:sz="8" w:space="0" w:color="4F81BD"/>
          <w:left w:val="single" w:sz="8" w:space="0" w:color="4F81BD"/>
          <w:bottom w:val="single" w:sz="8" w:space="0" w:color="4F81BD"/>
          <w:right w:val="single" w:sz="8" w:space="0" w:color="4F81BD"/>
        </w:tblBorders>
        <w:tblLook w:val="00A0"/>
      </w:tblPr>
      <w:tblGrid>
        <w:gridCol w:w="891"/>
        <w:gridCol w:w="913"/>
        <w:gridCol w:w="900"/>
        <w:gridCol w:w="904"/>
        <w:gridCol w:w="926"/>
        <w:gridCol w:w="913"/>
        <w:gridCol w:w="856"/>
        <w:gridCol w:w="852"/>
        <w:gridCol w:w="857"/>
        <w:gridCol w:w="701"/>
      </w:tblGrid>
      <w:tr w:rsidR="00300092" w:rsidRPr="004F62B5" w:rsidTr="00300092">
        <w:tc>
          <w:tcPr>
            <w:tcW w:w="891" w:type="dxa"/>
            <w:tcBorders>
              <w:top w:val="single" w:sz="8" w:space="0" w:color="4F81BD"/>
            </w:tcBorders>
            <w:shd w:val="clear" w:color="auto" w:fill="4F81BD"/>
          </w:tcPr>
          <w:p w:rsidR="00300092" w:rsidRPr="007D4A8A" w:rsidRDefault="00300092" w:rsidP="00300092">
            <w:pPr>
              <w:pStyle w:val="BodyText"/>
              <w:jc w:val="right"/>
              <w:rPr>
                <w:rFonts w:ascii="Arial" w:hAnsi="Arial"/>
                <w:b/>
                <w:bCs/>
                <w:color w:val="FFFFFF"/>
                <w:sz w:val="18"/>
                <w:szCs w:val="18"/>
              </w:rPr>
            </w:pPr>
          </w:p>
        </w:tc>
        <w:tc>
          <w:tcPr>
            <w:tcW w:w="913" w:type="dxa"/>
            <w:tcBorders>
              <w:top w:val="single" w:sz="8" w:space="0" w:color="4F81BD"/>
              <w:left w:val="single" w:sz="8" w:space="0" w:color="4F81BD"/>
              <w:right w:val="single" w:sz="8" w:space="0" w:color="4F81BD"/>
            </w:tcBorders>
            <w:shd w:val="clear" w:color="auto" w:fill="4F81BD"/>
          </w:tcPr>
          <w:p w:rsidR="00300092" w:rsidRPr="007D4A8A" w:rsidRDefault="00300092" w:rsidP="00300092">
            <w:pPr>
              <w:pStyle w:val="BodyText"/>
              <w:jc w:val="center"/>
              <w:rPr>
                <w:rFonts w:ascii="Arial" w:hAnsi="Arial"/>
                <w:b/>
                <w:bCs/>
                <w:color w:val="FFFFFF"/>
                <w:sz w:val="18"/>
                <w:szCs w:val="18"/>
              </w:rPr>
            </w:pPr>
            <w:r w:rsidRPr="007D4A8A">
              <w:rPr>
                <w:rFonts w:ascii="Arial" w:hAnsi="Arial"/>
                <w:bCs/>
                <w:color w:val="FFFFFF"/>
                <w:sz w:val="18"/>
                <w:szCs w:val="18"/>
              </w:rPr>
              <w:t>PASL</w:t>
            </w:r>
          </w:p>
        </w:tc>
        <w:tc>
          <w:tcPr>
            <w:tcW w:w="900" w:type="dxa"/>
            <w:tcBorders>
              <w:top w:val="single" w:sz="8" w:space="0" w:color="4F81BD"/>
            </w:tcBorders>
            <w:shd w:val="clear" w:color="auto" w:fill="4F81BD"/>
          </w:tcPr>
          <w:p w:rsidR="00300092" w:rsidRPr="007D4A8A" w:rsidRDefault="00300092" w:rsidP="00300092">
            <w:pPr>
              <w:pStyle w:val="BodyText"/>
              <w:jc w:val="center"/>
              <w:rPr>
                <w:rFonts w:ascii="Arial" w:hAnsi="Arial"/>
                <w:b/>
                <w:bCs/>
                <w:color w:val="FFFFFF"/>
                <w:sz w:val="18"/>
                <w:szCs w:val="18"/>
              </w:rPr>
            </w:pPr>
            <w:r w:rsidRPr="007D4A8A">
              <w:rPr>
                <w:rFonts w:ascii="Arial" w:hAnsi="Arial"/>
                <w:bCs/>
                <w:color w:val="FFFFFF"/>
                <w:sz w:val="18"/>
                <w:szCs w:val="18"/>
              </w:rPr>
              <w:t>PASM</w:t>
            </w:r>
          </w:p>
        </w:tc>
        <w:tc>
          <w:tcPr>
            <w:tcW w:w="904" w:type="dxa"/>
            <w:tcBorders>
              <w:top w:val="single" w:sz="8" w:space="0" w:color="4F81BD"/>
              <w:left w:val="single" w:sz="8" w:space="0" w:color="4F81BD"/>
              <w:right w:val="single" w:sz="8" w:space="0" w:color="4F81BD"/>
            </w:tcBorders>
            <w:shd w:val="clear" w:color="auto" w:fill="4F81BD"/>
          </w:tcPr>
          <w:p w:rsidR="00300092" w:rsidRPr="007D4A8A" w:rsidRDefault="00300092" w:rsidP="00300092">
            <w:pPr>
              <w:pStyle w:val="BodyText"/>
              <w:jc w:val="center"/>
              <w:rPr>
                <w:rFonts w:ascii="Arial" w:hAnsi="Arial"/>
                <w:b/>
                <w:bCs/>
                <w:color w:val="FFFFFF"/>
                <w:sz w:val="18"/>
                <w:szCs w:val="18"/>
              </w:rPr>
            </w:pPr>
            <w:r w:rsidRPr="007D4A8A">
              <w:rPr>
                <w:rFonts w:ascii="Arial" w:hAnsi="Arial"/>
                <w:bCs/>
                <w:color w:val="FFFFFF"/>
                <w:sz w:val="18"/>
                <w:szCs w:val="18"/>
              </w:rPr>
              <w:t>PASH</w:t>
            </w:r>
          </w:p>
        </w:tc>
        <w:tc>
          <w:tcPr>
            <w:tcW w:w="926" w:type="dxa"/>
            <w:tcBorders>
              <w:top w:val="single" w:sz="8" w:space="0" w:color="4F81BD"/>
            </w:tcBorders>
            <w:shd w:val="clear" w:color="auto" w:fill="4F81BD"/>
          </w:tcPr>
          <w:p w:rsidR="00300092" w:rsidRPr="007D4A8A" w:rsidRDefault="00300092" w:rsidP="00300092">
            <w:pPr>
              <w:pStyle w:val="BodyText"/>
              <w:jc w:val="center"/>
              <w:rPr>
                <w:rFonts w:ascii="Arial" w:hAnsi="Arial"/>
                <w:b/>
                <w:bCs/>
                <w:color w:val="FFFFFF"/>
                <w:sz w:val="18"/>
                <w:szCs w:val="18"/>
              </w:rPr>
            </w:pPr>
            <w:r w:rsidRPr="007D4A8A">
              <w:rPr>
                <w:rFonts w:ascii="Arial" w:hAnsi="Arial"/>
                <w:bCs/>
                <w:color w:val="FFFFFF"/>
                <w:sz w:val="18"/>
                <w:szCs w:val="18"/>
              </w:rPr>
              <w:t>LCVL</w:t>
            </w:r>
          </w:p>
        </w:tc>
        <w:tc>
          <w:tcPr>
            <w:tcW w:w="913" w:type="dxa"/>
            <w:tcBorders>
              <w:top w:val="single" w:sz="8" w:space="0" w:color="4F81BD"/>
              <w:left w:val="single" w:sz="8" w:space="0" w:color="4F81BD"/>
              <w:right w:val="single" w:sz="8" w:space="0" w:color="4F81BD"/>
            </w:tcBorders>
            <w:shd w:val="clear" w:color="auto" w:fill="4F81BD"/>
          </w:tcPr>
          <w:p w:rsidR="00300092" w:rsidRPr="007D4A8A" w:rsidRDefault="00300092" w:rsidP="00300092">
            <w:pPr>
              <w:pStyle w:val="BodyText"/>
              <w:jc w:val="center"/>
              <w:rPr>
                <w:rFonts w:ascii="Arial" w:hAnsi="Arial"/>
                <w:b/>
                <w:bCs/>
                <w:color w:val="FFFFFF"/>
                <w:sz w:val="18"/>
                <w:szCs w:val="18"/>
              </w:rPr>
            </w:pPr>
            <w:r w:rsidRPr="007D4A8A">
              <w:rPr>
                <w:rFonts w:ascii="Arial" w:hAnsi="Arial"/>
                <w:bCs/>
                <w:color w:val="FFFFFF"/>
                <w:sz w:val="18"/>
                <w:szCs w:val="18"/>
              </w:rPr>
              <w:t>LCVM</w:t>
            </w:r>
          </w:p>
        </w:tc>
        <w:tc>
          <w:tcPr>
            <w:tcW w:w="856" w:type="dxa"/>
            <w:tcBorders>
              <w:top w:val="single" w:sz="8" w:space="0" w:color="4F81BD"/>
            </w:tcBorders>
            <w:shd w:val="clear" w:color="auto" w:fill="4F81BD"/>
          </w:tcPr>
          <w:p w:rsidR="00300092" w:rsidRPr="007D4A8A" w:rsidRDefault="00300092" w:rsidP="00300092">
            <w:pPr>
              <w:pStyle w:val="BodyText"/>
              <w:jc w:val="center"/>
              <w:rPr>
                <w:rFonts w:ascii="Arial" w:hAnsi="Arial"/>
                <w:b/>
                <w:bCs/>
                <w:color w:val="FFFFFF"/>
                <w:sz w:val="18"/>
                <w:szCs w:val="18"/>
              </w:rPr>
            </w:pPr>
            <w:r w:rsidRPr="007D4A8A">
              <w:rPr>
                <w:rFonts w:ascii="Arial" w:hAnsi="Arial"/>
                <w:bCs/>
                <w:color w:val="FFFFFF"/>
                <w:sz w:val="18"/>
                <w:szCs w:val="18"/>
              </w:rPr>
              <w:t>LCVH</w:t>
            </w:r>
          </w:p>
        </w:tc>
        <w:tc>
          <w:tcPr>
            <w:tcW w:w="852" w:type="dxa"/>
            <w:tcBorders>
              <w:top w:val="single" w:sz="8" w:space="0" w:color="4F81BD"/>
              <w:left w:val="single" w:sz="8" w:space="0" w:color="4F81BD"/>
              <w:right w:val="single" w:sz="8" w:space="0" w:color="4F81BD"/>
            </w:tcBorders>
            <w:shd w:val="clear" w:color="auto" w:fill="4F81BD"/>
          </w:tcPr>
          <w:p w:rsidR="00300092" w:rsidRPr="007D4A8A" w:rsidRDefault="00300092" w:rsidP="00300092">
            <w:pPr>
              <w:pStyle w:val="BodyText"/>
              <w:jc w:val="center"/>
              <w:rPr>
                <w:rFonts w:ascii="Arial" w:hAnsi="Arial"/>
                <w:b/>
                <w:bCs/>
                <w:color w:val="FFFFFF"/>
                <w:sz w:val="18"/>
                <w:szCs w:val="18"/>
              </w:rPr>
            </w:pPr>
            <w:r w:rsidRPr="007D4A8A">
              <w:rPr>
                <w:rFonts w:ascii="Arial" w:hAnsi="Arial"/>
                <w:bCs/>
                <w:color w:val="FFFFFF"/>
                <w:sz w:val="18"/>
                <w:szCs w:val="18"/>
              </w:rPr>
              <w:t>RGT</w:t>
            </w:r>
          </w:p>
        </w:tc>
        <w:tc>
          <w:tcPr>
            <w:tcW w:w="857" w:type="dxa"/>
            <w:tcBorders>
              <w:top w:val="single" w:sz="8" w:space="0" w:color="4F81BD"/>
            </w:tcBorders>
            <w:shd w:val="clear" w:color="auto" w:fill="4F81BD"/>
          </w:tcPr>
          <w:p w:rsidR="00300092" w:rsidRPr="007D4A8A" w:rsidRDefault="00300092" w:rsidP="00300092">
            <w:pPr>
              <w:pStyle w:val="BodyText"/>
              <w:jc w:val="center"/>
              <w:rPr>
                <w:rFonts w:ascii="Arial" w:hAnsi="Arial"/>
                <w:b/>
                <w:bCs/>
                <w:color w:val="FFFFFF"/>
                <w:sz w:val="18"/>
                <w:szCs w:val="18"/>
              </w:rPr>
            </w:pPr>
            <w:r w:rsidRPr="007D4A8A">
              <w:rPr>
                <w:rFonts w:ascii="Arial" w:hAnsi="Arial"/>
                <w:bCs/>
                <w:color w:val="FFFFFF"/>
                <w:sz w:val="18"/>
                <w:szCs w:val="18"/>
              </w:rPr>
              <w:t>BUS</w:t>
            </w:r>
          </w:p>
        </w:tc>
        <w:tc>
          <w:tcPr>
            <w:tcW w:w="701" w:type="dxa"/>
            <w:tcBorders>
              <w:top w:val="single" w:sz="8" w:space="0" w:color="4F81BD"/>
              <w:left w:val="single" w:sz="8" w:space="0" w:color="4F81BD"/>
            </w:tcBorders>
            <w:shd w:val="clear" w:color="auto" w:fill="4F81BD"/>
          </w:tcPr>
          <w:p w:rsidR="00300092" w:rsidRPr="007D4A8A" w:rsidRDefault="00300092" w:rsidP="00300092">
            <w:pPr>
              <w:pStyle w:val="BodyText"/>
              <w:jc w:val="center"/>
              <w:rPr>
                <w:rFonts w:ascii="Arial" w:hAnsi="Arial"/>
                <w:b/>
                <w:bCs/>
                <w:color w:val="FFFFFF"/>
                <w:sz w:val="18"/>
                <w:szCs w:val="18"/>
              </w:rPr>
            </w:pPr>
            <w:r w:rsidRPr="007D4A8A">
              <w:rPr>
                <w:rFonts w:ascii="Arial" w:hAnsi="Arial"/>
                <w:bCs/>
                <w:color w:val="FFFFFF"/>
                <w:sz w:val="18"/>
                <w:szCs w:val="18"/>
              </w:rPr>
              <w:t>ART</w:t>
            </w:r>
          </w:p>
        </w:tc>
      </w:tr>
      <w:tr w:rsidR="00300092" w:rsidTr="00300092">
        <w:tc>
          <w:tcPr>
            <w:tcW w:w="891" w:type="dxa"/>
            <w:tcBorders>
              <w:top w:val="single" w:sz="8" w:space="0" w:color="4F81BD"/>
              <w:bottom w:val="single" w:sz="8" w:space="0" w:color="4F81BD"/>
            </w:tcBorders>
          </w:tcPr>
          <w:p w:rsidR="00300092" w:rsidRPr="007D4A8A" w:rsidRDefault="00300092" w:rsidP="00300092">
            <w:pPr>
              <w:pStyle w:val="BodyText"/>
              <w:jc w:val="right"/>
              <w:rPr>
                <w:rFonts w:ascii="Arial" w:hAnsi="Arial"/>
                <w:b/>
                <w:bCs/>
                <w:sz w:val="18"/>
                <w:szCs w:val="18"/>
              </w:rPr>
            </w:pPr>
            <w:r w:rsidRPr="007D4A8A">
              <w:rPr>
                <w:rFonts w:ascii="Arial" w:hAnsi="Arial"/>
                <w:bCs/>
                <w:sz w:val="18"/>
                <w:szCs w:val="18"/>
              </w:rPr>
              <w:t>PET</w:t>
            </w:r>
          </w:p>
        </w:tc>
        <w:tc>
          <w:tcPr>
            <w:tcW w:w="913" w:type="dxa"/>
            <w:tcBorders>
              <w:top w:val="single" w:sz="8" w:space="0" w:color="4F81BD"/>
              <w:left w:val="single" w:sz="8" w:space="0" w:color="4F81BD"/>
              <w:bottom w:val="single" w:sz="8" w:space="0" w:color="4F81BD"/>
              <w:right w:val="single" w:sz="8" w:space="0" w:color="4F81BD"/>
            </w:tcBorders>
          </w:tcPr>
          <w:p w:rsidR="00300092" w:rsidRDefault="00300092" w:rsidP="00300092">
            <w:pPr>
              <w:pStyle w:val="BodyText"/>
              <w:jc w:val="center"/>
            </w:pPr>
            <w:r w:rsidRPr="007D4A8A">
              <w:rPr>
                <w:rFonts w:ascii="Arial Black" w:hAnsi="Arial Black"/>
                <w:sz w:val="28"/>
              </w:rPr>
              <w:t>x</w:t>
            </w:r>
          </w:p>
        </w:tc>
        <w:tc>
          <w:tcPr>
            <w:tcW w:w="900" w:type="dxa"/>
            <w:tcBorders>
              <w:top w:val="single" w:sz="8" w:space="0" w:color="4F81BD"/>
              <w:bottom w:val="single" w:sz="8" w:space="0" w:color="4F81BD"/>
            </w:tcBorders>
          </w:tcPr>
          <w:p w:rsidR="00300092" w:rsidRDefault="00300092" w:rsidP="00300092">
            <w:pPr>
              <w:pStyle w:val="BodyText"/>
              <w:jc w:val="center"/>
            </w:pPr>
            <w:r w:rsidRPr="007D4A8A">
              <w:rPr>
                <w:rFonts w:ascii="Arial Black" w:hAnsi="Arial Black"/>
                <w:sz w:val="28"/>
              </w:rPr>
              <w:t>x</w:t>
            </w:r>
          </w:p>
        </w:tc>
        <w:tc>
          <w:tcPr>
            <w:tcW w:w="904" w:type="dxa"/>
            <w:tcBorders>
              <w:top w:val="single" w:sz="8" w:space="0" w:color="4F81BD"/>
              <w:left w:val="single" w:sz="8" w:space="0" w:color="4F81BD"/>
              <w:bottom w:val="single" w:sz="8" w:space="0" w:color="4F81BD"/>
              <w:right w:val="single" w:sz="8" w:space="0" w:color="4F81BD"/>
            </w:tcBorders>
          </w:tcPr>
          <w:p w:rsidR="00300092" w:rsidRDefault="00300092" w:rsidP="00300092">
            <w:pPr>
              <w:pStyle w:val="BodyText"/>
              <w:jc w:val="center"/>
            </w:pPr>
            <w:r w:rsidRPr="007D4A8A">
              <w:rPr>
                <w:rFonts w:ascii="Arial Black" w:hAnsi="Arial Black"/>
                <w:sz w:val="28"/>
              </w:rPr>
              <w:t>x</w:t>
            </w:r>
          </w:p>
        </w:tc>
        <w:tc>
          <w:tcPr>
            <w:tcW w:w="926" w:type="dxa"/>
            <w:tcBorders>
              <w:top w:val="single" w:sz="8" w:space="0" w:color="4F81BD"/>
              <w:bottom w:val="single" w:sz="8" w:space="0" w:color="4F81BD"/>
            </w:tcBorders>
          </w:tcPr>
          <w:p w:rsidR="00300092" w:rsidRDefault="00300092" w:rsidP="00300092">
            <w:pPr>
              <w:pStyle w:val="BodyText"/>
              <w:jc w:val="center"/>
            </w:pPr>
            <w:r w:rsidRPr="007D4A8A">
              <w:rPr>
                <w:rFonts w:ascii="Arial Black" w:hAnsi="Arial Black"/>
                <w:sz w:val="28"/>
              </w:rPr>
              <w:t>x</w:t>
            </w:r>
          </w:p>
        </w:tc>
        <w:tc>
          <w:tcPr>
            <w:tcW w:w="913" w:type="dxa"/>
            <w:tcBorders>
              <w:top w:val="single" w:sz="8" w:space="0" w:color="4F81BD"/>
              <w:left w:val="single" w:sz="8" w:space="0" w:color="4F81BD"/>
              <w:bottom w:val="single" w:sz="8" w:space="0" w:color="4F81BD"/>
              <w:right w:val="single" w:sz="8" w:space="0" w:color="4F81BD"/>
            </w:tcBorders>
          </w:tcPr>
          <w:p w:rsidR="00300092" w:rsidRDefault="00300092" w:rsidP="00300092">
            <w:pPr>
              <w:pStyle w:val="BodyText"/>
              <w:jc w:val="center"/>
            </w:pPr>
            <w:r w:rsidRPr="007D4A8A">
              <w:rPr>
                <w:rFonts w:ascii="Arial Black" w:hAnsi="Arial Black"/>
                <w:sz w:val="28"/>
              </w:rPr>
              <w:t>x</w:t>
            </w:r>
          </w:p>
        </w:tc>
        <w:tc>
          <w:tcPr>
            <w:tcW w:w="856" w:type="dxa"/>
            <w:tcBorders>
              <w:top w:val="single" w:sz="8" w:space="0" w:color="4F81BD"/>
              <w:bottom w:val="single" w:sz="8" w:space="0" w:color="4F81BD"/>
            </w:tcBorders>
          </w:tcPr>
          <w:p w:rsidR="00300092" w:rsidRDefault="00300092" w:rsidP="00300092">
            <w:pPr>
              <w:pStyle w:val="BodyText"/>
              <w:jc w:val="center"/>
            </w:pPr>
            <w:r w:rsidRPr="007D4A8A">
              <w:rPr>
                <w:rFonts w:ascii="Arial Black" w:hAnsi="Arial Black"/>
                <w:sz w:val="28"/>
              </w:rPr>
              <w:t>x</w:t>
            </w:r>
          </w:p>
        </w:tc>
        <w:tc>
          <w:tcPr>
            <w:tcW w:w="852" w:type="dxa"/>
            <w:tcBorders>
              <w:top w:val="single" w:sz="8" w:space="0" w:color="4F81BD"/>
              <w:left w:val="single" w:sz="8" w:space="0" w:color="4F81BD"/>
              <w:bottom w:val="single" w:sz="8" w:space="0" w:color="4F81BD"/>
              <w:right w:val="single" w:sz="8" w:space="0" w:color="4F81BD"/>
            </w:tcBorders>
          </w:tcPr>
          <w:p w:rsidR="00300092" w:rsidRDefault="00300092" w:rsidP="00300092">
            <w:pPr>
              <w:pStyle w:val="BodyText"/>
              <w:jc w:val="center"/>
            </w:pPr>
          </w:p>
        </w:tc>
        <w:tc>
          <w:tcPr>
            <w:tcW w:w="857" w:type="dxa"/>
            <w:tcBorders>
              <w:top w:val="single" w:sz="8" w:space="0" w:color="4F81BD"/>
              <w:bottom w:val="single" w:sz="8" w:space="0" w:color="4F81BD"/>
            </w:tcBorders>
          </w:tcPr>
          <w:p w:rsidR="00300092" w:rsidRDefault="00300092" w:rsidP="00300092">
            <w:pPr>
              <w:pStyle w:val="BodyText"/>
              <w:jc w:val="center"/>
            </w:pPr>
          </w:p>
        </w:tc>
        <w:tc>
          <w:tcPr>
            <w:tcW w:w="701" w:type="dxa"/>
            <w:tcBorders>
              <w:top w:val="single" w:sz="8" w:space="0" w:color="4F81BD"/>
              <w:left w:val="single" w:sz="8" w:space="0" w:color="4F81BD"/>
              <w:bottom w:val="single" w:sz="8" w:space="0" w:color="4F81BD"/>
            </w:tcBorders>
          </w:tcPr>
          <w:p w:rsidR="00300092" w:rsidRDefault="00300092" w:rsidP="00300092">
            <w:pPr>
              <w:pStyle w:val="BodyText"/>
              <w:jc w:val="center"/>
            </w:pPr>
          </w:p>
        </w:tc>
      </w:tr>
      <w:tr w:rsidR="00300092" w:rsidTr="00300092">
        <w:tc>
          <w:tcPr>
            <w:tcW w:w="891" w:type="dxa"/>
          </w:tcPr>
          <w:p w:rsidR="00300092" w:rsidRPr="007D4A8A" w:rsidRDefault="00300092" w:rsidP="00300092">
            <w:pPr>
              <w:pStyle w:val="BodyText"/>
              <w:jc w:val="right"/>
              <w:rPr>
                <w:rFonts w:ascii="Arial" w:hAnsi="Arial"/>
                <w:b/>
                <w:bCs/>
                <w:sz w:val="18"/>
                <w:szCs w:val="18"/>
              </w:rPr>
            </w:pPr>
            <w:r w:rsidRPr="007D4A8A">
              <w:rPr>
                <w:rFonts w:ascii="Arial" w:hAnsi="Arial"/>
                <w:bCs/>
                <w:sz w:val="18"/>
                <w:szCs w:val="18"/>
              </w:rPr>
              <w:t>E10</w:t>
            </w:r>
          </w:p>
        </w:tc>
        <w:tc>
          <w:tcPr>
            <w:tcW w:w="913" w:type="dxa"/>
            <w:tcBorders>
              <w:left w:val="single" w:sz="8" w:space="0" w:color="4F81BD"/>
              <w:right w:val="single" w:sz="8" w:space="0" w:color="4F81BD"/>
            </w:tcBorders>
          </w:tcPr>
          <w:p w:rsidR="00300092" w:rsidRDefault="00300092" w:rsidP="00300092">
            <w:pPr>
              <w:pStyle w:val="BodyText"/>
              <w:jc w:val="center"/>
            </w:pPr>
            <w:r w:rsidRPr="007D4A8A">
              <w:rPr>
                <w:rFonts w:ascii="Arial Black" w:hAnsi="Arial Black"/>
                <w:sz w:val="28"/>
              </w:rPr>
              <w:t>x</w:t>
            </w:r>
          </w:p>
        </w:tc>
        <w:tc>
          <w:tcPr>
            <w:tcW w:w="900" w:type="dxa"/>
          </w:tcPr>
          <w:p w:rsidR="00300092" w:rsidRDefault="00300092" w:rsidP="00300092">
            <w:pPr>
              <w:pStyle w:val="BodyText"/>
              <w:jc w:val="center"/>
            </w:pPr>
            <w:r w:rsidRPr="007D4A8A">
              <w:rPr>
                <w:rFonts w:ascii="Arial Black" w:hAnsi="Arial Black"/>
                <w:sz w:val="28"/>
              </w:rPr>
              <w:t>x</w:t>
            </w:r>
          </w:p>
        </w:tc>
        <w:tc>
          <w:tcPr>
            <w:tcW w:w="904" w:type="dxa"/>
            <w:tcBorders>
              <w:left w:val="single" w:sz="8" w:space="0" w:color="4F81BD"/>
              <w:right w:val="single" w:sz="8" w:space="0" w:color="4F81BD"/>
            </w:tcBorders>
          </w:tcPr>
          <w:p w:rsidR="00300092" w:rsidRDefault="00300092" w:rsidP="00300092">
            <w:pPr>
              <w:pStyle w:val="BodyText"/>
              <w:jc w:val="center"/>
            </w:pPr>
            <w:r w:rsidRPr="007D4A8A">
              <w:rPr>
                <w:rFonts w:ascii="Arial Black" w:hAnsi="Arial Black"/>
                <w:sz w:val="28"/>
              </w:rPr>
              <w:t>x</w:t>
            </w:r>
          </w:p>
        </w:tc>
        <w:tc>
          <w:tcPr>
            <w:tcW w:w="926" w:type="dxa"/>
          </w:tcPr>
          <w:p w:rsidR="00300092" w:rsidRDefault="00300092" w:rsidP="00300092">
            <w:pPr>
              <w:pStyle w:val="BodyText"/>
              <w:jc w:val="center"/>
            </w:pPr>
            <w:r w:rsidRPr="007D4A8A">
              <w:rPr>
                <w:rFonts w:ascii="Arial Black" w:hAnsi="Arial Black"/>
                <w:sz w:val="28"/>
              </w:rPr>
              <w:t>x</w:t>
            </w:r>
          </w:p>
        </w:tc>
        <w:tc>
          <w:tcPr>
            <w:tcW w:w="913" w:type="dxa"/>
            <w:tcBorders>
              <w:left w:val="single" w:sz="8" w:space="0" w:color="4F81BD"/>
              <w:right w:val="single" w:sz="8" w:space="0" w:color="4F81BD"/>
            </w:tcBorders>
          </w:tcPr>
          <w:p w:rsidR="00300092" w:rsidRDefault="00300092" w:rsidP="00300092">
            <w:pPr>
              <w:pStyle w:val="BodyText"/>
              <w:jc w:val="center"/>
            </w:pPr>
            <w:r w:rsidRPr="007D4A8A">
              <w:rPr>
                <w:rFonts w:ascii="Arial Black" w:hAnsi="Arial Black"/>
                <w:sz w:val="28"/>
              </w:rPr>
              <w:t>x</w:t>
            </w:r>
          </w:p>
        </w:tc>
        <w:tc>
          <w:tcPr>
            <w:tcW w:w="856" w:type="dxa"/>
          </w:tcPr>
          <w:p w:rsidR="00300092" w:rsidRDefault="00300092" w:rsidP="00300092">
            <w:pPr>
              <w:pStyle w:val="BodyText"/>
              <w:jc w:val="center"/>
            </w:pPr>
            <w:r w:rsidRPr="007D4A8A">
              <w:rPr>
                <w:rFonts w:ascii="Arial Black" w:hAnsi="Arial Black"/>
                <w:sz w:val="28"/>
              </w:rPr>
              <w:t>x</w:t>
            </w:r>
          </w:p>
        </w:tc>
        <w:tc>
          <w:tcPr>
            <w:tcW w:w="852" w:type="dxa"/>
            <w:tcBorders>
              <w:left w:val="single" w:sz="8" w:space="0" w:color="4F81BD"/>
              <w:right w:val="single" w:sz="8" w:space="0" w:color="4F81BD"/>
            </w:tcBorders>
          </w:tcPr>
          <w:p w:rsidR="00300092" w:rsidRDefault="00300092" w:rsidP="00300092">
            <w:pPr>
              <w:pStyle w:val="BodyText"/>
            </w:pPr>
          </w:p>
        </w:tc>
        <w:tc>
          <w:tcPr>
            <w:tcW w:w="857" w:type="dxa"/>
          </w:tcPr>
          <w:p w:rsidR="00300092" w:rsidRDefault="00300092" w:rsidP="00300092">
            <w:pPr>
              <w:pStyle w:val="BodyText"/>
            </w:pPr>
          </w:p>
        </w:tc>
        <w:tc>
          <w:tcPr>
            <w:tcW w:w="701" w:type="dxa"/>
            <w:tcBorders>
              <w:left w:val="single" w:sz="8" w:space="0" w:color="4F81BD"/>
            </w:tcBorders>
          </w:tcPr>
          <w:p w:rsidR="00300092" w:rsidRDefault="00300092" w:rsidP="00300092">
            <w:pPr>
              <w:pStyle w:val="BodyText"/>
            </w:pPr>
          </w:p>
        </w:tc>
      </w:tr>
      <w:tr w:rsidR="00300092" w:rsidTr="00300092">
        <w:tc>
          <w:tcPr>
            <w:tcW w:w="891" w:type="dxa"/>
            <w:tcBorders>
              <w:top w:val="single" w:sz="8" w:space="0" w:color="4F81BD"/>
              <w:bottom w:val="single" w:sz="8" w:space="0" w:color="4F81BD"/>
            </w:tcBorders>
          </w:tcPr>
          <w:p w:rsidR="00300092" w:rsidRPr="007D4A8A" w:rsidRDefault="00300092" w:rsidP="00300092">
            <w:pPr>
              <w:pStyle w:val="BodyText"/>
              <w:jc w:val="right"/>
              <w:rPr>
                <w:rFonts w:ascii="Arial" w:hAnsi="Arial"/>
                <w:b/>
                <w:bCs/>
                <w:sz w:val="18"/>
                <w:szCs w:val="18"/>
              </w:rPr>
            </w:pPr>
            <w:r w:rsidRPr="007D4A8A">
              <w:rPr>
                <w:rFonts w:ascii="Arial" w:hAnsi="Arial"/>
                <w:bCs/>
                <w:sz w:val="18"/>
                <w:szCs w:val="18"/>
              </w:rPr>
              <w:t>E85</w:t>
            </w:r>
          </w:p>
        </w:tc>
        <w:tc>
          <w:tcPr>
            <w:tcW w:w="913" w:type="dxa"/>
            <w:tcBorders>
              <w:top w:val="single" w:sz="8" w:space="0" w:color="4F81BD"/>
              <w:left w:val="single" w:sz="8" w:space="0" w:color="4F81BD"/>
              <w:bottom w:val="single" w:sz="8" w:space="0" w:color="4F81BD"/>
              <w:right w:val="single" w:sz="8" w:space="0" w:color="4F81BD"/>
            </w:tcBorders>
          </w:tcPr>
          <w:p w:rsidR="00300092" w:rsidRDefault="00300092" w:rsidP="00300092">
            <w:pPr>
              <w:pStyle w:val="BodyText"/>
              <w:jc w:val="center"/>
            </w:pPr>
            <w:r w:rsidRPr="007D4A8A">
              <w:rPr>
                <w:rFonts w:ascii="Arial Black" w:hAnsi="Arial Black"/>
                <w:sz w:val="28"/>
              </w:rPr>
              <w:t>x</w:t>
            </w:r>
          </w:p>
        </w:tc>
        <w:tc>
          <w:tcPr>
            <w:tcW w:w="900" w:type="dxa"/>
            <w:tcBorders>
              <w:top w:val="single" w:sz="8" w:space="0" w:color="4F81BD"/>
              <w:bottom w:val="single" w:sz="8" w:space="0" w:color="4F81BD"/>
            </w:tcBorders>
          </w:tcPr>
          <w:p w:rsidR="00300092" w:rsidRDefault="00300092" w:rsidP="00300092">
            <w:pPr>
              <w:pStyle w:val="BodyText"/>
              <w:jc w:val="center"/>
            </w:pPr>
            <w:r w:rsidRPr="007D4A8A">
              <w:rPr>
                <w:rFonts w:ascii="Arial Black" w:hAnsi="Arial Black"/>
                <w:sz w:val="28"/>
              </w:rPr>
              <w:t>x</w:t>
            </w:r>
          </w:p>
        </w:tc>
        <w:tc>
          <w:tcPr>
            <w:tcW w:w="904" w:type="dxa"/>
            <w:tcBorders>
              <w:top w:val="single" w:sz="8" w:space="0" w:color="4F81BD"/>
              <w:left w:val="single" w:sz="8" w:space="0" w:color="4F81BD"/>
              <w:bottom w:val="single" w:sz="8" w:space="0" w:color="4F81BD"/>
              <w:right w:val="single" w:sz="8" w:space="0" w:color="4F81BD"/>
            </w:tcBorders>
          </w:tcPr>
          <w:p w:rsidR="00300092" w:rsidRDefault="00300092" w:rsidP="00300092">
            <w:pPr>
              <w:pStyle w:val="BodyText"/>
              <w:jc w:val="center"/>
            </w:pPr>
            <w:r w:rsidRPr="007D4A8A">
              <w:rPr>
                <w:rFonts w:ascii="Arial Black" w:hAnsi="Arial Black"/>
                <w:sz w:val="28"/>
              </w:rPr>
              <w:t>x</w:t>
            </w:r>
          </w:p>
        </w:tc>
        <w:tc>
          <w:tcPr>
            <w:tcW w:w="926" w:type="dxa"/>
            <w:tcBorders>
              <w:top w:val="single" w:sz="8" w:space="0" w:color="4F81BD"/>
              <w:bottom w:val="single" w:sz="8" w:space="0" w:color="4F81BD"/>
            </w:tcBorders>
          </w:tcPr>
          <w:p w:rsidR="00300092" w:rsidRDefault="00300092" w:rsidP="00300092">
            <w:pPr>
              <w:pStyle w:val="BodyText"/>
              <w:jc w:val="center"/>
            </w:pPr>
            <w:r w:rsidRPr="007D4A8A">
              <w:rPr>
                <w:rFonts w:ascii="Arial Black" w:hAnsi="Arial Black"/>
                <w:sz w:val="28"/>
              </w:rPr>
              <w:t>x</w:t>
            </w:r>
          </w:p>
        </w:tc>
        <w:tc>
          <w:tcPr>
            <w:tcW w:w="913" w:type="dxa"/>
            <w:tcBorders>
              <w:top w:val="single" w:sz="8" w:space="0" w:color="4F81BD"/>
              <w:left w:val="single" w:sz="8" w:space="0" w:color="4F81BD"/>
              <w:bottom w:val="single" w:sz="8" w:space="0" w:color="4F81BD"/>
              <w:right w:val="single" w:sz="8" w:space="0" w:color="4F81BD"/>
            </w:tcBorders>
          </w:tcPr>
          <w:p w:rsidR="00300092" w:rsidRDefault="00300092" w:rsidP="00300092">
            <w:pPr>
              <w:pStyle w:val="BodyText"/>
              <w:jc w:val="center"/>
            </w:pPr>
            <w:r w:rsidRPr="007D4A8A">
              <w:rPr>
                <w:rFonts w:ascii="Arial Black" w:hAnsi="Arial Black"/>
                <w:sz w:val="28"/>
              </w:rPr>
              <w:t>x</w:t>
            </w:r>
          </w:p>
        </w:tc>
        <w:tc>
          <w:tcPr>
            <w:tcW w:w="856" w:type="dxa"/>
            <w:tcBorders>
              <w:top w:val="single" w:sz="8" w:space="0" w:color="4F81BD"/>
              <w:bottom w:val="single" w:sz="8" w:space="0" w:color="4F81BD"/>
            </w:tcBorders>
          </w:tcPr>
          <w:p w:rsidR="00300092" w:rsidRDefault="00300092" w:rsidP="00300092">
            <w:pPr>
              <w:pStyle w:val="BodyText"/>
              <w:jc w:val="center"/>
            </w:pPr>
            <w:r w:rsidRPr="007D4A8A">
              <w:rPr>
                <w:rFonts w:ascii="Arial Black" w:hAnsi="Arial Black"/>
                <w:sz w:val="28"/>
              </w:rPr>
              <w:t>x</w:t>
            </w:r>
          </w:p>
        </w:tc>
        <w:tc>
          <w:tcPr>
            <w:tcW w:w="852" w:type="dxa"/>
            <w:tcBorders>
              <w:top w:val="single" w:sz="8" w:space="0" w:color="4F81BD"/>
              <w:left w:val="single" w:sz="8" w:space="0" w:color="4F81BD"/>
              <w:bottom w:val="single" w:sz="8" w:space="0" w:color="4F81BD"/>
              <w:right w:val="single" w:sz="8" w:space="0" w:color="4F81BD"/>
            </w:tcBorders>
          </w:tcPr>
          <w:p w:rsidR="00300092" w:rsidRDefault="00300092" w:rsidP="00300092">
            <w:pPr>
              <w:pStyle w:val="BodyText"/>
            </w:pPr>
          </w:p>
        </w:tc>
        <w:tc>
          <w:tcPr>
            <w:tcW w:w="857" w:type="dxa"/>
            <w:tcBorders>
              <w:top w:val="single" w:sz="8" w:space="0" w:color="4F81BD"/>
              <w:bottom w:val="single" w:sz="8" w:space="0" w:color="4F81BD"/>
            </w:tcBorders>
          </w:tcPr>
          <w:p w:rsidR="00300092" w:rsidRDefault="00300092" w:rsidP="00300092">
            <w:pPr>
              <w:pStyle w:val="BodyText"/>
            </w:pPr>
          </w:p>
        </w:tc>
        <w:tc>
          <w:tcPr>
            <w:tcW w:w="701" w:type="dxa"/>
            <w:tcBorders>
              <w:top w:val="single" w:sz="8" w:space="0" w:color="4F81BD"/>
              <w:left w:val="single" w:sz="8" w:space="0" w:color="4F81BD"/>
              <w:bottom w:val="single" w:sz="8" w:space="0" w:color="4F81BD"/>
            </w:tcBorders>
          </w:tcPr>
          <w:p w:rsidR="00300092" w:rsidRDefault="00300092" w:rsidP="00300092">
            <w:pPr>
              <w:pStyle w:val="BodyText"/>
            </w:pPr>
          </w:p>
        </w:tc>
      </w:tr>
      <w:tr w:rsidR="00300092" w:rsidTr="00300092">
        <w:tc>
          <w:tcPr>
            <w:tcW w:w="891" w:type="dxa"/>
          </w:tcPr>
          <w:p w:rsidR="00300092" w:rsidRPr="007D4A8A" w:rsidRDefault="00300092" w:rsidP="00300092">
            <w:pPr>
              <w:pStyle w:val="BodyText"/>
              <w:jc w:val="right"/>
              <w:rPr>
                <w:rFonts w:ascii="Arial" w:hAnsi="Arial"/>
                <w:b/>
                <w:bCs/>
                <w:sz w:val="18"/>
                <w:szCs w:val="18"/>
              </w:rPr>
            </w:pPr>
            <w:r w:rsidRPr="007D4A8A">
              <w:rPr>
                <w:rFonts w:ascii="Arial" w:hAnsi="Arial"/>
                <w:bCs/>
                <w:sz w:val="18"/>
                <w:szCs w:val="18"/>
              </w:rPr>
              <w:t>DSL</w:t>
            </w:r>
          </w:p>
        </w:tc>
        <w:tc>
          <w:tcPr>
            <w:tcW w:w="913" w:type="dxa"/>
            <w:tcBorders>
              <w:left w:val="single" w:sz="8" w:space="0" w:color="4F81BD"/>
              <w:right w:val="single" w:sz="8" w:space="0" w:color="4F81BD"/>
            </w:tcBorders>
          </w:tcPr>
          <w:p w:rsidR="00300092" w:rsidRDefault="00300092" w:rsidP="00300092">
            <w:pPr>
              <w:pStyle w:val="BodyText"/>
              <w:jc w:val="center"/>
            </w:pPr>
            <w:r w:rsidRPr="007D4A8A">
              <w:rPr>
                <w:rFonts w:ascii="Arial Black" w:hAnsi="Arial Black"/>
                <w:sz w:val="28"/>
              </w:rPr>
              <w:t>x</w:t>
            </w:r>
          </w:p>
        </w:tc>
        <w:tc>
          <w:tcPr>
            <w:tcW w:w="900" w:type="dxa"/>
          </w:tcPr>
          <w:p w:rsidR="00300092" w:rsidRDefault="00300092" w:rsidP="00300092">
            <w:pPr>
              <w:pStyle w:val="BodyText"/>
              <w:jc w:val="center"/>
            </w:pPr>
            <w:r w:rsidRPr="007D4A8A">
              <w:rPr>
                <w:rFonts w:ascii="Arial Black" w:hAnsi="Arial Black"/>
                <w:sz w:val="28"/>
              </w:rPr>
              <w:t>x</w:t>
            </w:r>
          </w:p>
        </w:tc>
        <w:tc>
          <w:tcPr>
            <w:tcW w:w="904" w:type="dxa"/>
            <w:tcBorders>
              <w:left w:val="single" w:sz="8" w:space="0" w:color="4F81BD"/>
              <w:right w:val="single" w:sz="8" w:space="0" w:color="4F81BD"/>
            </w:tcBorders>
          </w:tcPr>
          <w:p w:rsidR="00300092" w:rsidRDefault="00300092" w:rsidP="00300092">
            <w:pPr>
              <w:pStyle w:val="BodyText"/>
              <w:jc w:val="center"/>
            </w:pPr>
            <w:r w:rsidRPr="007D4A8A">
              <w:rPr>
                <w:rFonts w:ascii="Arial Black" w:hAnsi="Arial Black"/>
                <w:sz w:val="28"/>
              </w:rPr>
              <w:t>x</w:t>
            </w:r>
          </w:p>
        </w:tc>
        <w:tc>
          <w:tcPr>
            <w:tcW w:w="926" w:type="dxa"/>
          </w:tcPr>
          <w:p w:rsidR="00300092" w:rsidRDefault="00300092" w:rsidP="00300092">
            <w:pPr>
              <w:pStyle w:val="BodyText"/>
              <w:jc w:val="center"/>
            </w:pPr>
            <w:r w:rsidRPr="007D4A8A">
              <w:rPr>
                <w:rFonts w:ascii="Arial Black" w:hAnsi="Arial Black"/>
                <w:sz w:val="28"/>
              </w:rPr>
              <w:t>x</w:t>
            </w:r>
          </w:p>
        </w:tc>
        <w:tc>
          <w:tcPr>
            <w:tcW w:w="913" w:type="dxa"/>
            <w:tcBorders>
              <w:left w:val="single" w:sz="8" w:space="0" w:color="4F81BD"/>
              <w:right w:val="single" w:sz="8" w:space="0" w:color="4F81BD"/>
            </w:tcBorders>
          </w:tcPr>
          <w:p w:rsidR="00300092" w:rsidRDefault="00300092" w:rsidP="00300092">
            <w:pPr>
              <w:pStyle w:val="BodyText"/>
              <w:jc w:val="center"/>
            </w:pPr>
            <w:r w:rsidRPr="007D4A8A">
              <w:rPr>
                <w:rFonts w:ascii="Arial Black" w:hAnsi="Arial Black"/>
                <w:sz w:val="28"/>
              </w:rPr>
              <w:t>x</w:t>
            </w:r>
          </w:p>
        </w:tc>
        <w:tc>
          <w:tcPr>
            <w:tcW w:w="856" w:type="dxa"/>
          </w:tcPr>
          <w:p w:rsidR="00300092" w:rsidRDefault="00300092" w:rsidP="00300092">
            <w:pPr>
              <w:pStyle w:val="BodyText"/>
              <w:jc w:val="center"/>
            </w:pPr>
            <w:r w:rsidRPr="007D4A8A">
              <w:rPr>
                <w:rFonts w:ascii="Arial Black" w:hAnsi="Arial Black"/>
                <w:sz w:val="28"/>
              </w:rPr>
              <w:t>x</w:t>
            </w:r>
          </w:p>
        </w:tc>
        <w:tc>
          <w:tcPr>
            <w:tcW w:w="852" w:type="dxa"/>
            <w:tcBorders>
              <w:left w:val="single" w:sz="8" w:space="0" w:color="4F81BD"/>
              <w:right w:val="single" w:sz="8" w:space="0" w:color="4F81BD"/>
            </w:tcBorders>
          </w:tcPr>
          <w:p w:rsidR="00300092" w:rsidRDefault="00300092" w:rsidP="00300092">
            <w:pPr>
              <w:pStyle w:val="BodyText"/>
              <w:jc w:val="center"/>
            </w:pPr>
            <w:r w:rsidRPr="007D4A8A">
              <w:rPr>
                <w:rFonts w:ascii="Arial Black" w:hAnsi="Arial Black"/>
                <w:sz w:val="28"/>
              </w:rPr>
              <w:t>x</w:t>
            </w:r>
          </w:p>
        </w:tc>
        <w:tc>
          <w:tcPr>
            <w:tcW w:w="857" w:type="dxa"/>
          </w:tcPr>
          <w:p w:rsidR="00300092" w:rsidRDefault="00300092" w:rsidP="00300092">
            <w:pPr>
              <w:pStyle w:val="BodyText"/>
              <w:jc w:val="center"/>
            </w:pPr>
            <w:r w:rsidRPr="007D4A8A">
              <w:rPr>
                <w:rFonts w:ascii="Arial Black" w:hAnsi="Arial Black"/>
                <w:sz w:val="28"/>
              </w:rPr>
              <w:t>x</w:t>
            </w:r>
          </w:p>
        </w:tc>
        <w:tc>
          <w:tcPr>
            <w:tcW w:w="701" w:type="dxa"/>
            <w:tcBorders>
              <w:left w:val="single" w:sz="8" w:space="0" w:color="4F81BD"/>
            </w:tcBorders>
          </w:tcPr>
          <w:p w:rsidR="00300092" w:rsidRDefault="00300092" w:rsidP="00300092">
            <w:pPr>
              <w:pStyle w:val="BodyText"/>
              <w:jc w:val="center"/>
            </w:pPr>
            <w:r w:rsidRPr="007D4A8A">
              <w:rPr>
                <w:rFonts w:ascii="Arial Black" w:hAnsi="Arial Black"/>
                <w:sz w:val="28"/>
              </w:rPr>
              <w:t>x</w:t>
            </w:r>
          </w:p>
        </w:tc>
      </w:tr>
      <w:tr w:rsidR="00300092" w:rsidTr="00300092">
        <w:tc>
          <w:tcPr>
            <w:tcW w:w="891" w:type="dxa"/>
            <w:tcBorders>
              <w:top w:val="single" w:sz="8" w:space="0" w:color="4F81BD"/>
              <w:bottom w:val="single" w:sz="8" w:space="0" w:color="4F81BD"/>
            </w:tcBorders>
          </w:tcPr>
          <w:p w:rsidR="00300092" w:rsidRPr="007D4A8A" w:rsidRDefault="00300092" w:rsidP="00300092">
            <w:pPr>
              <w:pStyle w:val="BodyText"/>
              <w:jc w:val="right"/>
              <w:rPr>
                <w:rFonts w:ascii="Arial" w:hAnsi="Arial"/>
                <w:b/>
                <w:bCs/>
                <w:sz w:val="18"/>
                <w:szCs w:val="18"/>
              </w:rPr>
            </w:pPr>
            <w:r w:rsidRPr="007D4A8A">
              <w:rPr>
                <w:rFonts w:ascii="Arial" w:hAnsi="Arial"/>
                <w:bCs/>
                <w:sz w:val="18"/>
                <w:szCs w:val="18"/>
              </w:rPr>
              <w:t>B20</w:t>
            </w:r>
          </w:p>
        </w:tc>
        <w:tc>
          <w:tcPr>
            <w:tcW w:w="913" w:type="dxa"/>
            <w:tcBorders>
              <w:top w:val="single" w:sz="8" w:space="0" w:color="4F81BD"/>
              <w:left w:val="single" w:sz="8" w:space="0" w:color="4F81BD"/>
              <w:bottom w:val="single" w:sz="8" w:space="0" w:color="4F81BD"/>
              <w:right w:val="single" w:sz="8" w:space="0" w:color="4F81BD"/>
            </w:tcBorders>
          </w:tcPr>
          <w:p w:rsidR="00300092" w:rsidRDefault="00300092" w:rsidP="00300092">
            <w:pPr>
              <w:pStyle w:val="BodyText"/>
              <w:jc w:val="center"/>
            </w:pPr>
            <w:r w:rsidRPr="007D4A8A">
              <w:rPr>
                <w:rFonts w:ascii="Arial Black" w:hAnsi="Arial Black"/>
                <w:sz w:val="28"/>
              </w:rPr>
              <w:t>x</w:t>
            </w:r>
          </w:p>
        </w:tc>
        <w:tc>
          <w:tcPr>
            <w:tcW w:w="900" w:type="dxa"/>
            <w:tcBorders>
              <w:top w:val="single" w:sz="8" w:space="0" w:color="4F81BD"/>
              <w:bottom w:val="single" w:sz="8" w:space="0" w:color="4F81BD"/>
            </w:tcBorders>
          </w:tcPr>
          <w:p w:rsidR="00300092" w:rsidRDefault="00300092" w:rsidP="00300092">
            <w:pPr>
              <w:pStyle w:val="BodyText"/>
              <w:jc w:val="center"/>
            </w:pPr>
            <w:r w:rsidRPr="007D4A8A">
              <w:rPr>
                <w:rFonts w:ascii="Arial Black" w:hAnsi="Arial Black"/>
                <w:sz w:val="28"/>
              </w:rPr>
              <w:t>x</w:t>
            </w:r>
          </w:p>
        </w:tc>
        <w:tc>
          <w:tcPr>
            <w:tcW w:w="904" w:type="dxa"/>
            <w:tcBorders>
              <w:top w:val="single" w:sz="8" w:space="0" w:color="4F81BD"/>
              <w:left w:val="single" w:sz="8" w:space="0" w:color="4F81BD"/>
              <w:bottom w:val="single" w:sz="8" w:space="0" w:color="4F81BD"/>
              <w:right w:val="single" w:sz="8" w:space="0" w:color="4F81BD"/>
            </w:tcBorders>
          </w:tcPr>
          <w:p w:rsidR="00300092" w:rsidRDefault="00300092" w:rsidP="00300092">
            <w:pPr>
              <w:pStyle w:val="BodyText"/>
              <w:jc w:val="center"/>
            </w:pPr>
            <w:r w:rsidRPr="007D4A8A">
              <w:rPr>
                <w:rFonts w:ascii="Arial Black" w:hAnsi="Arial Black"/>
                <w:sz w:val="28"/>
              </w:rPr>
              <w:t>x</w:t>
            </w:r>
          </w:p>
        </w:tc>
        <w:tc>
          <w:tcPr>
            <w:tcW w:w="926" w:type="dxa"/>
            <w:tcBorders>
              <w:top w:val="single" w:sz="8" w:space="0" w:color="4F81BD"/>
              <w:bottom w:val="single" w:sz="8" w:space="0" w:color="4F81BD"/>
            </w:tcBorders>
          </w:tcPr>
          <w:p w:rsidR="00300092" w:rsidRDefault="00300092" w:rsidP="00300092">
            <w:pPr>
              <w:pStyle w:val="BodyText"/>
              <w:jc w:val="center"/>
            </w:pPr>
            <w:r w:rsidRPr="007D4A8A">
              <w:rPr>
                <w:rFonts w:ascii="Arial Black" w:hAnsi="Arial Black"/>
                <w:sz w:val="28"/>
              </w:rPr>
              <w:t>x</w:t>
            </w:r>
          </w:p>
        </w:tc>
        <w:tc>
          <w:tcPr>
            <w:tcW w:w="913" w:type="dxa"/>
            <w:tcBorders>
              <w:top w:val="single" w:sz="8" w:space="0" w:color="4F81BD"/>
              <w:left w:val="single" w:sz="8" w:space="0" w:color="4F81BD"/>
              <w:bottom w:val="single" w:sz="8" w:space="0" w:color="4F81BD"/>
              <w:right w:val="single" w:sz="8" w:space="0" w:color="4F81BD"/>
            </w:tcBorders>
          </w:tcPr>
          <w:p w:rsidR="00300092" w:rsidRDefault="00300092" w:rsidP="00300092">
            <w:pPr>
              <w:pStyle w:val="BodyText"/>
              <w:jc w:val="center"/>
            </w:pPr>
            <w:r w:rsidRPr="007D4A8A">
              <w:rPr>
                <w:rFonts w:ascii="Arial Black" w:hAnsi="Arial Black"/>
                <w:sz w:val="28"/>
              </w:rPr>
              <w:t>x</w:t>
            </w:r>
          </w:p>
        </w:tc>
        <w:tc>
          <w:tcPr>
            <w:tcW w:w="856" w:type="dxa"/>
            <w:tcBorders>
              <w:top w:val="single" w:sz="8" w:space="0" w:color="4F81BD"/>
              <w:bottom w:val="single" w:sz="8" w:space="0" w:color="4F81BD"/>
            </w:tcBorders>
          </w:tcPr>
          <w:p w:rsidR="00300092" w:rsidRDefault="00300092" w:rsidP="00300092">
            <w:pPr>
              <w:pStyle w:val="BodyText"/>
              <w:jc w:val="center"/>
            </w:pPr>
            <w:r w:rsidRPr="007D4A8A">
              <w:rPr>
                <w:rFonts w:ascii="Arial Black" w:hAnsi="Arial Black"/>
                <w:sz w:val="28"/>
              </w:rPr>
              <w:t>x</w:t>
            </w:r>
          </w:p>
        </w:tc>
        <w:tc>
          <w:tcPr>
            <w:tcW w:w="852" w:type="dxa"/>
            <w:tcBorders>
              <w:top w:val="single" w:sz="8" w:space="0" w:color="4F81BD"/>
              <w:left w:val="single" w:sz="8" w:space="0" w:color="4F81BD"/>
              <w:bottom w:val="single" w:sz="8" w:space="0" w:color="4F81BD"/>
              <w:right w:val="single" w:sz="8" w:space="0" w:color="4F81BD"/>
            </w:tcBorders>
          </w:tcPr>
          <w:p w:rsidR="00300092" w:rsidRDefault="00300092" w:rsidP="00300092">
            <w:pPr>
              <w:pStyle w:val="BodyText"/>
              <w:jc w:val="center"/>
            </w:pPr>
            <w:r w:rsidRPr="007D4A8A">
              <w:rPr>
                <w:rFonts w:ascii="Arial Black" w:hAnsi="Arial Black"/>
                <w:sz w:val="28"/>
              </w:rPr>
              <w:t>x</w:t>
            </w:r>
          </w:p>
        </w:tc>
        <w:tc>
          <w:tcPr>
            <w:tcW w:w="857" w:type="dxa"/>
            <w:tcBorders>
              <w:top w:val="single" w:sz="8" w:space="0" w:color="4F81BD"/>
              <w:bottom w:val="single" w:sz="8" w:space="0" w:color="4F81BD"/>
            </w:tcBorders>
          </w:tcPr>
          <w:p w:rsidR="00300092" w:rsidRDefault="00300092" w:rsidP="00300092">
            <w:pPr>
              <w:pStyle w:val="BodyText"/>
              <w:jc w:val="center"/>
            </w:pPr>
            <w:r w:rsidRPr="007D4A8A">
              <w:rPr>
                <w:rFonts w:ascii="Arial Black" w:hAnsi="Arial Black"/>
                <w:sz w:val="28"/>
              </w:rPr>
              <w:t>x</w:t>
            </w:r>
          </w:p>
        </w:tc>
        <w:tc>
          <w:tcPr>
            <w:tcW w:w="701" w:type="dxa"/>
            <w:tcBorders>
              <w:top w:val="single" w:sz="8" w:space="0" w:color="4F81BD"/>
              <w:left w:val="single" w:sz="8" w:space="0" w:color="4F81BD"/>
              <w:bottom w:val="single" w:sz="8" w:space="0" w:color="4F81BD"/>
            </w:tcBorders>
          </w:tcPr>
          <w:p w:rsidR="00300092" w:rsidRDefault="00300092" w:rsidP="00300092">
            <w:pPr>
              <w:pStyle w:val="BodyText"/>
              <w:jc w:val="center"/>
            </w:pPr>
            <w:r w:rsidRPr="007D4A8A">
              <w:rPr>
                <w:rFonts w:ascii="Arial Black" w:hAnsi="Arial Black"/>
                <w:sz w:val="28"/>
              </w:rPr>
              <w:t>x</w:t>
            </w:r>
          </w:p>
        </w:tc>
      </w:tr>
      <w:tr w:rsidR="00300092" w:rsidTr="00300092">
        <w:tc>
          <w:tcPr>
            <w:tcW w:w="891" w:type="dxa"/>
          </w:tcPr>
          <w:p w:rsidR="00300092" w:rsidRPr="007D4A8A" w:rsidRDefault="00300092" w:rsidP="00300092">
            <w:pPr>
              <w:pStyle w:val="BodyText"/>
              <w:jc w:val="right"/>
              <w:rPr>
                <w:rFonts w:ascii="Arial" w:hAnsi="Arial"/>
                <w:b/>
                <w:bCs/>
                <w:sz w:val="18"/>
                <w:szCs w:val="18"/>
              </w:rPr>
            </w:pPr>
            <w:r w:rsidRPr="007D4A8A">
              <w:rPr>
                <w:rFonts w:ascii="Arial" w:hAnsi="Arial"/>
                <w:bCs/>
                <w:sz w:val="18"/>
                <w:szCs w:val="18"/>
              </w:rPr>
              <w:t>B</w:t>
            </w:r>
            <w:r>
              <w:rPr>
                <w:rFonts w:ascii="Arial" w:hAnsi="Arial"/>
                <w:bCs/>
                <w:sz w:val="18"/>
                <w:szCs w:val="18"/>
              </w:rPr>
              <w:t>100</w:t>
            </w:r>
          </w:p>
        </w:tc>
        <w:tc>
          <w:tcPr>
            <w:tcW w:w="913" w:type="dxa"/>
            <w:tcBorders>
              <w:left w:val="single" w:sz="8" w:space="0" w:color="4F81BD"/>
              <w:right w:val="single" w:sz="8" w:space="0" w:color="4F81BD"/>
            </w:tcBorders>
          </w:tcPr>
          <w:p w:rsidR="00300092" w:rsidRDefault="00300092" w:rsidP="00300092">
            <w:pPr>
              <w:pStyle w:val="BodyText"/>
              <w:jc w:val="center"/>
            </w:pPr>
            <w:r w:rsidRPr="007D4A8A">
              <w:rPr>
                <w:rFonts w:ascii="Arial Black" w:hAnsi="Arial Black"/>
                <w:sz w:val="28"/>
              </w:rPr>
              <w:t>x</w:t>
            </w:r>
          </w:p>
        </w:tc>
        <w:tc>
          <w:tcPr>
            <w:tcW w:w="900" w:type="dxa"/>
          </w:tcPr>
          <w:p w:rsidR="00300092" w:rsidRDefault="00300092" w:rsidP="00300092">
            <w:pPr>
              <w:pStyle w:val="BodyText"/>
              <w:jc w:val="center"/>
            </w:pPr>
            <w:r w:rsidRPr="007D4A8A">
              <w:rPr>
                <w:rFonts w:ascii="Arial Black" w:hAnsi="Arial Black"/>
                <w:sz w:val="28"/>
              </w:rPr>
              <w:t>x</w:t>
            </w:r>
          </w:p>
        </w:tc>
        <w:tc>
          <w:tcPr>
            <w:tcW w:w="904" w:type="dxa"/>
            <w:tcBorders>
              <w:left w:val="single" w:sz="8" w:space="0" w:color="4F81BD"/>
              <w:right w:val="single" w:sz="8" w:space="0" w:color="4F81BD"/>
            </w:tcBorders>
          </w:tcPr>
          <w:p w:rsidR="00300092" w:rsidRDefault="00300092" w:rsidP="00300092">
            <w:pPr>
              <w:pStyle w:val="BodyText"/>
              <w:jc w:val="center"/>
            </w:pPr>
            <w:r w:rsidRPr="007D4A8A">
              <w:rPr>
                <w:rFonts w:ascii="Arial Black" w:hAnsi="Arial Black"/>
                <w:sz w:val="28"/>
              </w:rPr>
              <w:t>x</w:t>
            </w:r>
          </w:p>
        </w:tc>
        <w:tc>
          <w:tcPr>
            <w:tcW w:w="926" w:type="dxa"/>
          </w:tcPr>
          <w:p w:rsidR="00300092" w:rsidRDefault="00300092" w:rsidP="00300092">
            <w:pPr>
              <w:pStyle w:val="BodyText"/>
              <w:jc w:val="center"/>
            </w:pPr>
            <w:r w:rsidRPr="007D4A8A">
              <w:rPr>
                <w:rFonts w:ascii="Arial Black" w:hAnsi="Arial Black"/>
                <w:sz w:val="28"/>
              </w:rPr>
              <w:t>x</w:t>
            </w:r>
          </w:p>
        </w:tc>
        <w:tc>
          <w:tcPr>
            <w:tcW w:w="913" w:type="dxa"/>
            <w:tcBorders>
              <w:left w:val="single" w:sz="8" w:space="0" w:color="4F81BD"/>
              <w:right w:val="single" w:sz="8" w:space="0" w:color="4F81BD"/>
            </w:tcBorders>
          </w:tcPr>
          <w:p w:rsidR="00300092" w:rsidRDefault="00300092" w:rsidP="00300092">
            <w:pPr>
              <w:pStyle w:val="BodyText"/>
              <w:jc w:val="center"/>
            </w:pPr>
            <w:r w:rsidRPr="007D4A8A">
              <w:rPr>
                <w:rFonts w:ascii="Arial Black" w:hAnsi="Arial Black"/>
                <w:sz w:val="28"/>
              </w:rPr>
              <w:t>x</w:t>
            </w:r>
          </w:p>
        </w:tc>
        <w:tc>
          <w:tcPr>
            <w:tcW w:w="856" w:type="dxa"/>
          </w:tcPr>
          <w:p w:rsidR="00300092" w:rsidRDefault="00300092" w:rsidP="00300092">
            <w:pPr>
              <w:pStyle w:val="BodyText"/>
              <w:jc w:val="center"/>
            </w:pPr>
            <w:r w:rsidRPr="007D4A8A">
              <w:rPr>
                <w:rFonts w:ascii="Arial Black" w:hAnsi="Arial Black"/>
                <w:sz w:val="28"/>
              </w:rPr>
              <w:t>x</w:t>
            </w:r>
          </w:p>
        </w:tc>
        <w:tc>
          <w:tcPr>
            <w:tcW w:w="852" w:type="dxa"/>
            <w:tcBorders>
              <w:left w:val="single" w:sz="8" w:space="0" w:color="4F81BD"/>
              <w:right w:val="single" w:sz="8" w:space="0" w:color="4F81BD"/>
            </w:tcBorders>
          </w:tcPr>
          <w:p w:rsidR="00300092" w:rsidRDefault="00300092" w:rsidP="00300092">
            <w:pPr>
              <w:pStyle w:val="BodyText"/>
              <w:jc w:val="center"/>
            </w:pPr>
            <w:r w:rsidRPr="007D4A8A">
              <w:rPr>
                <w:rFonts w:ascii="Arial Black" w:hAnsi="Arial Black"/>
                <w:sz w:val="28"/>
              </w:rPr>
              <w:t>x</w:t>
            </w:r>
          </w:p>
        </w:tc>
        <w:tc>
          <w:tcPr>
            <w:tcW w:w="857" w:type="dxa"/>
          </w:tcPr>
          <w:p w:rsidR="00300092" w:rsidRDefault="00300092" w:rsidP="00300092">
            <w:pPr>
              <w:pStyle w:val="BodyText"/>
              <w:jc w:val="center"/>
            </w:pPr>
            <w:r w:rsidRPr="007D4A8A">
              <w:rPr>
                <w:rFonts w:ascii="Arial Black" w:hAnsi="Arial Black"/>
                <w:sz w:val="28"/>
              </w:rPr>
              <w:t>x</w:t>
            </w:r>
          </w:p>
        </w:tc>
        <w:tc>
          <w:tcPr>
            <w:tcW w:w="701" w:type="dxa"/>
            <w:tcBorders>
              <w:left w:val="single" w:sz="8" w:space="0" w:color="4F81BD"/>
            </w:tcBorders>
          </w:tcPr>
          <w:p w:rsidR="00300092" w:rsidRDefault="00300092" w:rsidP="00300092">
            <w:pPr>
              <w:pStyle w:val="BodyText"/>
              <w:jc w:val="center"/>
            </w:pPr>
            <w:r w:rsidRPr="007D4A8A">
              <w:rPr>
                <w:rFonts w:ascii="Arial Black" w:hAnsi="Arial Black"/>
                <w:sz w:val="28"/>
              </w:rPr>
              <w:t>x</w:t>
            </w:r>
          </w:p>
        </w:tc>
      </w:tr>
      <w:tr w:rsidR="00300092" w:rsidTr="00300092">
        <w:tc>
          <w:tcPr>
            <w:tcW w:w="891" w:type="dxa"/>
            <w:tcBorders>
              <w:top w:val="single" w:sz="8" w:space="0" w:color="4F81BD"/>
              <w:bottom w:val="single" w:sz="8" w:space="0" w:color="4F81BD"/>
            </w:tcBorders>
          </w:tcPr>
          <w:p w:rsidR="00300092" w:rsidRPr="007D4A8A" w:rsidRDefault="00300092" w:rsidP="00300092">
            <w:pPr>
              <w:pStyle w:val="BodyText"/>
              <w:jc w:val="right"/>
              <w:rPr>
                <w:rFonts w:ascii="Arial" w:hAnsi="Arial"/>
                <w:b/>
                <w:bCs/>
                <w:sz w:val="18"/>
                <w:szCs w:val="18"/>
              </w:rPr>
            </w:pPr>
            <w:r w:rsidRPr="007D4A8A">
              <w:rPr>
                <w:rFonts w:ascii="Arial" w:hAnsi="Arial"/>
                <w:bCs/>
                <w:sz w:val="18"/>
                <w:szCs w:val="18"/>
              </w:rPr>
              <w:t>LPG</w:t>
            </w:r>
          </w:p>
        </w:tc>
        <w:tc>
          <w:tcPr>
            <w:tcW w:w="913" w:type="dxa"/>
            <w:tcBorders>
              <w:top w:val="single" w:sz="8" w:space="0" w:color="4F81BD"/>
              <w:left w:val="single" w:sz="8" w:space="0" w:color="4F81BD"/>
              <w:bottom w:val="single" w:sz="8" w:space="0" w:color="4F81BD"/>
              <w:right w:val="single" w:sz="8" w:space="0" w:color="4F81BD"/>
            </w:tcBorders>
          </w:tcPr>
          <w:p w:rsidR="00300092" w:rsidRDefault="00300092" w:rsidP="00300092">
            <w:pPr>
              <w:pStyle w:val="BodyText"/>
              <w:jc w:val="center"/>
            </w:pPr>
            <w:r w:rsidRPr="007D4A8A">
              <w:rPr>
                <w:rFonts w:ascii="Arial Black" w:hAnsi="Arial Black"/>
                <w:sz w:val="28"/>
              </w:rPr>
              <w:t>x</w:t>
            </w:r>
          </w:p>
        </w:tc>
        <w:tc>
          <w:tcPr>
            <w:tcW w:w="900" w:type="dxa"/>
            <w:tcBorders>
              <w:top w:val="single" w:sz="8" w:space="0" w:color="4F81BD"/>
              <w:bottom w:val="single" w:sz="8" w:space="0" w:color="4F81BD"/>
            </w:tcBorders>
          </w:tcPr>
          <w:p w:rsidR="00300092" w:rsidRDefault="00300092" w:rsidP="00300092">
            <w:pPr>
              <w:pStyle w:val="BodyText"/>
              <w:jc w:val="center"/>
            </w:pPr>
            <w:r w:rsidRPr="007D4A8A">
              <w:rPr>
                <w:rFonts w:ascii="Arial Black" w:hAnsi="Arial Black"/>
                <w:sz w:val="28"/>
              </w:rPr>
              <w:t>x</w:t>
            </w:r>
          </w:p>
        </w:tc>
        <w:tc>
          <w:tcPr>
            <w:tcW w:w="904" w:type="dxa"/>
            <w:tcBorders>
              <w:top w:val="single" w:sz="8" w:space="0" w:color="4F81BD"/>
              <w:left w:val="single" w:sz="8" w:space="0" w:color="4F81BD"/>
              <w:bottom w:val="single" w:sz="8" w:space="0" w:color="4F81BD"/>
              <w:right w:val="single" w:sz="8" w:space="0" w:color="4F81BD"/>
            </w:tcBorders>
          </w:tcPr>
          <w:p w:rsidR="00300092" w:rsidRDefault="00300092" w:rsidP="00300092">
            <w:pPr>
              <w:pStyle w:val="BodyText"/>
              <w:jc w:val="center"/>
            </w:pPr>
            <w:r w:rsidRPr="007D4A8A">
              <w:rPr>
                <w:rFonts w:ascii="Arial Black" w:hAnsi="Arial Black"/>
                <w:sz w:val="28"/>
              </w:rPr>
              <w:t>x</w:t>
            </w:r>
          </w:p>
        </w:tc>
        <w:tc>
          <w:tcPr>
            <w:tcW w:w="926" w:type="dxa"/>
            <w:tcBorders>
              <w:top w:val="single" w:sz="8" w:space="0" w:color="4F81BD"/>
              <w:bottom w:val="single" w:sz="8" w:space="0" w:color="4F81BD"/>
            </w:tcBorders>
          </w:tcPr>
          <w:p w:rsidR="00300092" w:rsidRDefault="00300092" w:rsidP="00300092">
            <w:pPr>
              <w:pStyle w:val="BodyText"/>
              <w:jc w:val="center"/>
            </w:pPr>
            <w:r w:rsidRPr="007D4A8A">
              <w:rPr>
                <w:rFonts w:ascii="Arial Black" w:hAnsi="Arial Black"/>
                <w:sz w:val="28"/>
              </w:rPr>
              <w:t>x</w:t>
            </w:r>
          </w:p>
        </w:tc>
        <w:tc>
          <w:tcPr>
            <w:tcW w:w="913" w:type="dxa"/>
            <w:tcBorders>
              <w:top w:val="single" w:sz="8" w:space="0" w:color="4F81BD"/>
              <w:left w:val="single" w:sz="8" w:space="0" w:color="4F81BD"/>
              <w:bottom w:val="single" w:sz="8" w:space="0" w:color="4F81BD"/>
              <w:right w:val="single" w:sz="8" w:space="0" w:color="4F81BD"/>
            </w:tcBorders>
          </w:tcPr>
          <w:p w:rsidR="00300092" w:rsidRDefault="00300092" w:rsidP="00300092">
            <w:pPr>
              <w:pStyle w:val="BodyText"/>
              <w:jc w:val="center"/>
            </w:pPr>
            <w:r w:rsidRPr="007D4A8A">
              <w:rPr>
                <w:rFonts w:ascii="Arial Black" w:hAnsi="Arial Black"/>
                <w:sz w:val="28"/>
              </w:rPr>
              <w:t>x</w:t>
            </w:r>
          </w:p>
        </w:tc>
        <w:tc>
          <w:tcPr>
            <w:tcW w:w="856" w:type="dxa"/>
            <w:tcBorders>
              <w:top w:val="single" w:sz="8" w:space="0" w:color="4F81BD"/>
              <w:bottom w:val="single" w:sz="8" w:space="0" w:color="4F81BD"/>
            </w:tcBorders>
          </w:tcPr>
          <w:p w:rsidR="00300092" w:rsidRDefault="00300092" w:rsidP="00300092">
            <w:pPr>
              <w:pStyle w:val="BodyText"/>
              <w:jc w:val="center"/>
            </w:pPr>
            <w:r w:rsidRPr="007D4A8A">
              <w:rPr>
                <w:rFonts w:ascii="Arial Black" w:hAnsi="Arial Black"/>
                <w:sz w:val="28"/>
              </w:rPr>
              <w:t>x</w:t>
            </w:r>
          </w:p>
        </w:tc>
        <w:tc>
          <w:tcPr>
            <w:tcW w:w="852" w:type="dxa"/>
            <w:tcBorders>
              <w:top w:val="single" w:sz="8" w:space="0" w:color="4F81BD"/>
              <w:left w:val="single" w:sz="8" w:space="0" w:color="4F81BD"/>
              <w:bottom w:val="single" w:sz="8" w:space="0" w:color="4F81BD"/>
              <w:right w:val="single" w:sz="8" w:space="0" w:color="4F81BD"/>
            </w:tcBorders>
          </w:tcPr>
          <w:p w:rsidR="00300092" w:rsidRDefault="00300092" w:rsidP="00300092">
            <w:pPr>
              <w:pStyle w:val="BodyText"/>
              <w:jc w:val="center"/>
            </w:pPr>
          </w:p>
        </w:tc>
        <w:tc>
          <w:tcPr>
            <w:tcW w:w="857" w:type="dxa"/>
            <w:tcBorders>
              <w:top w:val="single" w:sz="8" w:space="0" w:color="4F81BD"/>
              <w:bottom w:val="single" w:sz="8" w:space="0" w:color="4F81BD"/>
            </w:tcBorders>
          </w:tcPr>
          <w:p w:rsidR="00300092" w:rsidRDefault="00300092" w:rsidP="00300092">
            <w:pPr>
              <w:pStyle w:val="BodyText"/>
              <w:jc w:val="center"/>
            </w:pPr>
          </w:p>
        </w:tc>
        <w:tc>
          <w:tcPr>
            <w:tcW w:w="701" w:type="dxa"/>
            <w:tcBorders>
              <w:top w:val="single" w:sz="8" w:space="0" w:color="4F81BD"/>
              <w:left w:val="single" w:sz="8" w:space="0" w:color="4F81BD"/>
              <w:bottom w:val="single" w:sz="8" w:space="0" w:color="4F81BD"/>
            </w:tcBorders>
          </w:tcPr>
          <w:p w:rsidR="00300092" w:rsidRDefault="00300092" w:rsidP="00300092">
            <w:pPr>
              <w:pStyle w:val="BodyText"/>
              <w:jc w:val="center"/>
            </w:pPr>
          </w:p>
        </w:tc>
      </w:tr>
      <w:tr w:rsidR="00300092" w:rsidTr="00300092">
        <w:tc>
          <w:tcPr>
            <w:tcW w:w="891" w:type="dxa"/>
          </w:tcPr>
          <w:p w:rsidR="00300092" w:rsidRPr="007D4A8A" w:rsidRDefault="00300092" w:rsidP="00300092">
            <w:pPr>
              <w:pStyle w:val="BodyText"/>
              <w:jc w:val="right"/>
              <w:rPr>
                <w:rFonts w:ascii="Arial" w:hAnsi="Arial"/>
                <w:b/>
                <w:bCs/>
                <w:sz w:val="18"/>
                <w:szCs w:val="18"/>
              </w:rPr>
            </w:pPr>
            <w:r w:rsidRPr="007D4A8A">
              <w:rPr>
                <w:rFonts w:ascii="Arial" w:hAnsi="Arial"/>
                <w:bCs/>
                <w:sz w:val="18"/>
                <w:szCs w:val="18"/>
              </w:rPr>
              <w:t>CNG</w:t>
            </w:r>
          </w:p>
        </w:tc>
        <w:tc>
          <w:tcPr>
            <w:tcW w:w="913" w:type="dxa"/>
            <w:tcBorders>
              <w:left w:val="single" w:sz="8" w:space="0" w:color="4F81BD"/>
              <w:right w:val="single" w:sz="8" w:space="0" w:color="4F81BD"/>
            </w:tcBorders>
          </w:tcPr>
          <w:p w:rsidR="00300092" w:rsidRDefault="00300092" w:rsidP="00300092">
            <w:pPr>
              <w:pStyle w:val="BodyText"/>
              <w:jc w:val="center"/>
            </w:pPr>
            <w:r w:rsidRPr="007D4A8A">
              <w:rPr>
                <w:rFonts w:ascii="Arial Black" w:hAnsi="Arial Black"/>
                <w:sz w:val="28"/>
              </w:rPr>
              <w:t>x</w:t>
            </w:r>
          </w:p>
        </w:tc>
        <w:tc>
          <w:tcPr>
            <w:tcW w:w="900" w:type="dxa"/>
          </w:tcPr>
          <w:p w:rsidR="00300092" w:rsidRDefault="00300092" w:rsidP="00300092">
            <w:pPr>
              <w:pStyle w:val="BodyText"/>
              <w:jc w:val="center"/>
            </w:pPr>
            <w:r w:rsidRPr="007D4A8A">
              <w:rPr>
                <w:rFonts w:ascii="Arial Black" w:hAnsi="Arial Black"/>
                <w:sz w:val="28"/>
              </w:rPr>
              <w:t>x</w:t>
            </w:r>
          </w:p>
        </w:tc>
        <w:tc>
          <w:tcPr>
            <w:tcW w:w="904" w:type="dxa"/>
            <w:tcBorders>
              <w:left w:val="single" w:sz="8" w:space="0" w:color="4F81BD"/>
              <w:right w:val="single" w:sz="8" w:space="0" w:color="4F81BD"/>
            </w:tcBorders>
          </w:tcPr>
          <w:p w:rsidR="00300092" w:rsidRDefault="00300092" w:rsidP="00300092">
            <w:pPr>
              <w:pStyle w:val="BodyText"/>
              <w:jc w:val="center"/>
            </w:pPr>
            <w:r w:rsidRPr="007D4A8A">
              <w:rPr>
                <w:rFonts w:ascii="Arial Black" w:hAnsi="Arial Black"/>
                <w:sz w:val="28"/>
              </w:rPr>
              <w:t>x</w:t>
            </w:r>
          </w:p>
        </w:tc>
        <w:tc>
          <w:tcPr>
            <w:tcW w:w="926" w:type="dxa"/>
          </w:tcPr>
          <w:p w:rsidR="00300092" w:rsidRDefault="00300092" w:rsidP="00300092">
            <w:pPr>
              <w:pStyle w:val="BodyText"/>
              <w:jc w:val="center"/>
            </w:pPr>
            <w:r w:rsidRPr="007D4A8A">
              <w:rPr>
                <w:rFonts w:ascii="Arial Black" w:hAnsi="Arial Black"/>
                <w:sz w:val="28"/>
              </w:rPr>
              <w:t>x</w:t>
            </w:r>
          </w:p>
        </w:tc>
        <w:tc>
          <w:tcPr>
            <w:tcW w:w="913" w:type="dxa"/>
            <w:tcBorders>
              <w:left w:val="single" w:sz="8" w:space="0" w:color="4F81BD"/>
              <w:right w:val="single" w:sz="8" w:space="0" w:color="4F81BD"/>
            </w:tcBorders>
          </w:tcPr>
          <w:p w:rsidR="00300092" w:rsidRDefault="00300092" w:rsidP="00300092">
            <w:pPr>
              <w:pStyle w:val="BodyText"/>
              <w:jc w:val="center"/>
            </w:pPr>
            <w:r w:rsidRPr="007D4A8A">
              <w:rPr>
                <w:rFonts w:ascii="Arial Black" w:hAnsi="Arial Black"/>
                <w:sz w:val="28"/>
              </w:rPr>
              <w:t>x</w:t>
            </w:r>
          </w:p>
        </w:tc>
        <w:tc>
          <w:tcPr>
            <w:tcW w:w="856" w:type="dxa"/>
          </w:tcPr>
          <w:p w:rsidR="00300092" w:rsidRDefault="00300092" w:rsidP="00300092">
            <w:pPr>
              <w:pStyle w:val="BodyText"/>
              <w:jc w:val="center"/>
            </w:pPr>
            <w:r w:rsidRPr="007D4A8A">
              <w:rPr>
                <w:rFonts w:ascii="Arial Black" w:hAnsi="Arial Black"/>
                <w:sz w:val="28"/>
              </w:rPr>
              <w:t>x</w:t>
            </w:r>
          </w:p>
        </w:tc>
        <w:tc>
          <w:tcPr>
            <w:tcW w:w="852" w:type="dxa"/>
            <w:tcBorders>
              <w:left w:val="single" w:sz="8" w:space="0" w:color="4F81BD"/>
              <w:right w:val="single" w:sz="8" w:space="0" w:color="4F81BD"/>
            </w:tcBorders>
          </w:tcPr>
          <w:p w:rsidR="00300092" w:rsidRDefault="00300092" w:rsidP="00300092">
            <w:pPr>
              <w:pStyle w:val="BodyText"/>
              <w:jc w:val="center"/>
            </w:pPr>
            <w:r w:rsidRPr="007D4A8A">
              <w:rPr>
                <w:rFonts w:ascii="Arial Black" w:hAnsi="Arial Black"/>
                <w:sz w:val="28"/>
              </w:rPr>
              <w:t>x</w:t>
            </w:r>
          </w:p>
        </w:tc>
        <w:tc>
          <w:tcPr>
            <w:tcW w:w="857" w:type="dxa"/>
          </w:tcPr>
          <w:p w:rsidR="00300092" w:rsidRDefault="00300092" w:rsidP="00300092">
            <w:pPr>
              <w:pStyle w:val="BodyText"/>
              <w:jc w:val="center"/>
            </w:pPr>
            <w:r w:rsidRPr="007D4A8A">
              <w:rPr>
                <w:rFonts w:ascii="Arial Black" w:hAnsi="Arial Black"/>
                <w:sz w:val="28"/>
              </w:rPr>
              <w:t>x</w:t>
            </w:r>
          </w:p>
        </w:tc>
        <w:tc>
          <w:tcPr>
            <w:tcW w:w="701" w:type="dxa"/>
            <w:tcBorders>
              <w:left w:val="single" w:sz="8" w:space="0" w:color="4F81BD"/>
            </w:tcBorders>
          </w:tcPr>
          <w:p w:rsidR="00300092" w:rsidRDefault="00300092" w:rsidP="00300092">
            <w:pPr>
              <w:pStyle w:val="BodyText"/>
              <w:jc w:val="center"/>
            </w:pPr>
          </w:p>
        </w:tc>
      </w:tr>
      <w:tr w:rsidR="00300092" w:rsidTr="00300092">
        <w:tc>
          <w:tcPr>
            <w:tcW w:w="891" w:type="dxa"/>
            <w:tcBorders>
              <w:top w:val="single" w:sz="8" w:space="0" w:color="4F81BD"/>
              <w:bottom w:val="single" w:sz="8" w:space="0" w:color="4F81BD"/>
            </w:tcBorders>
          </w:tcPr>
          <w:p w:rsidR="00300092" w:rsidRPr="007D4A8A" w:rsidRDefault="00300092" w:rsidP="00300092">
            <w:pPr>
              <w:pStyle w:val="BodyText"/>
              <w:jc w:val="right"/>
              <w:rPr>
                <w:rFonts w:ascii="Arial" w:hAnsi="Arial"/>
                <w:b/>
                <w:bCs/>
                <w:sz w:val="18"/>
                <w:szCs w:val="18"/>
              </w:rPr>
            </w:pPr>
            <w:r w:rsidRPr="007D4A8A">
              <w:rPr>
                <w:rFonts w:ascii="Arial" w:hAnsi="Arial"/>
                <w:bCs/>
                <w:sz w:val="18"/>
                <w:szCs w:val="18"/>
              </w:rPr>
              <w:t>LNG</w:t>
            </w:r>
          </w:p>
        </w:tc>
        <w:tc>
          <w:tcPr>
            <w:tcW w:w="913" w:type="dxa"/>
            <w:tcBorders>
              <w:top w:val="single" w:sz="8" w:space="0" w:color="4F81BD"/>
              <w:left w:val="single" w:sz="8" w:space="0" w:color="4F81BD"/>
              <w:bottom w:val="single" w:sz="8" w:space="0" w:color="4F81BD"/>
              <w:right w:val="single" w:sz="8" w:space="0" w:color="4F81BD"/>
            </w:tcBorders>
          </w:tcPr>
          <w:p w:rsidR="00300092" w:rsidRDefault="00300092" w:rsidP="00300092">
            <w:pPr>
              <w:pStyle w:val="BodyText"/>
            </w:pPr>
          </w:p>
        </w:tc>
        <w:tc>
          <w:tcPr>
            <w:tcW w:w="900" w:type="dxa"/>
            <w:tcBorders>
              <w:top w:val="single" w:sz="8" w:space="0" w:color="4F81BD"/>
              <w:bottom w:val="single" w:sz="8" w:space="0" w:color="4F81BD"/>
            </w:tcBorders>
          </w:tcPr>
          <w:p w:rsidR="00300092" w:rsidRDefault="00300092" w:rsidP="00300092">
            <w:pPr>
              <w:pStyle w:val="BodyText"/>
            </w:pPr>
          </w:p>
        </w:tc>
        <w:tc>
          <w:tcPr>
            <w:tcW w:w="904" w:type="dxa"/>
            <w:tcBorders>
              <w:top w:val="single" w:sz="8" w:space="0" w:color="4F81BD"/>
              <w:left w:val="single" w:sz="8" w:space="0" w:color="4F81BD"/>
              <w:bottom w:val="single" w:sz="8" w:space="0" w:color="4F81BD"/>
              <w:right w:val="single" w:sz="8" w:space="0" w:color="4F81BD"/>
            </w:tcBorders>
          </w:tcPr>
          <w:p w:rsidR="00300092" w:rsidRDefault="00300092" w:rsidP="00300092">
            <w:pPr>
              <w:pStyle w:val="BodyText"/>
            </w:pPr>
          </w:p>
        </w:tc>
        <w:tc>
          <w:tcPr>
            <w:tcW w:w="926" w:type="dxa"/>
            <w:tcBorders>
              <w:top w:val="single" w:sz="8" w:space="0" w:color="4F81BD"/>
              <w:bottom w:val="single" w:sz="8" w:space="0" w:color="4F81BD"/>
            </w:tcBorders>
          </w:tcPr>
          <w:p w:rsidR="00300092" w:rsidRDefault="00300092" w:rsidP="00300092">
            <w:pPr>
              <w:pStyle w:val="BodyText"/>
            </w:pPr>
          </w:p>
        </w:tc>
        <w:tc>
          <w:tcPr>
            <w:tcW w:w="913" w:type="dxa"/>
            <w:tcBorders>
              <w:top w:val="single" w:sz="8" w:space="0" w:color="4F81BD"/>
              <w:left w:val="single" w:sz="8" w:space="0" w:color="4F81BD"/>
              <w:bottom w:val="single" w:sz="8" w:space="0" w:color="4F81BD"/>
              <w:right w:val="single" w:sz="8" w:space="0" w:color="4F81BD"/>
            </w:tcBorders>
          </w:tcPr>
          <w:p w:rsidR="00300092" w:rsidRDefault="00300092" w:rsidP="00300092">
            <w:pPr>
              <w:pStyle w:val="BodyText"/>
            </w:pPr>
          </w:p>
        </w:tc>
        <w:tc>
          <w:tcPr>
            <w:tcW w:w="856" w:type="dxa"/>
            <w:tcBorders>
              <w:top w:val="single" w:sz="8" w:space="0" w:color="4F81BD"/>
              <w:bottom w:val="single" w:sz="8" w:space="0" w:color="4F81BD"/>
            </w:tcBorders>
          </w:tcPr>
          <w:p w:rsidR="00300092" w:rsidRDefault="00300092" w:rsidP="00300092">
            <w:pPr>
              <w:pStyle w:val="BodyText"/>
            </w:pPr>
          </w:p>
        </w:tc>
        <w:tc>
          <w:tcPr>
            <w:tcW w:w="852" w:type="dxa"/>
            <w:tcBorders>
              <w:top w:val="single" w:sz="8" w:space="0" w:color="4F81BD"/>
              <w:left w:val="single" w:sz="8" w:space="0" w:color="4F81BD"/>
              <w:bottom w:val="single" w:sz="8" w:space="0" w:color="4F81BD"/>
              <w:right w:val="single" w:sz="8" w:space="0" w:color="4F81BD"/>
            </w:tcBorders>
          </w:tcPr>
          <w:p w:rsidR="00300092" w:rsidRDefault="00300092" w:rsidP="00300092">
            <w:pPr>
              <w:pStyle w:val="BodyText"/>
            </w:pPr>
          </w:p>
        </w:tc>
        <w:tc>
          <w:tcPr>
            <w:tcW w:w="857" w:type="dxa"/>
            <w:tcBorders>
              <w:top w:val="single" w:sz="8" w:space="0" w:color="4F81BD"/>
              <w:bottom w:val="single" w:sz="8" w:space="0" w:color="4F81BD"/>
            </w:tcBorders>
          </w:tcPr>
          <w:p w:rsidR="00300092" w:rsidRDefault="00300092" w:rsidP="00300092">
            <w:pPr>
              <w:pStyle w:val="BodyText"/>
            </w:pPr>
          </w:p>
        </w:tc>
        <w:tc>
          <w:tcPr>
            <w:tcW w:w="701" w:type="dxa"/>
            <w:tcBorders>
              <w:top w:val="single" w:sz="8" w:space="0" w:color="4F81BD"/>
              <w:left w:val="single" w:sz="8" w:space="0" w:color="4F81BD"/>
              <w:bottom w:val="single" w:sz="8" w:space="0" w:color="4F81BD"/>
            </w:tcBorders>
          </w:tcPr>
          <w:p w:rsidR="00300092" w:rsidRDefault="00300092" w:rsidP="00300092">
            <w:pPr>
              <w:pStyle w:val="BodyText"/>
              <w:jc w:val="center"/>
            </w:pPr>
            <w:r w:rsidRPr="007D4A8A">
              <w:rPr>
                <w:rFonts w:ascii="Arial Black" w:hAnsi="Arial Black"/>
                <w:sz w:val="28"/>
              </w:rPr>
              <w:t>x</w:t>
            </w:r>
          </w:p>
        </w:tc>
      </w:tr>
      <w:tr w:rsidR="00300092" w:rsidTr="00300092">
        <w:tc>
          <w:tcPr>
            <w:tcW w:w="891" w:type="dxa"/>
          </w:tcPr>
          <w:p w:rsidR="00300092" w:rsidRPr="007D4A8A" w:rsidRDefault="00300092" w:rsidP="00300092">
            <w:pPr>
              <w:pStyle w:val="BodyText"/>
              <w:jc w:val="right"/>
              <w:rPr>
                <w:rFonts w:ascii="Arial" w:hAnsi="Arial"/>
                <w:b/>
                <w:bCs/>
                <w:sz w:val="18"/>
                <w:szCs w:val="18"/>
              </w:rPr>
            </w:pPr>
            <w:r w:rsidRPr="007D4A8A">
              <w:rPr>
                <w:rFonts w:ascii="Arial" w:hAnsi="Arial"/>
                <w:bCs/>
                <w:sz w:val="18"/>
                <w:szCs w:val="18"/>
              </w:rPr>
              <w:t>H</w:t>
            </w:r>
            <w:r w:rsidRPr="007D4A8A">
              <w:rPr>
                <w:rFonts w:ascii="Arial Bold" w:hAnsi="Arial Bold"/>
                <w:bCs/>
                <w:sz w:val="18"/>
                <w:szCs w:val="18"/>
                <w:vertAlign w:val="subscript"/>
              </w:rPr>
              <w:t>2</w:t>
            </w:r>
          </w:p>
        </w:tc>
        <w:tc>
          <w:tcPr>
            <w:tcW w:w="913" w:type="dxa"/>
            <w:tcBorders>
              <w:left w:val="single" w:sz="8" w:space="0" w:color="4F81BD"/>
              <w:right w:val="single" w:sz="8" w:space="0" w:color="4F81BD"/>
            </w:tcBorders>
          </w:tcPr>
          <w:p w:rsidR="00300092" w:rsidRDefault="00300092" w:rsidP="00300092">
            <w:pPr>
              <w:pStyle w:val="BodyText"/>
              <w:jc w:val="center"/>
            </w:pPr>
            <w:r w:rsidRPr="007D4A8A">
              <w:rPr>
                <w:rFonts w:ascii="Arial Black" w:hAnsi="Arial Black"/>
                <w:sz w:val="28"/>
              </w:rPr>
              <w:t>x</w:t>
            </w:r>
          </w:p>
        </w:tc>
        <w:tc>
          <w:tcPr>
            <w:tcW w:w="900" w:type="dxa"/>
          </w:tcPr>
          <w:p w:rsidR="00300092" w:rsidRDefault="00300092" w:rsidP="00300092">
            <w:pPr>
              <w:pStyle w:val="BodyText"/>
              <w:jc w:val="center"/>
            </w:pPr>
            <w:r w:rsidRPr="007D4A8A">
              <w:rPr>
                <w:rFonts w:ascii="Arial Black" w:hAnsi="Arial Black"/>
                <w:sz w:val="28"/>
              </w:rPr>
              <w:t>x</w:t>
            </w:r>
          </w:p>
        </w:tc>
        <w:tc>
          <w:tcPr>
            <w:tcW w:w="904" w:type="dxa"/>
            <w:tcBorders>
              <w:left w:val="single" w:sz="8" w:space="0" w:color="4F81BD"/>
              <w:right w:val="single" w:sz="8" w:space="0" w:color="4F81BD"/>
            </w:tcBorders>
          </w:tcPr>
          <w:p w:rsidR="00300092" w:rsidRDefault="00300092" w:rsidP="00300092">
            <w:pPr>
              <w:pStyle w:val="BodyText"/>
              <w:jc w:val="center"/>
            </w:pPr>
            <w:r w:rsidRPr="007D4A8A">
              <w:rPr>
                <w:rFonts w:ascii="Arial Black" w:hAnsi="Arial Black"/>
                <w:sz w:val="28"/>
              </w:rPr>
              <w:t>x</w:t>
            </w:r>
          </w:p>
        </w:tc>
        <w:tc>
          <w:tcPr>
            <w:tcW w:w="926" w:type="dxa"/>
          </w:tcPr>
          <w:p w:rsidR="00300092" w:rsidRDefault="00300092" w:rsidP="00300092">
            <w:pPr>
              <w:pStyle w:val="BodyText"/>
              <w:jc w:val="center"/>
            </w:pPr>
            <w:r w:rsidRPr="007D4A8A">
              <w:rPr>
                <w:rFonts w:ascii="Arial Black" w:hAnsi="Arial Black"/>
                <w:sz w:val="28"/>
              </w:rPr>
              <w:t>x</w:t>
            </w:r>
          </w:p>
        </w:tc>
        <w:tc>
          <w:tcPr>
            <w:tcW w:w="913" w:type="dxa"/>
            <w:tcBorders>
              <w:left w:val="single" w:sz="8" w:space="0" w:color="4F81BD"/>
              <w:right w:val="single" w:sz="8" w:space="0" w:color="4F81BD"/>
            </w:tcBorders>
          </w:tcPr>
          <w:p w:rsidR="00300092" w:rsidRDefault="00300092" w:rsidP="00300092">
            <w:pPr>
              <w:pStyle w:val="BodyText"/>
              <w:jc w:val="center"/>
            </w:pPr>
            <w:r w:rsidRPr="007D4A8A">
              <w:rPr>
                <w:rFonts w:ascii="Arial Black" w:hAnsi="Arial Black"/>
                <w:sz w:val="28"/>
              </w:rPr>
              <w:t>x</w:t>
            </w:r>
          </w:p>
        </w:tc>
        <w:tc>
          <w:tcPr>
            <w:tcW w:w="856" w:type="dxa"/>
          </w:tcPr>
          <w:p w:rsidR="00300092" w:rsidRDefault="00300092" w:rsidP="00300092">
            <w:pPr>
              <w:pStyle w:val="BodyText"/>
              <w:jc w:val="center"/>
            </w:pPr>
            <w:r w:rsidRPr="007D4A8A">
              <w:rPr>
                <w:rFonts w:ascii="Arial Black" w:hAnsi="Arial Black"/>
                <w:sz w:val="28"/>
              </w:rPr>
              <w:t>x</w:t>
            </w:r>
          </w:p>
        </w:tc>
        <w:tc>
          <w:tcPr>
            <w:tcW w:w="852" w:type="dxa"/>
            <w:tcBorders>
              <w:left w:val="single" w:sz="8" w:space="0" w:color="4F81BD"/>
              <w:right w:val="single" w:sz="8" w:space="0" w:color="4F81BD"/>
            </w:tcBorders>
          </w:tcPr>
          <w:p w:rsidR="00300092" w:rsidRDefault="00300092" w:rsidP="00300092">
            <w:pPr>
              <w:pStyle w:val="BodyText"/>
              <w:jc w:val="center"/>
            </w:pPr>
            <w:r w:rsidRPr="007D4A8A">
              <w:rPr>
                <w:rFonts w:ascii="Arial Black" w:hAnsi="Arial Black"/>
                <w:sz w:val="28"/>
              </w:rPr>
              <w:t>x</w:t>
            </w:r>
          </w:p>
        </w:tc>
        <w:tc>
          <w:tcPr>
            <w:tcW w:w="857" w:type="dxa"/>
          </w:tcPr>
          <w:p w:rsidR="00300092" w:rsidRDefault="00300092" w:rsidP="00300092">
            <w:pPr>
              <w:pStyle w:val="BodyText"/>
              <w:jc w:val="center"/>
            </w:pPr>
            <w:r w:rsidRPr="007D4A8A">
              <w:rPr>
                <w:rFonts w:ascii="Arial Black" w:hAnsi="Arial Black"/>
                <w:sz w:val="28"/>
              </w:rPr>
              <w:t>x</w:t>
            </w:r>
          </w:p>
        </w:tc>
        <w:tc>
          <w:tcPr>
            <w:tcW w:w="701" w:type="dxa"/>
            <w:tcBorders>
              <w:left w:val="single" w:sz="8" w:space="0" w:color="4F81BD"/>
            </w:tcBorders>
          </w:tcPr>
          <w:p w:rsidR="00300092" w:rsidRDefault="00300092" w:rsidP="00300092">
            <w:pPr>
              <w:pStyle w:val="BodyText"/>
              <w:jc w:val="center"/>
            </w:pPr>
          </w:p>
        </w:tc>
      </w:tr>
      <w:tr w:rsidR="00300092" w:rsidTr="00300092">
        <w:tc>
          <w:tcPr>
            <w:tcW w:w="891" w:type="dxa"/>
            <w:tcBorders>
              <w:top w:val="single" w:sz="8" w:space="0" w:color="4F81BD"/>
              <w:bottom w:val="single" w:sz="8" w:space="0" w:color="4F81BD"/>
            </w:tcBorders>
          </w:tcPr>
          <w:p w:rsidR="00300092" w:rsidRPr="007D4A8A" w:rsidRDefault="00300092" w:rsidP="00300092">
            <w:pPr>
              <w:pStyle w:val="BodyText"/>
              <w:jc w:val="right"/>
              <w:rPr>
                <w:rFonts w:ascii="Arial" w:hAnsi="Arial"/>
                <w:b/>
                <w:bCs/>
                <w:sz w:val="18"/>
                <w:szCs w:val="18"/>
              </w:rPr>
            </w:pPr>
            <w:r w:rsidRPr="007D4A8A">
              <w:rPr>
                <w:rFonts w:ascii="Arial" w:hAnsi="Arial"/>
                <w:bCs/>
                <w:sz w:val="18"/>
                <w:szCs w:val="18"/>
              </w:rPr>
              <w:t>GTL</w:t>
            </w:r>
          </w:p>
        </w:tc>
        <w:tc>
          <w:tcPr>
            <w:tcW w:w="913" w:type="dxa"/>
            <w:tcBorders>
              <w:top w:val="single" w:sz="8" w:space="0" w:color="4F81BD"/>
              <w:left w:val="single" w:sz="8" w:space="0" w:color="4F81BD"/>
              <w:bottom w:val="single" w:sz="8" w:space="0" w:color="4F81BD"/>
              <w:right w:val="single" w:sz="8" w:space="0" w:color="4F81BD"/>
            </w:tcBorders>
          </w:tcPr>
          <w:p w:rsidR="00300092" w:rsidRDefault="00300092" w:rsidP="00300092">
            <w:pPr>
              <w:pStyle w:val="BodyText"/>
              <w:jc w:val="center"/>
            </w:pPr>
            <w:r w:rsidRPr="007D4A8A">
              <w:rPr>
                <w:rFonts w:ascii="Arial Black" w:hAnsi="Arial Black"/>
                <w:sz w:val="28"/>
              </w:rPr>
              <w:t>x</w:t>
            </w:r>
          </w:p>
        </w:tc>
        <w:tc>
          <w:tcPr>
            <w:tcW w:w="900" w:type="dxa"/>
            <w:tcBorders>
              <w:top w:val="single" w:sz="8" w:space="0" w:color="4F81BD"/>
              <w:bottom w:val="single" w:sz="8" w:space="0" w:color="4F81BD"/>
            </w:tcBorders>
          </w:tcPr>
          <w:p w:rsidR="00300092" w:rsidRDefault="00300092" w:rsidP="00300092">
            <w:pPr>
              <w:pStyle w:val="BodyText"/>
              <w:jc w:val="center"/>
            </w:pPr>
            <w:r w:rsidRPr="007D4A8A">
              <w:rPr>
                <w:rFonts w:ascii="Arial Black" w:hAnsi="Arial Black"/>
                <w:sz w:val="28"/>
              </w:rPr>
              <w:t>x</w:t>
            </w:r>
          </w:p>
        </w:tc>
        <w:tc>
          <w:tcPr>
            <w:tcW w:w="904" w:type="dxa"/>
            <w:tcBorders>
              <w:top w:val="single" w:sz="8" w:space="0" w:color="4F81BD"/>
              <w:left w:val="single" w:sz="8" w:space="0" w:color="4F81BD"/>
              <w:bottom w:val="single" w:sz="8" w:space="0" w:color="4F81BD"/>
              <w:right w:val="single" w:sz="8" w:space="0" w:color="4F81BD"/>
            </w:tcBorders>
          </w:tcPr>
          <w:p w:rsidR="00300092" w:rsidRDefault="00300092" w:rsidP="00300092">
            <w:pPr>
              <w:pStyle w:val="BodyText"/>
              <w:jc w:val="center"/>
            </w:pPr>
            <w:r w:rsidRPr="007D4A8A">
              <w:rPr>
                <w:rFonts w:ascii="Arial Black" w:hAnsi="Arial Black"/>
                <w:sz w:val="28"/>
              </w:rPr>
              <w:t>x</w:t>
            </w:r>
          </w:p>
        </w:tc>
        <w:tc>
          <w:tcPr>
            <w:tcW w:w="926" w:type="dxa"/>
            <w:tcBorders>
              <w:top w:val="single" w:sz="8" w:space="0" w:color="4F81BD"/>
              <w:bottom w:val="single" w:sz="8" w:space="0" w:color="4F81BD"/>
            </w:tcBorders>
          </w:tcPr>
          <w:p w:rsidR="00300092" w:rsidRDefault="00300092" w:rsidP="00300092">
            <w:pPr>
              <w:pStyle w:val="BodyText"/>
              <w:jc w:val="center"/>
            </w:pPr>
            <w:r w:rsidRPr="007D4A8A">
              <w:rPr>
                <w:rFonts w:ascii="Arial Black" w:hAnsi="Arial Black"/>
                <w:sz w:val="28"/>
              </w:rPr>
              <w:t>x</w:t>
            </w:r>
          </w:p>
        </w:tc>
        <w:tc>
          <w:tcPr>
            <w:tcW w:w="913" w:type="dxa"/>
            <w:tcBorders>
              <w:top w:val="single" w:sz="8" w:space="0" w:color="4F81BD"/>
              <w:left w:val="single" w:sz="8" w:space="0" w:color="4F81BD"/>
              <w:bottom w:val="single" w:sz="8" w:space="0" w:color="4F81BD"/>
              <w:right w:val="single" w:sz="8" w:space="0" w:color="4F81BD"/>
            </w:tcBorders>
          </w:tcPr>
          <w:p w:rsidR="00300092" w:rsidRDefault="00300092" w:rsidP="00300092">
            <w:pPr>
              <w:pStyle w:val="BodyText"/>
              <w:jc w:val="center"/>
            </w:pPr>
            <w:r w:rsidRPr="007D4A8A">
              <w:rPr>
                <w:rFonts w:ascii="Arial Black" w:hAnsi="Arial Black"/>
                <w:sz w:val="28"/>
              </w:rPr>
              <w:t>x</w:t>
            </w:r>
          </w:p>
        </w:tc>
        <w:tc>
          <w:tcPr>
            <w:tcW w:w="856" w:type="dxa"/>
            <w:tcBorders>
              <w:top w:val="single" w:sz="8" w:space="0" w:color="4F81BD"/>
              <w:bottom w:val="single" w:sz="8" w:space="0" w:color="4F81BD"/>
            </w:tcBorders>
          </w:tcPr>
          <w:p w:rsidR="00300092" w:rsidRDefault="00300092" w:rsidP="00300092">
            <w:pPr>
              <w:pStyle w:val="BodyText"/>
              <w:jc w:val="center"/>
            </w:pPr>
            <w:r w:rsidRPr="007D4A8A">
              <w:rPr>
                <w:rFonts w:ascii="Arial Black" w:hAnsi="Arial Black"/>
                <w:sz w:val="28"/>
              </w:rPr>
              <w:t>x</w:t>
            </w:r>
          </w:p>
        </w:tc>
        <w:tc>
          <w:tcPr>
            <w:tcW w:w="852" w:type="dxa"/>
            <w:tcBorders>
              <w:top w:val="single" w:sz="8" w:space="0" w:color="4F81BD"/>
              <w:left w:val="single" w:sz="8" w:space="0" w:color="4F81BD"/>
              <w:bottom w:val="single" w:sz="8" w:space="0" w:color="4F81BD"/>
              <w:right w:val="single" w:sz="8" w:space="0" w:color="4F81BD"/>
            </w:tcBorders>
          </w:tcPr>
          <w:p w:rsidR="00300092" w:rsidRDefault="00300092" w:rsidP="00300092">
            <w:pPr>
              <w:pStyle w:val="BodyText"/>
              <w:jc w:val="center"/>
            </w:pPr>
            <w:r w:rsidRPr="007D4A8A">
              <w:rPr>
                <w:rFonts w:ascii="Arial Black" w:hAnsi="Arial Black"/>
                <w:sz w:val="28"/>
              </w:rPr>
              <w:t>x</w:t>
            </w:r>
          </w:p>
        </w:tc>
        <w:tc>
          <w:tcPr>
            <w:tcW w:w="857" w:type="dxa"/>
            <w:tcBorders>
              <w:top w:val="single" w:sz="8" w:space="0" w:color="4F81BD"/>
              <w:bottom w:val="single" w:sz="8" w:space="0" w:color="4F81BD"/>
            </w:tcBorders>
          </w:tcPr>
          <w:p w:rsidR="00300092" w:rsidRDefault="00300092" w:rsidP="00300092">
            <w:pPr>
              <w:pStyle w:val="BodyText"/>
              <w:jc w:val="center"/>
            </w:pPr>
            <w:r w:rsidRPr="007D4A8A">
              <w:rPr>
                <w:rFonts w:ascii="Arial Black" w:hAnsi="Arial Black"/>
                <w:sz w:val="28"/>
              </w:rPr>
              <w:t>x</w:t>
            </w:r>
          </w:p>
        </w:tc>
        <w:tc>
          <w:tcPr>
            <w:tcW w:w="701" w:type="dxa"/>
            <w:tcBorders>
              <w:top w:val="single" w:sz="8" w:space="0" w:color="4F81BD"/>
              <w:left w:val="single" w:sz="8" w:space="0" w:color="4F81BD"/>
              <w:bottom w:val="single" w:sz="8" w:space="0" w:color="4F81BD"/>
            </w:tcBorders>
          </w:tcPr>
          <w:p w:rsidR="00300092" w:rsidRDefault="00300092" w:rsidP="00300092">
            <w:pPr>
              <w:pStyle w:val="BodyText"/>
              <w:jc w:val="center"/>
            </w:pPr>
            <w:r w:rsidRPr="007D4A8A">
              <w:rPr>
                <w:rFonts w:ascii="Arial Black" w:hAnsi="Arial Black"/>
                <w:sz w:val="28"/>
              </w:rPr>
              <w:t>x</w:t>
            </w:r>
          </w:p>
        </w:tc>
      </w:tr>
      <w:tr w:rsidR="00300092" w:rsidTr="00300092">
        <w:tc>
          <w:tcPr>
            <w:tcW w:w="891" w:type="dxa"/>
          </w:tcPr>
          <w:p w:rsidR="00300092" w:rsidRPr="007D4A8A" w:rsidRDefault="00300092" w:rsidP="00300092">
            <w:pPr>
              <w:pStyle w:val="BodyText"/>
              <w:jc w:val="right"/>
              <w:rPr>
                <w:rFonts w:ascii="Arial" w:hAnsi="Arial"/>
                <w:b/>
                <w:bCs/>
                <w:sz w:val="18"/>
                <w:szCs w:val="18"/>
              </w:rPr>
            </w:pPr>
            <w:r w:rsidRPr="007D4A8A">
              <w:rPr>
                <w:rFonts w:ascii="Arial" w:hAnsi="Arial"/>
                <w:bCs/>
                <w:sz w:val="18"/>
                <w:szCs w:val="18"/>
              </w:rPr>
              <w:t>CTL</w:t>
            </w:r>
          </w:p>
        </w:tc>
        <w:tc>
          <w:tcPr>
            <w:tcW w:w="913" w:type="dxa"/>
            <w:tcBorders>
              <w:left w:val="single" w:sz="8" w:space="0" w:color="4F81BD"/>
              <w:right w:val="single" w:sz="8" w:space="0" w:color="4F81BD"/>
            </w:tcBorders>
          </w:tcPr>
          <w:p w:rsidR="00300092" w:rsidRDefault="00300092" w:rsidP="00300092">
            <w:pPr>
              <w:pStyle w:val="BodyText"/>
              <w:jc w:val="center"/>
            </w:pPr>
            <w:r w:rsidRPr="007D4A8A">
              <w:rPr>
                <w:rFonts w:ascii="Arial Black" w:hAnsi="Arial Black"/>
                <w:sz w:val="28"/>
              </w:rPr>
              <w:t>x</w:t>
            </w:r>
          </w:p>
        </w:tc>
        <w:tc>
          <w:tcPr>
            <w:tcW w:w="900" w:type="dxa"/>
          </w:tcPr>
          <w:p w:rsidR="00300092" w:rsidRDefault="00300092" w:rsidP="00300092">
            <w:pPr>
              <w:pStyle w:val="BodyText"/>
              <w:jc w:val="center"/>
            </w:pPr>
            <w:r w:rsidRPr="007D4A8A">
              <w:rPr>
                <w:rFonts w:ascii="Arial Black" w:hAnsi="Arial Black"/>
                <w:sz w:val="28"/>
              </w:rPr>
              <w:t>x</w:t>
            </w:r>
          </w:p>
        </w:tc>
        <w:tc>
          <w:tcPr>
            <w:tcW w:w="904" w:type="dxa"/>
            <w:tcBorders>
              <w:left w:val="single" w:sz="8" w:space="0" w:color="4F81BD"/>
              <w:right w:val="single" w:sz="8" w:space="0" w:color="4F81BD"/>
            </w:tcBorders>
          </w:tcPr>
          <w:p w:rsidR="00300092" w:rsidRDefault="00300092" w:rsidP="00300092">
            <w:pPr>
              <w:pStyle w:val="BodyText"/>
              <w:jc w:val="center"/>
            </w:pPr>
            <w:r w:rsidRPr="007D4A8A">
              <w:rPr>
                <w:rFonts w:ascii="Arial Black" w:hAnsi="Arial Black"/>
                <w:sz w:val="28"/>
              </w:rPr>
              <w:t>x</w:t>
            </w:r>
          </w:p>
        </w:tc>
        <w:tc>
          <w:tcPr>
            <w:tcW w:w="926" w:type="dxa"/>
          </w:tcPr>
          <w:p w:rsidR="00300092" w:rsidRDefault="00300092" w:rsidP="00300092">
            <w:pPr>
              <w:pStyle w:val="BodyText"/>
              <w:jc w:val="center"/>
            </w:pPr>
            <w:r w:rsidRPr="007D4A8A">
              <w:rPr>
                <w:rFonts w:ascii="Arial Black" w:hAnsi="Arial Black"/>
                <w:sz w:val="28"/>
              </w:rPr>
              <w:t>x</w:t>
            </w:r>
          </w:p>
        </w:tc>
        <w:tc>
          <w:tcPr>
            <w:tcW w:w="913" w:type="dxa"/>
            <w:tcBorders>
              <w:left w:val="single" w:sz="8" w:space="0" w:color="4F81BD"/>
              <w:right w:val="single" w:sz="8" w:space="0" w:color="4F81BD"/>
            </w:tcBorders>
          </w:tcPr>
          <w:p w:rsidR="00300092" w:rsidRDefault="00300092" w:rsidP="00300092">
            <w:pPr>
              <w:pStyle w:val="BodyText"/>
              <w:jc w:val="center"/>
            </w:pPr>
            <w:r w:rsidRPr="007D4A8A">
              <w:rPr>
                <w:rFonts w:ascii="Arial Black" w:hAnsi="Arial Black"/>
                <w:sz w:val="28"/>
              </w:rPr>
              <w:t>x</w:t>
            </w:r>
          </w:p>
        </w:tc>
        <w:tc>
          <w:tcPr>
            <w:tcW w:w="856" w:type="dxa"/>
          </w:tcPr>
          <w:p w:rsidR="00300092" w:rsidRDefault="00300092" w:rsidP="00300092">
            <w:pPr>
              <w:pStyle w:val="BodyText"/>
              <w:jc w:val="center"/>
            </w:pPr>
            <w:r w:rsidRPr="007D4A8A">
              <w:rPr>
                <w:rFonts w:ascii="Arial Black" w:hAnsi="Arial Black"/>
                <w:sz w:val="28"/>
              </w:rPr>
              <w:t>x</w:t>
            </w:r>
          </w:p>
        </w:tc>
        <w:tc>
          <w:tcPr>
            <w:tcW w:w="852" w:type="dxa"/>
            <w:tcBorders>
              <w:left w:val="single" w:sz="8" w:space="0" w:color="4F81BD"/>
              <w:right w:val="single" w:sz="8" w:space="0" w:color="4F81BD"/>
            </w:tcBorders>
          </w:tcPr>
          <w:p w:rsidR="00300092" w:rsidRDefault="00300092" w:rsidP="00300092">
            <w:pPr>
              <w:pStyle w:val="BodyText"/>
              <w:jc w:val="center"/>
            </w:pPr>
            <w:r w:rsidRPr="007D4A8A">
              <w:rPr>
                <w:rFonts w:ascii="Arial Black" w:hAnsi="Arial Black"/>
                <w:sz w:val="28"/>
              </w:rPr>
              <w:t>x</w:t>
            </w:r>
          </w:p>
        </w:tc>
        <w:tc>
          <w:tcPr>
            <w:tcW w:w="857" w:type="dxa"/>
          </w:tcPr>
          <w:p w:rsidR="00300092" w:rsidRDefault="00300092" w:rsidP="00300092">
            <w:pPr>
              <w:pStyle w:val="BodyText"/>
              <w:jc w:val="center"/>
            </w:pPr>
            <w:r w:rsidRPr="007D4A8A">
              <w:rPr>
                <w:rFonts w:ascii="Arial Black" w:hAnsi="Arial Black"/>
                <w:sz w:val="28"/>
              </w:rPr>
              <w:t>x</w:t>
            </w:r>
          </w:p>
        </w:tc>
        <w:tc>
          <w:tcPr>
            <w:tcW w:w="701" w:type="dxa"/>
            <w:tcBorders>
              <w:left w:val="single" w:sz="8" w:space="0" w:color="4F81BD"/>
            </w:tcBorders>
          </w:tcPr>
          <w:p w:rsidR="00300092" w:rsidRDefault="00300092" w:rsidP="00300092">
            <w:pPr>
              <w:pStyle w:val="BodyText"/>
              <w:jc w:val="center"/>
            </w:pPr>
            <w:r w:rsidRPr="007D4A8A">
              <w:rPr>
                <w:rFonts w:ascii="Arial Black" w:hAnsi="Arial Black"/>
                <w:sz w:val="28"/>
              </w:rPr>
              <w:t>x</w:t>
            </w:r>
          </w:p>
        </w:tc>
      </w:tr>
      <w:tr w:rsidR="00300092" w:rsidTr="00300092">
        <w:tc>
          <w:tcPr>
            <w:tcW w:w="891" w:type="dxa"/>
            <w:tcBorders>
              <w:top w:val="single" w:sz="8" w:space="0" w:color="4F81BD"/>
              <w:bottom w:val="single" w:sz="8" w:space="0" w:color="4F81BD"/>
            </w:tcBorders>
          </w:tcPr>
          <w:p w:rsidR="00300092" w:rsidRPr="007D4A8A" w:rsidRDefault="00300092" w:rsidP="00300092">
            <w:pPr>
              <w:pStyle w:val="BodyText"/>
              <w:jc w:val="right"/>
              <w:rPr>
                <w:rFonts w:ascii="Arial" w:hAnsi="Arial"/>
                <w:b/>
                <w:bCs/>
                <w:sz w:val="18"/>
                <w:szCs w:val="18"/>
              </w:rPr>
            </w:pPr>
            <w:r w:rsidRPr="007D4A8A">
              <w:rPr>
                <w:rFonts w:ascii="Arial" w:hAnsi="Arial"/>
                <w:bCs/>
                <w:sz w:val="18"/>
                <w:szCs w:val="18"/>
              </w:rPr>
              <w:t>STL</w:t>
            </w:r>
          </w:p>
        </w:tc>
        <w:tc>
          <w:tcPr>
            <w:tcW w:w="913" w:type="dxa"/>
            <w:tcBorders>
              <w:top w:val="single" w:sz="8" w:space="0" w:color="4F81BD"/>
              <w:left w:val="single" w:sz="8" w:space="0" w:color="4F81BD"/>
              <w:bottom w:val="single" w:sz="8" w:space="0" w:color="4F81BD"/>
              <w:right w:val="single" w:sz="8" w:space="0" w:color="4F81BD"/>
            </w:tcBorders>
          </w:tcPr>
          <w:p w:rsidR="00300092" w:rsidRPr="005E1496" w:rsidRDefault="00300092" w:rsidP="00300092">
            <w:pPr>
              <w:pStyle w:val="BodyText"/>
              <w:jc w:val="center"/>
            </w:pPr>
            <w:r w:rsidRPr="007D4A8A">
              <w:rPr>
                <w:rFonts w:ascii="Arial Black" w:hAnsi="Arial Black"/>
                <w:sz w:val="28"/>
              </w:rPr>
              <w:t>x</w:t>
            </w:r>
          </w:p>
        </w:tc>
        <w:tc>
          <w:tcPr>
            <w:tcW w:w="900" w:type="dxa"/>
            <w:tcBorders>
              <w:top w:val="single" w:sz="8" w:space="0" w:color="4F81BD"/>
              <w:bottom w:val="single" w:sz="8" w:space="0" w:color="4F81BD"/>
            </w:tcBorders>
          </w:tcPr>
          <w:p w:rsidR="00300092" w:rsidRDefault="00300092" w:rsidP="00300092">
            <w:pPr>
              <w:pStyle w:val="BodyText"/>
              <w:jc w:val="center"/>
            </w:pPr>
            <w:r w:rsidRPr="007D4A8A">
              <w:rPr>
                <w:rFonts w:ascii="Arial Black" w:hAnsi="Arial Black"/>
                <w:sz w:val="28"/>
              </w:rPr>
              <w:t>x</w:t>
            </w:r>
          </w:p>
        </w:tc>
        <w:tc>
          <w:tcPr>
            <w:tcW w:w="904" w:type="dxa"/>
            <w:tcBorders>
              <w:top w:val="single" w:sz="8" w:space="0" w:color="4F81BD"/>
              <w:left w:val="single" w:sz="8" w:space="0" w:color="4F81BD"/>
              <w:bottom w:val="single" w:sz="8" w:space="0" w:color="4F81BD"/>
              <w:right w:val="single" w:sz="8" w:space="0" w:color="4F81BD"/>
            </w:tcBorders>
          </w:tcPr>
          <w:p w:rsidR="00300092" w:rsidRDefault="00300092" w:rsidP="00300092">
            <w:pPr>
              <w:pStyle w:val="BodyText"/>
              <w:jc w:val="center"/>
            </w:pPr>
            <w:r w:rsidRPr="007D4A8A">
              <w:rPr>
                <w:rFonts w:ascii="Arial Black" w:hAnsi="Arial Black"/>
                <w:sz w:val="28"/>
              </w:rPr>
              <w:t>x</w:t>
            </w:r>
          </w:p>
        </w:tc>
        <w:tc>
          <w:tcPr>
            <w:tcW w:w="926" w:type="dxa"/>
            <w:tcBorders>
              <w:top w:val="single" w:sz="8" w:space="0" w:color="4F81BD"/>
              <w:bottom w:val="single" w:sz="8" w:space="0" w:color="4F81BD"/>
            </w:tcBorders>
          </w:tcPr>
          <w:p w:rsidR="00300092" w:rsidRDefault="00300092" w:rsidP="00300092">
            <w:pPr>
              <w:pStyle w:val="BodyText"/>
              <w:jc w:val="center"/>
            </w:pPr>
            <w:r w:rsidRPr="007D4A8A">
              <w:rPr>
                <w:rFonts w:ascii="Arial Black" w:hAnsi="Arial Black"/>
                <w:sz w:val="28"/>
              </w:rPr>
              <w:t>x</w:t>
            </w:r>
          </w:p>
        </w:tc>
        <w:tc>
          <w:tcPr>
            <w:tcW w:w="913" w:type="dxa"/>
            <w:tcBorders>
              <w:top w:val="single" w:sz="8" w:space="0" w:color="4F81BD"/>
              <w:left w:val="single" w:sz="8" w:space="0" w:color="4F81BD"/>
              <w:bottom w:val="single" w:sz="8" w:space="0" w:color="4F81BD"/>
              <w:right w:val="single" w:sz="8" w:space="0" w:color="4F81BD"/>
            </w:tcBorders>
          </w:tcPr>
          <w:p w:rsidR="00300092" w:rsidRDefault="00300092" w:rsidP="00300092">
            <w:pPr>
              <w:pStyle w:val="BodyText"/>
              <w:jc w:val="center"/>
            </w:pPr>
            <w:r w:rsidRPr="007D4A8A">
              <w:rPr>
                <w:rFonts w:ascii="Arial Black" w:hAnsi="Arial Black"/>
                <w:sz w:val="28"/>
              </w:rPr>
              <w:t>x</w:t>
            </w:r>
          </w:p>
        </w:tc>
        <w:tc>
          <w:tcPr>
            <w:tcW w:w="856" w:type="dxa"/>
            <w:tcBorders>
              <w:top w:val="single" w:sz="8" w:space="0" w:color="4F81BD"/>
              <w:bottom w:val="single" w:sz="8" w:space="0" w:color="4F81BD"/>
            </w:tcBorders>
          </w:tcPr>
          <w:p w:rsidR="00300092" w:rsidRDefault="00300092" w:rsidP="00300092">
            <w:pPr>
              <w:pStyle w:val="BodyText"/>
              <w:jc w:val="center"/>
            </w:pPr>
            <w:r w:rsidRPr="007D4A8A">
              <w:rPr>
                <w:rFonts w:ascii="Arial Black" w:hAnsi="Arial Black"/>
                <w:sz w:val="28"/>
              </w:rPr>
              <w:t>x</w:t>
            </w:r>
          </w:p>
        </w:tc>
        <w:tc>
          <w:tcPr>
            <w:tcW w:w="852" w:type="dxa"/>
            <w:tcBorders>
              <w:top w:val="single" w:sz="8" w:space="0" w:color="4F81BD"/>
              <w:left w:val="single" w:sz="8" w:space="0" w:color="4F81BD"/>
              <w:bottom w:val="single" w:sz="8" w:space="0" w:color="4F81BD"/>
              <w:right w:val="single" w:sz="8" w:space="0" w:color="4F81BD"/>
            </w:tcBorders>
          </w:tcPr>
          <w:p w:rsidR="00300092" w:rsidRDefault="00300092" w:rsidP="00300092">
            <w:pPr>
              <w:pStyle w:val="BodyText"/>
              <w:jc w:val="center"/>
            </w:pPr>
            <w:r w:rsidRPr="007D4A8A">
              <w:rPr>
                <w:rFonts w:ascii="Arial Black" w:hAnsi="Arial Black"/>
                <w:sz w:val="28"/>
              </w:rPr>
              <w:t>x</w:t>
            </w:r>
          </w:p>
        </w:tc>
        <w:tc>
          <w:tcPr>
            <w:tcW w:w="857" w:type="dxa"/>
            <w:tcBorders>
              <w:top w:val="single" w:sz="8" w:space="0" w:color="4F81BD"/>
              <w:bottom w:val="single" w:sz="8" w:space="0" w:color="4F81BD"/>
            </w:tcBorders>
          </w:tcPr>
          <w:p w:rsidR="00300092" w:rsidRDefault="00300092" w:rsidP="00300092">
            <w:pPr>
              <w:pStyle w:val="BodyText"/>
              <w:jc w:val="center"/>
            </w:pPr>
            <w:r w:rsidRPr="007D4A8A">
              <w:rPr>
                <w:rFonts w:ascii="Arial Black" w:hAnsi="Arial Black"/>
                <w:sz w:val="28"/>
              </w:rPr>
              <w:t>x</w:t>
            </w:r>
          </w:p>
        </w:tc>
        <w:tc>
          <w:tcPr>
            <w:tcW w:w="701" w:type="dxa"/>
            <w:tcBorders>
              <w:top w:val="single" w:sz="8" w:space="0" w:color="4F81BD"/>
              <w:left w:val="single" w:sz="8" w:space="0" w:color="4F81BD"/>
              <w:bottom w:val="single" w:sz="8" w:space="0" w:color="4F81BD"/>
            </w:tcBorders>
          </w:tcPr>
          <w:p w:rsidR="00300092" w:rsidRDefault="00300092" w:rsidP="00300092">
            <w:pPr>
              <w:pStyle w:val="BodyText"/>
              <w:jc w:val="center"/>
            </w:pPr>
            <w:r w:rsidRPr="007D4A8A">
              <w:rPr>
                <w:rFonts w:ascii="Arial Black" w:hAnsi="Arial Black"/>
                <w:sz w:val="28"/>
              </w:rPr>
              <w:t>x</w:t>
            </w:r>
          </w:p>
        </w:tc>
      </w:tr>
      <w:tr w:rsidR="00300092" w:rsidTr="00300092">
        <w:trPr>
          <w:trHeight w:val="560"/>
        </w:trPr>
        <w:tc>
          <w:tcPr>
            <w:tcW w:w="891" w:type="dxa"/>
            <w:tcBorders>
              <w:bottom w:val="single" w:sz="8" w:space="0" w:color="4F81BD"/>
            </w:tcBorders>
          </w:tcPr>
          <w:p w:rsidR="00300092" w:rsidRPr="007D4A8A" w:rsidRDefault="00300092" w:rsidP="00300092">
            <w:pPr>
              <w:pStyle w:val="BodyText"/>
              <w:jc w:val="right"/>
              <w:rPr>
                <w:rFonts w:ascii="Arial" w:hAnsi="Arial"/>
                <w:b/>
                <w:bCs/>
                <w:sz w:val="18"/>
                <w:szCs w:val="18"/>
              </w:rPr>
            </w:pPr>
            <w:r w:rsidRPr="007D4A8A">
              <w:rPr>
                <w:rFonts w:ascii="Arial" w:hAnsi="Arial"/>
                <w:bCs/>
                <w:sz w:val="18"/>
                <w:szCs w:val="18"/>
              </w:rPr>
              <w:t>ELE</w:t>
            </w:r>
          </w:p>
        </w:tc>
        <w:tc>
          <w:tcPr>
            <w:tcW w:w="913" w:type="dxa"/>
            <w:tcBorders>
              <w:left w:val="single" w:sz="8" w:space="0" w:color="4F81BD"/>
              <w:bottom w:val="single" w:sz="8" w:space="0" w:color="4F81BD"/>
              <w:right w:val="single" w:sz="8" w:space="0" w:color="4F81BD"/>
            </w:tcBorders>
          </w:tcPr>
          <w:p w:rsidR="00300092" w:rsidRDefault="00300092" w:rsidP="00300092">
            <w:pPr>
              <w:pStyle w:val="BodyText"/>
              <w:jc w:val="center"/>
            </w:pPr>
            <w:r w:rsidRPr="007D4A8A">
              <w:rPr>
                <w:rFonts w:ascii="Arial Black" w:hAnsi="Arial Black"/>
                <w:sz w:val="28"/>
              </w:rPr>
              <w:t>x</w:t>
            </w:r>
          </w:p>
        </w:tc>
        <w:tc>
          <w:tcPr>
            <w:tcW w:w="900" w:type="dxa"/>
            <w:tcBorders>
              <w:bottom w:val="single" w:sz="8" w:space="0" w:color="4F81BD"/>
            </w:tcBorders>
          </w:tcPr>
          <w:p w:rsidR="00300092" w:rsidRDefault="00300092" w:rsidP="00300092">
            <w:pPr>
              <w:pStyle w:val="BodyText"/>
            </w:pPr>
          </w:p>
        </w:tc>
        <w:tc>
          <w:tcPr>
            <w:tcW w:w="904" w:type="dxa"/>
            <w:tcBorders>
              <w:left w:val="single" w:sz="8" w:space="0" w:color="4F81BD"/>
              <w:bottom w:val="single" w:sz="8" w:space="0" w:color="4F81BD"/>
              <w:right w:val="single" w:sz="8" w:space="0" w:color="4F81BD"/>
            </w:tcBorders>
          </w:tcPr>
          <w:p w:rsidR="00300092" w:rsidRDefault="00300092" w:rsidP="00300092">
            <w:pPr>
              <w:pStyle w:val="BodyText"/>
            </w:pPr>
          </w:p>
        </w:tc>
        <w:tc>
          <w:tcPr>
            <w:tcW w:w="926" w:type="dxa"/>
            <w:tcBorders>
              <w:bottom w:val="single" w:sz="8" w:space="0" w:color="4F81BD"/>
            </w:tcBorders>
          </w:tcPr>
          <w:p w:rsidR="00300092" w:rsidRDefault="00300092" w:rsidP="00300092">
            <w:pPr>
              <w:pStyle w:val="BodyText"/>
              <w:jc w:val="center"/>
            </w:pPr>
            <w:r w:rsidRPr="007D4A8A">
              <w:rPr>
                <w:rFonts w:ascii="Arial Black" w:hAnsi="Arial Black"/>
                <w:sz w:val="28"/>
              </w:rPr>
              <w:t>x</w:t>
            </w:r>
          </w:p>
        </w:tc>
        <w:tc>
          <w:tcPr>
            <w:tcW w:w="913" w:type="dxa"/>
            <w:tcBorders>
              <w:left w:val="single" w:sz="8" w:space="0" w:color="4F81BD"/>
              <w:bottom w:val="single" w:sz="8" w:space="0" w:color="4F81BD"/>
              <w:right w:val="single" w:sz="8" w:space="0" w:color="4F81BD"/>
            </w:tcBorders>
          </w:tcPr>
          <w:p w:rsidR="00300092" w:rsidRDefault="00300092" w:rsidP="00300092">
            <w:pPr>
              <w:pStyle w:val="BodyText"/>
            </w:pPr>
          </w:p>
        </w:tc>
        <w:tc>
          <w:tcPr>
            <w:tcW w:w="856" w:type="dxa"/>
            <w:tcBorders>
              <w:bottom w:val="single" w:sz="8" w:space="0" w:color="4F81BD"/>
            </w:tcBorders>
          </w:tcPr>
          <w:p w:rsidR="00300092" w:rsidRDefault="00300092" w:rsidP="00300092">
            <w:pPr>
              <w:pStyle w:val="BodyText"/>
            </w:pPr>
          </w:p>
        </w:tc>
        <w:tc>
          <w:tcPr>
            <w:tcW w:w="852" w:type="dxa"/>
            <w:tcBorders>
              <w:left w:val="single" w:sz="8" w:space="0" w:color="4F81BD"/>
              <w:bottom w:val="single" w:sz="8" w:space="0" w:color="4F81BD"/>
              <w:right w:val="single" w:sz="8" w:space="0" w:color="4F81BD"/>
            </w:tcBorders>
          </w:tcPr>
          <w:p w:rsidR="00300092" w:rsidRDefault="00300092" w:rsidP="00300092">
            <w:pPr>
              <w:pStyle w:val="BodyText"/>
              <w:jc w:val="center"/>
            </w:pPr>
            <w:r w:rsidRPr="007D4A8A">
              <w:rPr>
                <w:rFonts w:ascii="Arial Black" w:hAnsi="Arial Black"/>
                <w:sz w:val="28"/>
              </w:rPr>
              <w:t>x</w:t>
            </w:r>
          </w:p>
        </w:tc>
        <w:tc>
          <w:tcPr>
            <w:tcW w:w="857" w:type="dxa"/>
            <w:tcBorders>
              <w:bottom w:val="single" w:sz="8" w:space="0" w:color="4F81BD"/>
            </w:tcBorders>
          </w:tcPr>
          <w:p w:rsidR="00300092" w:rsidRDefault="00300092" w:rsidP="00300092">
            <w:pPr>
              <w:pStyle w:val="BodyText"/>
              <w:jc w:val="center"/>
            </w:pPr>
            <w:r w:rsidRPr="007D4A8A">
              <w:rPr>
                <w:rFonts w:ascii="Arial Black" w:hAnsi="Arial Black"/>
                <w:sz w:val="28"/>
              </w:rPr>
              <w:t>x</w:t>
            </w:r>
          </w:p>
        </w:tc>
        <w:tc>
          <w:tcPr>
            <w:tcW w:w="701" w:type="dxa"/>
            <w:tcBorders>
              <w:left w:val="single" w:sz="8" w:space="0" w:color="4F81BD"/>
              <w:bottom w:val="single" w:sz="8" w:space="0" w:color="4F81BD"/>
            </w:tcBorders>
          </w:tcPr>
          <w:p w:rsidR="00300092" w:rsidRDefault="00300092" w:rsidP="00300092">
            <w:pPr>
              <w:pStyle w:val="BodyText"/>
            </w:pPr>
          </w:p>
        </w:tc>
      </w:tr>
    </w:tbl>
    <w:p w:rsidR="00300092" w:rsidRPr="008C310D" w:rsidRDefault="00300092" w:rsidP="00300092">
      <w:pPr>
        <w:pStyle w:val="BodyText"/>
        <w:rPr>
          <w:rFonts w:ascii="Arial" w:hAnsi="Arial"/>
          <w:sz w:val="18"/>
          <w:szCs w:val="18"/>
        </w:rPr>
      </w:pPr>
      <w:r>
        <w:rPr>
          <w:rFonts w:ascii="Arial" w:hAnsi="Arial"/>
          <w:sz w:val="18"/>
          <w:szCs w:val="18"/>
        </w:rPr>
        <w:t xml:space="preserve">Notes: PASL: light/small passenger vehicles; PASM: medium passenger vehicles; PASH: heavy/large passenger vehicles; LCVL: light/small commercial vehicles; LCVM: medium commercial vehicles; LCVH: heavy/large commercial vehicles; RGT: rigid trucks; BUS: buses; ART: articulated trucks. </w:t>
      </w:r>
    </w:p>
    <w:p w:rsidR="00300092" w:rsidRDefault="00300092" w:rsidP="00E96318">
      <w:pPr>
        <w:pStyle w:val="AppendixHeading2"/>
      </w:pPr>
      <w:bookmarkStart w:id="175" w:name="_Toc308600730"/>
      <w:r>
        <w:t>Road engine type configurations</w:t>
      </w:r>
      <w:bookmarkEnd w:id="175"/>
    </w:p>
    <w:p w:rsidR="00300092" w:rsidRPr="00FD00DA" w:rsidRDefault="00300092" w:rsidP="00300092">
      <w:pPr>
        <w:pStyle w:val="BodyText"/>
      </w:pPr>
      <w:r w:rsidRPr="00FD00DA">
        <w:t xml:space="preserve">The engine configurations allowed for </w:t>
      </w:r>
      <w:r>
        <w:t xml:space="preserve">road transport </w:t>
      </w:r>
      <w:r w:rsidRPr="00FD00DA">
        <w:t>are:</w:t>
      </w:r>
    </w:p>
    <w:p w:rsidR="00300092" w:rsidRDefault="00300092" w:rsidP="00E5753E">
      <w:pPr>
        <w:pStyle w:val="BodyText"/>
        <w:numPr>
          <w:ilvl w:val="0"/>
          <w:numId w:val="50"/>
        </w:numPr>
        <w:tabs>
          <w:tab w:val="left" w:pos="1080"/>
          <w:tab w:val="left" w:pos="1800"/>
          <w:tab w:val="left" w:pos="2520"/>
          <w:tab w:val="left" w:pos="3240"/>
          <w:tab w:val="left" w:pos="3960"/>
          <w:tab w:val="left" w:pos="4680"/>
          <w:tab w:val="left" w:pos="5400"/>
          <w:tab w:val="left" w:pos="6120"/>
          <w:tab w:val="left" w:pos="6840"/>
          <w:tab w:val="left" w:pos="7560"/>
          <w:tab w:val="left" w:pos="8280"/>
        </w:tabs>
        <w:spacing w:after="240" w:line="280" w:lineRule="atLeast"/>
      </w:pPr>
      <w:r w:rsidRPr="00FD00DA">
        <w:t>Internal combustion</w:t>
      </w:r>
      <w:r>
        <w:t xml:space="preserve"> (ICE)</w:t>
      </w:r>
    </w:p>
    <w:p w:rsidR="00300092" w:rsidRDefault="00300092" w:rsidP="00E5753E">
      <w:pPr>
        <w:pStyle w:val="BodyText"/>
        <w:numPr>
          <w:ilvl w:val="0"/>
          <w:numId w:val="50"/>
        </w:numPr>
        <w:tabs>
          <w:tab w:val="left" w:pos="1080"/>
          <w:tab w:val="left" w:pos="1800"/>
          <w:tab w:val="left" w:pos="2520"/>
          <w:tab w:val="left" w:pos="3240"/>
          <w:tab w:val="left" w:pos="3960"/>
          <w:tab w:val="left" w:pos="4680"/>
          <w:tab w:val="left" w:pos="5400"/>
          <w:tab w:val="left" w:pos="6120"/>
          <w:tab w:val="left" w:pos="6840"/>
          <w:tab w:val="left" w:pos="7560"/>
          <w:tab w:val="left" w:pos="8280"/>
        </w:tabs>
        <w:spacing w:after="240" w:line="280" w:lineRule="atLeast"/>
      </w:pPr>
      <w:r w:rsidRPr="00FD00DA">
        <w:t>Mild hybrid internal combustion-electric</w:t>
      </w:r>
      <w:r>
        <w:t xml:space="preserve"> (HYB)</w:t>
      </w:r>
    </w:p>
    <w:p w:rsidR="00300092" w:rsidRDefault="00300092" w:rsidP="00E5753E">
      <w:pPr>
        <w:pStyle w:val="BodyText"/>
        <w:numPr>
          <w:ilvl w:val="0"/>
          <w:numId w:val="50"/>
        </w:numPr>
        <w:tabs>
          <w:tab w:val="left" w:pos="1080"/>
          <w:tab w:val="left" w:pos="1800"/>
          <w:tab w:val="left" w:pos="2520"/>
          <w:tab w:val="left" w:pos="3240"/>
          <w:tab w:val="left" w:pos="3960"/>
          <w:tab w:val="left" w:pos="4680"/>
          <w:tab w:val="left" w:pos="5400"/>
          <w:tab w:val="left" w:pos="6120"/>
          <w:tab w:val="left" w:pos="6840"/>
          <w:tab w:val="left" w:pos="7560"/>
          <w:tab w:val="left" w:pos="8280"/>
        </w:tabs>
        <w:spacing w:after="240" w:line="280" w:lineRule="atLeast"/>
      </w:pPr>
      <w:r w:rsidRPr="00FD00DA">
        <w:t>Plug-in hybrid electric (PHEV)</w:t>
      </w:r>
    </w:p>
    <w:p w:rsidR="00300092" w:rsidRDefault="00300092" w:rsidP="00E5753E">
      <w:pPr>
        <w:pStyle w:val="BodyText"/>
        <w:numPr>
          <w:ilvl w:val="0"/>
          <w:numId w:val="50"/>
        </w:numPr>
        <w:tabs>
          <w:tab w:val="left" w:pos="1080"/>
          <w:tab w:val="left" w:pos="1800"/>
          <w:tab w:val="left" w:pos="2520"/>
          <w:tab w:val="left" w:pos="3240"/>
          <w:tab w:val="left" w:pos="3960"/>
          <w:tab w:val="left" w:pos="4680"/>
          <w:tab w:val="left" w:pos="5400"/>
          <w:tab w:val="left" w:pos="6120"/>
          <w:tab w:val="left" w:pos="6840"/>
          <w:tab w:val="left" w:pos="7560"/>
          <w:tab w:val="left" w:pos="8280"/>
        </w:tabs>
        <w:spacing w:after="240" w:line="280" w:lineRule="atLeast"/>
      </w:pPr>
      <w:r w:rsidRPr="00FD00DA">
        <w:t>Full (100 percent) electric</w:t>
      </w:r>
      <w:r>
        <w:t xml:space="preserve"> (EV)</w:t>
      </w:r>
    </w:p>
    <w:p w:rsidR="00300092" w:rsidRDefault="00300092" w:rsidP="00E5753E">
      <w:pPr>
        <w:pStyle w:val="BodyText"/>
        <w:numPr>
          <w:ilvl w:val="0"/>
          <w:numId w:val="50"/>
        </w:numPr>
        <w:tabs>
          <w:tab w:val="left" w:pos="1080"/>
          <w:tab w:val="left" w:pos="1800"/>
          <w:tab w:val="left" w:pos="2520"/>
          <w:tab w:val="left" w:pos="3240"/>
          <w:tab w:val="left" w:pos="3960"/>
          <w:tab w:val="left" w:pos="4680"/>
          <w:tab w:val="left" w:pos="5400"/>
          <w:tab w:val="left" w:pos="6120"/>
          <w:tab w:val="left" w:pos="6840"/>
          <w:tab w:val="left" w:pos="7560"/>
          <w:tab w:val="left" w:pos="8280"/>
        </w:tabs>
        <w:spacing w:after="240" w:line="280" w:lineRule="atLeast"/>
      </w:pPr>
      <w:r>
        <w:t>Fuel cell (FCV).</w:t>
      </w:r>
    </w:p>
    <w:p w:rsidR="006F2A4C" w:rsidRDefault="00300092">
      <w:r w:rsidRPr="00FD00DA">
        <w:lastRenderedPageBreak/>
        <w:t xml:space="preserve">Fully electric vehicles </w:t>
      </w:r>
      <w:r>
        <w:t xml:space="preserve">(EVs) </w:t>
      </w:r>
      <w:r w:rsidRPr="00FD00DA">
        <w:t xml:space="preserve">were deemed to be available in </w:t>
      </w:r>
      <w:r>
        <w:t>all vehicle categories Hybrids (HYB) are not allowed in the light passenger/LCV vehicle category since it would be unlikely that the fuel savings achieved through hybridisation would be cost effective given the high existing fuel efficiency of this vehicle category</w:t>
      </w:r>
      <w:r w:rsidRPr="00FD00DA">
        <w:t xml:space="preserve">. </w:t>
      </w:r>
      <w:r>
        <w:t>Medium and heavy/large p</w:t>
      </w:r>
      <w:r w:rsidRPr="00FD00DA">
        <w:t>assenger and light</w:t>
      </w:r>
      <w:r>
        <w:t>/small</w:t>
      </w:r>
      <w:r w:rsidRPr="00FD00DA">
        <w:t xml:space="preserve"> commercial vehicle categories are </w:t>
      </w:r>
      <w:r>
        <w:t xml:space="preserve">also </w:t>
      </w:r>
      <w:r w:rsidRPr="00FD00DA">
        <w:t>available as PHEVs</w:t>
      </w:r>
      <w:r w:rsidRPr="00FD00DA" w:rsidDel="00513ABB">
        <w:t xml:space="preserve"> </w:t>
      </w:r>
      <w:r w:rsidRPr="00FD00DA">
        <w:t>(internal combustion engine and electric motor on board capable of driving for extended periods) as are rigid trucks and buses. Articulated trucks were limited to mild hybridisation (for example, engine stop and fast start capability). The fuel efficiency section outlines what this means in performance terms</w:t>
      </w:r>
      <w:r>
        <w:t xml:space="preserve"> </w:t>
      </w:r>
    </w:p>
    <w:p w:rsidR="006F2A4C" w:rsidRDefault="00300092">
      <w:r>
        <w:t>FCVs use fuel cells to convert the chemical energy contained in hydrogen into electricity, which is used to power an electric motor that drives the wheels and support other vehicle functions. FCVs are currently available in some jurisdictions overseas in limited numbers.</w:t>
      </w:r>
    </w:p>
    <w:p w:rsidR="006F2A4C" w:rsidRDefault="00300092">
      <w:r>
        <w:t>As fuel cell systems improve and FCVs are proven technically, the refuelling and fuel infrastructure issues are likely to become the main barriers to commercialisation. Fuel cell system costs have declined but are still very expensive compared to conventional ICE vehicles.</w:t>
      </w:r>
    </w:p>
    <w:p w:rsidR="00300092" w:rsidRDefault="00C14EF7" w:rsidP="00300092">
      <w:pPr>
        <w:pStyle w:val="BodyText"/>
      </w:pPr>
      <w:r>
        <w:fldChar w:fldCharType="begin"/>
      </w:r>
      <w:r w:rsidR="00300092">
        <w:instrText xml:space="preserve"> REF _Ref304807012 \h </w:instrText>
      </w:r>
      <w:r>
        <w:fldChar w:fldCharType="separate"/>
      </w:r>
      <w:r w:rsidR="003E0F65">
        <w:t>Table A</w:t>
      </w:r>
      <w:r w:rsidR="003E0F65">
        <w:noBreakHyphen/>
      </w:r>
      <w:r w:rsidR="003E0F65">
        <w:rPr>
          <w:noProof/>
        </w:rPr>
        <w:t>2</w:t>
      </w:r>
      <w:r>
        <w:fldChar w:fldCharType="end"/>
      </w:r>
      <w:r w:rsidR="00300092">
        <w:t xml:space="preserve"> maps the allowable road mode and engine combinations for road transport in ESM.</w:t>
      </w:r>
    </w:p>
    <w:p w:rsidR="00300092" w:rsidRPr="00FD00DA" w:rsidRDefault="00300092" w:rsidP="00300092">
      <w:pPr>
        <w:pStyle w:val="Caption"/>
      </w:pPr>
      <w:bookmarkStart w:id="176" w:name="_Ref304807012"/>
      <w:bookmarkStart w:id="177" w:name="_Toc308443505"/>
      <w:bookmarkStart w:id="178" w:name="_Toc366227388"/>
      <w:r>
        <w:t xml:space="preserve">Table </w:t>
      </w:r>
      <w:r w:rsidR="00FE0313">
        <w:t>A</w:t>
      </w:r>
      <w:r>
        <w:noBreakHyphen/>
      </w:r>
      <w:r w:rsidR="00C14EF7">
        <w:fldChar w:fldCharType="begin"/>
      </w:r>
      <w:r>
        <w:instrText xml:space="preserve"> SEQ Table \* ARABIC \s 1 </w:instrText>
      </w:r>
      <w:r w:rsidR="00C14EF7">
        <w:fldChar w:fldCharType="separate"/>
      </w:r>
      <w:r w:rsidR="003E0F65">
        <w:rPr>
          <w:noProof/>
        </w:rPr>
        <w:t>2</w:t>
      </w:r>
      <w:r w:rsidR="00C14EF7">
        <w:fldChar w:fldCharType="end"/>
      </w:r>
      <w:bookmarkEnd w:id="176"/>
      <w:r>
        <w:t>: Allowable road mode and engine combinations</w:t>
      </w:r>
      <w:bookmarkEnd w:id="177"/>
      <w:bookmarkEnd w:id="178"/>
    </w:p>
    <w:tbl>
      <w:tblPr>
        <w:tblW w:w="0" w:type="auto"/>
        <w:tblBorders>
          <w:top w:val="single" w:sz="8" w:space="0" w:color="4F81BD"/>
          <w:left w:val="single" w:sz="8" w:space="0" w:color="4F81BD"/>
          <w:bottom w:val="single" w:sz="8" w:space="0" w:color="4F81BD"/>
          <w:right w:val="single" w:sz="8" w:space="0" w:color="4F81BD"/>
        </w:tblBorders>
        <w:tblLayout w:type="fixed"/>
        <w:tblLook w:val="00A0"/>
      </w:tblPr>
      <w:tblGrid>
        <w:gridCol w:w="871"/>
        <w:gridCol w:w="871"/>
        <w:gridCol w:w="871"/>
        <w:gridCol w:w="872"/>
        <w:gridCol w:w="871"/>
        <w:gridCol w:w="871"/>
        <w:gridCol w:w="872"/>
        <w:gridCol w:w="871"/>
        <w:gridCol w:w="871"/>
        <w:gridCol w:w="872"/>
      </w:tblGrid>
      <w:tr w:rsidR="00300092" w:rsidRPr="00562EC9" w:rsidTr="00300092">
        <w:tc>
          <w:tcPr>
            <w:tcW w:w="871" w:type="dxa"/>
            <w:tcBorders>
              <w:top w:val="single" w:sz="8" w:space="0" w:color="4F81BD"/>
            </w:tcBorders>
            <w:shd w:val="clear" w:color="auto" w:fill="4F81BD"/>
          </w:tcPr>
          <w:p w:rsidR="00300092" w:rsidRPr="007D4A8A" w:rsidRDefault="00300092" w:rsidP="00300092">
            <w:pPr>
              <w:pStyle w:val="BodyText"/>
              <w:rPr>
                <w:b/>
                <w:bCs/>
                <w:color w:val="FFFFFF"/>
              </w:rPr>
            </w:pPr>
          </w:p>
        </w:tc>
        <w:tc>
          <w:tcPr>
            <w:tcW w:w="871" w:type="dxa"/>
            <w:tcBorders>
              <w:top w:val="single" w:sz="8" w:space="0" w:color="4F81BD"/>
              <w:left w:val="single" w:sz="8" w:space="0" w:color="4F81BD"/>
              <w:right w:val="single" w:sz="8" w:space="0" w:color="4F81BD"/>
            </w:tcBorders>
            <w:shd w:val="clear" w:color="auto" w:fill="4F81BD"/>
          </w:tcPr>
          <w:p w:rsidR="00300092" w:rsidRPr="007D4A8A" w:rsidRDefault="00300092" w:rsidP="00300092">
            <w:pPr>
              <w:pStyle w:val="BodyText"/>
              <w:jc w:val="center"/>
              <w:rPr>
                <w:rFonts w:ascii="Arial" w:hAnsi="Arial"/>
                <w:b/>
                <w:bCs/>
                <w:color w:val="FFFFFF"/>
                <w:sz w:val="18"/>
                <w:szCs w:val="18"/>
              </w:rPr>
            </w:pPr>
            <w:r w:rsidRPr="007D4A8A">
              <w:rPr>
                <w:rFonts w:ascii="Arial" w:hAnsi="Arial"/>
                <w:bCs/>
                <w:color w:val="FFFFFF"/>
                <w:sz w:val="18"/>
                <w:szCs w:val="18"/>
              </w:rPr>
              <w:t>PASL</w:t>
            </w:r>
          </w:p>
        </w:tc>
        <w:tc>
          <w:tcPr>
            <w:tcW w:w="871" w:type="dxa"/>
            <w:tcBorders>
              <w:top w:val="single" w:sz="8" w:space="0" w:color="4F81BD"/>
            </w:tcBorders>
            <w:shd w:val="clear" w:color="auto" w:fill="4F81BD"/>
          </w:tcPr>
          <w:p w:rsidR="00300092" w:rsidRPr="007D4A8A" w:rsidRDefault="00300092" w:rsidP="00300092">
            <w:pPr>
              <w:pStyle w:val="BodyText"/>
              <w:jc w:val="center"/>
              <w:rPr>
                <w:rFonts w:ascii="Arial" w:hAnsi="Arial"/>
                <w:b/>
                <w:bCs/>
                <w:color w:val="FFFFFF"/>
                <w:sz w:val="18"/>
                <w:szCs w:val="18"/>
              </w:rPr>
            </w:pPr>
            <w:r w:rsidRPr="007D4A8A">
              <w:rPr>
                <w:rFonts w:ascii="Arial" w:hAnsi="Arial"/>
                <w:bCs/>
                <w:color w:val="FFFFFF"/>
                <w:sz w:val="18"/>
                <w:szCs w:val="18"/>
              </w:rPr>
              <w:t>PASM</w:t>
            </w:r>
          </w:p>
        </w:tc>
        <w:tc>
          <w:tcPr>
            <w:tcW w:w="872" w:type="dxa"/>
            <w:tcBorders>
              <w:top w:val="single" w:sz="8" w:space="0" w:color="4F81BD"/>
              <w:left w:val="single" w:sz="8" w:space="0" w:color="4F81BD"/>
              <w:right w:val="single" w:sz="8" w:space="0" w:color="4F81BD"/>
            </w:tcBorders>
            <w:shd w:val="clear" w:color="auto" w:fill="4F81BD"/>
          </w:tcPr>
          <w:p w:rsidR="00300092" w:rsidRPr="007D4A8A" w:rsidRDefault="00300092" w:rsidP="00300092">
            <w:pPr>
              <w:pStyle w:val="BodyText"/>
              <w:jc w:val="center"/>
              <w:rPr>
                <w:rFonts w:ascii="Arial" w:hAnsi="Arial"/>
                <w:b/>
                <w:bCs/>
                <w:color w:val="FFFFFF"/>
                <w:sz w:val="18"/>
                <w:szCs w:val="18"/>
              </w:rPr>
            </w:pPr>
            <w:r w:rsidRPr="007D4A8A">
              <w:rPr>
                <w:rFonts w:ascii="Arial" w:hAnsi="Arial"/>
                <w:bCs/>
                <w:color w:val="FFFFFF"/>
                <w:sz w:val="18"/>
                <w:szCs w:val="18"/>
              </w:rPr>
              <w:t>PASH</w:t>
            </w:r>
          </w:p>
        </w:tc>
        <w:tc>
          <w:tcPr>
            <w:tcW w:w="871" w:type="dxa"/>
            <w:tcBorders>
              <w:top w:val="single" w:sz="8" w:space="0" w:color="4F81BD"/>
            </w:tcBorders>
            <w:shd w:val="clear" w:color="auto" w:fill="4F81BD"/>
          </w:tcPr>
          <w:p w:rsidR="00300092" w:rsidRPr="007D4A8A" w:rsidRDefault="00300092" w:rsidP="00300092">
            <w:pPr>
              <w:pStyle w:val="BodyText"/>
              <w:jc w:val="center"/>
              <w:rPr>
                <w:rFonts w:ascii="Arial" w:hAnsi="Arial"/>
                <w:b/>
                <w:bCs/>
                <w:color w:val="FFFFFF"/>
                <w:sz w:val="18"/>
                <w:szCs w:val="18"/>
              </w:rPr>
            </w:pPr>
            <w:r w:rsidRPr="007D4A8A">
              <w:rPr>
                <w:rFonts w:ascii="Arial" w:hAnsi="Arial"/>
                <w:bCs/>
                <w:color w:val="FFFFFF"/>
                <w:sz w:val="18"/>
                <w:szCs w:val="18"/>
              </w:rPr>
              <w:t>LCVL</w:t>
            </w:r>
          </w:p>
        </w:tc>
        <w:tc>
          <w:tcPr>
            <w:tcW w:w="871" w:type="dxa"/>
            <w:tcBorders>
              <w:top w:val="single" w:sz="8" w:space="0" w:color="4F81BD"/>
              <w:left w:val="single" w:sz="8" w:space="0" w:color="4F81BD"/>
              <w:right w:val="single" w:sz="8" w:space="0" w:color="4F81BD"/>
            </w:tcBorders>
            <w:shd w:val="clear" w:color="auto" w:fill="4F81BD"/>
          </w:tcPr>
          <w:p w:rsidR="00300092" w:rsidRPr="007D4A8A" w:rsidRDefault="00300092" w:rsidP="00300092">
            <w:pPr>
              <w:pStyle w:val="BodyText"/>
              <w:jc w:val="center"/>
              <w:rPr>
                <w:rFonts w:ascii="Arial" w:hAnsi="Arial"/>
                <w:b/>
                <w:bCs/>
                <w:color w:val="FFFFFF"/>
                <w:sz w:val="18"/>
                <w:szCs w:val="18"/>
              </w:rPr>
            </w:pPr>
            <w:r w:rsidRPr="007D4A8A">
              <w:rPr>
                <w:rFonts w:ascii="Arial" w:hAnsi="Arial"/>
                <w:bCs/>
                <w:color w:val="FFFFFF"/>
                <w:sz w:val="18"/>
                <w:szCs w:val="18"/>
              </w:rPr>
              <w:t>LCVM</w:t>
            </w:r>
          </w:p>
        </w:tc>
        <w:tc>
          <w:tcPr>
            <w:tcW w:w="872" w:type="dxa"/>
            <w:tcBorders>
              <w:top w:val="single" w:sz="8" w:space="0" w:color="4F81BD"/>
            </w:tcBorders>
            <w:shd w:val="clear" w:color="auto" w:fill="4F81BD"/>
          </w:tcPr>
          <w:p w:rsidR="00300092" w:rsidRPr="007D4A8A" w:rsidRDefault="00300092" w:rsidP="00300092">
            <w:pPr>
              <w:pStyle w:val="BodyText"/>
              <w:jc w:val="center"/>
              <w:rPr>
                <w:rFonts w:ascii="Arial" w:hAnsi="Arial"/>
                <w:b/>
                <w:bCs/>
                <w:color w:val="FFFFFF"/>
                <w:sz w:val="18"/>
                <w:szCs w:val="18"/>
              </w:rPr>
            </w:pPr>
            <w:r w:rsidRPr="007D4A8A">
              <w:rPr>
                <w:rFonts w:ascii="Arial" w:hAnsi="Arial"/>
                <w:bCs/>
                <w:color w:val="FFFFFF"/>
                <w:sz w:val="18"/>
                <w:szCs w:val="18"/>
              </w:rPr>
              <w:t>LCVH</w:t>
            </w:r>
          </w:p>
        </w:tc>
        <w:tc>
          <w:tcPr>
            <w:tcW w:w="871" w:type="dxa"/>
            <w:tcBorders>
              <w:top w:val="single" w:sz="8" w:space="0" w:color="4F81BD"/>
              <w:left w:val="single" w:sz="8" w:space="0" w:color="4F81BD"/>
              <w:right w:val="single" w:sz="8" w:space="0" w:color="4F81BD"/>
            </w:tcBorders>
            <w:shd w:val="clear" w:color="auto" w:fill="4F81BD"/>
          </w:tcPr>
          <w:p w:rsidR="00300092" w:rsidRPr="007D4A8A" w:rsidRDefault="00300092" w:rsidP="00300092">
            <w:pPr>
              <w:pStyle w:val="BodyText"/>
              <w:jc w:val="center"/>
              <w:rPr>
                <w:rFonts w:ascii="Arial" w:hAnsi="Arial"/>
                <w:b/>
                <w:bCs/>
                <w:color w:val="FFFFFF"/>
                <w:sz w:val="18"/>
                <w:szCs w:val="18"/>
              </w:rPr>
            </w:pPr>
            <w:r w:rsidRPr="007D4A8A">
              <w:rPr>
                <w:rFonts w:ascii="Arial" w:hAnsi="Arial"/>
                <w:bCs/>
                <w:color w:val="FFFFFF"/>
                <w:sz w:val="18"/>
                <w:szCs w:val="18"/>
              </w:rPr>
              <w:t>RGT</w:t>
            </w:r>
          </w:p>
        </w:tc>
        <w:tc>
          <w:tcPr>
            <w:tcW w:w="871" w:type="dxa"/>
            <w:tcBorders>
              <w:top w:val="single" w:sz="8" w:space="0" w:color="4F81BD"/>
            </w:tcBorders>
            <w:shd w:val="clear" w:color="auto" w:fill="4F81BD"/>
          </w:tcPr>
          <w:p w:rsidR="00300092" w:rsidRPr="007D4A8A" w:rsidRDefault="00300092" w:rsidP="00300092">
            <w:pPr>
              <w:pStyle w:val="BodyText"/>
              <w:jc w:val="center"/>
              <w:rPr>
                <w:rFonts w:ascii="Arial" w:hAnsi="Arial"/>
                <w:b/>
                <w:bCs/>
                <w:color w:val="FFFFFF"/>
                <w:sz w:val="18"/>
                <w:szCs w:val="18"/>
              </w:rPr>
            </w:pPr>
            <w:r w:rsidRPr="007D4A8A">
              <w:rPr>
                <w:rFonts w:ascii="Arial" w:hAnsi="Arial"/>
                <w:bCs/>
                <w:color w:val="FFFFFF"/>
                <w:sz w:val="18"/>
                <w:szCs w:val="18"/>
              </w:rPr>
              <w:t>BUS</w:t>
            </w:r>
          </w:p>
        </w:tc>
        <w:tc>
          <w:tcPr>
            <w:tcW w:w="872" w:type="dxa"/>
            <w:tcBorders>
              <w:top w:val="single" w:sz="8" w:space="0" w:color="4F81BD"/>
              <w:left w:val="single" w:sz="8" w:space="0" w:color="4F81BD"/>
            </w:tcBorders>
            <w:shd w:val="clear" w:color="auto" w:fill="4F81BD"/>
          </w:tcPr>
          <w:p w:rsidR="00300092" w:rsidRPr="007D4A8A" w:rsidRDefault="00300092" w:rsidP="00300092">
            <w:pPr>
              <w:pStyle w:val="BodyText"/>
              <w:jc w:val="center"/>
              <w:rPr>
                <w:rFonts w:ascii="Arial" w:hAnsi="Arial"/>
                <w:b/>
                <w:bCs/>
                <w:color w:val="FFFFFF"/>
                <w:sz w:val="18"/>
                <w:szCs w:val="18"/>
              </w:rPr>
            </w:pPr>
            <w:r w:rsidRPr="007D4A8A">
              <w:rPr>
                <w:rFonts w:ascii="Arial" w:hAnsi="Arial"/>
                <w:bCs/>
                <w:color w:val="FFFFFF"/>
                <w:sz w:val="18"/>
                <w:szCs w:val="18"/>
              </w:rPr>
              <w:t>ART</w:t>
            </w:r>
          </w:p>
        </w:tc>
      </w:tr>
      <w:tr w:rsidR="00300092" w:rsidTr="00300092">
        <w:trPr>
          <w:trHeight w:hRule="exact" w:val="680"/>
        </w:trPr>
        <w:tc>
          <w:tcPr>
            <w:tcW w:w="871" w:type="dxa"/>
            <w:tcBorders>
              <w:top w:val="single" w:sz="8" w:space="0" w:color="4F81BD"/>
              <w:bottom w:val="single" w:sz="8" w:space="0" w:color="4F81BD"/>
            </w:tcBorders>
          </w:tcPr>
          <w:p w:rsidR="00300092" w:rsidRPr="007D4A8A" w:rsidRDefault="00300092" w:rsidP="00300092">
            <w:pPr>
              <w:pStyle w:val="BodyText"/>
              <w:jc w:val="right"/>
              <w:rPr>
                <w:rFonts w:ascii="Arial" w:hAnsi="Arial"/>
                <w:b/>
                <w:bCs/>
                <w:sz w:val="18"/>
                <w:szCs w:val="18"/>
              </w:rPr>
            </w:pPr>
            <w:r w:rsidRPr="007D4A8A">
              <w:rPr>
                <w:rFonts w:ascii="Arial" w:hAnsi="Arial"/>
                <w:bCs/>
                <w:sz w:val="18"/>
                <w:szCs w:val="18"/>
              </w:rPr>
              <w:t>ICE</w:t>
            </w:r>
          </w:p>
        </w:tc>
        <w:tc>
          <w:tcPr>
            <w:tcW w:w="871"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
              <w:jc w:val="center"/>
              <w:rPr>
                <w:rFonts w:ascii="Arial Black" w:hAnsi="Arial Black"/>
                <w:sz w:val="28"/>
              </w:rPr>
            </w:pPr>
            <w:r w:rsidRPr="007D4A8A">
              <w:rPr>
                <w:rFonts w:ascii="Arial Black" w:hAnsi="Arial Black"/>
                <w:sz w:val="28"/>
              </w:rPr>
              <w:t>x</w:t>
            </w:r>
          </w:p>
        </w:tc>
        <w:tc>
          <w:tcPr>
            <w:tcW w:w="871" w:type="dxa"/>
            <w:tcBorders>
              <w:top w:val="single" w:sz="8" w:space="0" w:color="4F81BD"/>
              <w:bottom w:val="single" w:sz="8" w:space="0" w:color="4F81BD"/>
            </w:tcBorders>
          </w:tcPr>
          <w:p w:rsidR="00300092" w:rsidRPr="007D4A8A" w:rsidRDefault="00300092" w:rsidP="00300092">
            <w:pPr>
              <w:pStyle w:val="BodyText"/>
              <w:jc w:val="center"/>
              <w:rPr>
                <w:rFonts w:ascii="Arial Black" w:hAnsi="Arial Black"/>
                <w:sz w:val="28"/>
              </w:rPr>
            </w:pPr>
            <w:r w:rsidRPr="007D4A8A">
              <w:rPr>
                <w:rFonts w:ascii="Arial Black" w:hAnsi="Arial Black"/>
                <w:sz w:val="28"/>
              </w:rPr>
              <w:t>x</w:t>
            </w:r>
          </w:p>
        </w:tc>
        <w:tc>
          <w:tcPr>
            <w:tcW w:w="872"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
              <w:jc w:val="center"/>
              <w:rPr>
                <w:rFonts w:ascii="Arial Black" w:hAnsi="Arial Black"/>
                <w:sz w:val="28"/>
              </w:rPr>
            </w:pPr>
            <w:r w:rsidRPr="007D4A8A">
              <w:rPr>
                <w:rFonts w:ascii="Arial Black" w:hAnsi="Arial Black"/>
                <w:sz w:val="28"/>
              </w:rPr>
              <w:t>x</w:t>
            </w:r>
          </w:p>
        </w:tc>
        <w:tc>
          <w:tcPr>
            <w:tcW w:w="871" w:type="dxa"/>
            <w:tcBorders>
              <w:top w:val="single" w:sz="8" w:space="0" w:color="4F81BD"/>
              <w:bottom w:val="single" w:sz="8" w:space="0" w:color="4F81BD"/>
            </w:tcBorders>
          </w:tcPr>
          <w:p w:rsidR="00300092" w:rsidRPr="007D4A8A" w:rsidRDefault="00300092" w:rsidP="00300092">
            <w:pPr>
              <w:pStyle w:val="BodyText"/>
              <w:jc w:val="center"/>
              <w:rPr>
                <w:rFonts w:ascii="Arial Black" w:hAnsi="Arial Black"/>
                <w:sz w:val="28"/>
              </w:rPr>
            </w:pPr>
            <w:r w:rsidRPr="007D4A8A">
              <w:rPr>
                <w:rFonts w:ascii="Arial Black" w:hAnsi="Arial Black"/>
                <w:sz w:val="28"/>
              </w:rPr>
              <w:t>x</w:t>
            </w:r>
          </w:p>
        </w:tc>
        <w:tc>
          <w:tcPr>
            <w:tcW w:w="871"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
              <w:jc w:val="center"/>
              <w:rPr>
                <w:rFonts w:ascii="Arial Black" w:hAnsi="Arial Black"/>
                <w:sz w:val="28"/>
              </w:rPr>
            </w:pPr>
            <w:r w:rsidRPr="007D4A8A">
              <w:rPr>
                <w:rFonts w:ascii="Arial Black" w:hAnsi="Arial Black"/>
                <w:sz w:val="28"/>
              </w:rPr>
              <w:t>x</w:t>
            </w:r>
          </w:p>
        </w:tc>
        <w:tc>
          <w:tcPr>
            <w:tcW w:w="872" w:type="dxa"/>
            <w:tcBorders>
              <w:top w:val="single" w:sz="8" w:space="0" w:color="4F81BD"/>
              <w:bottom w:val="single" w:sz="8" w:space="0" w:color="4F81BD"/>
            </w:tcBorders>
          </w:tcPr>
          <w:p w:rsidR="00300092" w:rsidRPr="007D4A8A" w:rsidRDefault="00300092" w:rsidP="00300092">
            <w:pPr>
              <w:pStyle w:val="BodyText"/>
              <w:jc w:val="center"/>
              <w:rPr>
                <w:rFonts w:ascii="Arial Black" w:hAnsi="Arial Black"/>
                <w:sz w:val="28"/>
              </w:rPr>
            </w:pPr>
            <w:r w:rsidRPr="007D4A8A">
              <w:rPr>
                <w:rFonts w:ascii="Arial Black" w:hAnsi="Arial Black"/>
                <w:sz w:val="28"/>
              </w:rPr>
              <w:t>x</w:t>
            </w:r>
          </w:p>
        </w:tc>
        <w:tc>
          <w:tcPr>
            <w:tcW w:w="871"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
              <w:jc w:val="center"/>
              <w:rPr>
                <w:rFonts w:ascii="Arial Black" w:hAnsi="Arial Black"/>
                <w:sz w:val="28"/>
              </w:rPr>
            </w:pPr>
            <w:r w:rsidRPr="007D4A8A">
              <w:rPr>
                <w:rFonts w:ascii="Arial Black" w:hAnsi="Arial Black"/>
                <w:sz w:val="28"/>
              </w:rPr>
              <w:t>x</w:t>
            </w:r>
          </w:p>
        </w:tc>
        <w:tc>
          <w:tcPr>
            <w:tcW w:w="871" w:type="dxa"/>
            <w:tcBorders>
              <w:top w:val="single" w:sz="8" w:space="0" w:color="4F81BD"/>
              <w:bottom w:val="single" w:sz="8" w:space="0" w:color="4F81BD"/>
            </w:tcBorders>
          </w:tcPr>
          <w:p w:rsidR="00300092" w:rsidRPr="007D4A8A" w:rsidRDefault="00300092" w:rsidP="00300092">
            <w:pPr>
              <w:pStyle w:val="BodyText"/>
              <w:jc w:val="center"/>
              <w:rPr>
                <w:rFonts w:ascii="Arial Black" w:hAnsi="Arial Black"/>
                <w:sz w:val="28"/>
              </w:rPr>
            </w:pPr>
            <w:r w:rsidRPr="007D4A8A">
              <w:rPr>
                <w:rFonts w:ascii="Arial Black" w:hAnsi="Arial Black"/>
                <w:b/>
                <w:sz w:val="28"/>
              </w:rPr>
              <w:t>x</w:t>
            </w:r>
          </w:p>
        </w:tc>
        <w:tc>
          <w:tcPr>
            <w:tcW w:w="872" w:type="dxa"/>
            <w:tcBorders>
              <w:top w:val="single" w:sz="8" w:space="0" w:color="4F81BD"/>
              <w:left w:val="single" w:sz="8" w:space="0" w:color="4F81BD"/>
              <w:bottom w:val="single" w:sz="8" w:space="0" w:color="4F81BD"/>
            </w:tcBorders>
          </w:tcPr>
          <w:p w:rsidR="00300092" w:rsidRPr="007D4A8A" w:rsidRDefault="00300092" w:rsidP="00300092">
            <w:pPr>
              <w:pStyle w:val="BodyText"/>
              <w:jc w:val="center"/>
              <w:rPr>
                <w:rFonts w:ascii="Arial Black" w:hAnsi="Arial Black"/>
                <w:sz w:val="28"/>
              </w:rPr>
            </w:pPr>
            <w:r w:rsidRPr="007D4A8A">
              <w:rPr>
                <w:rFonts w:ascii="Arial Black" w:hAnsi="Arial Black"/>
                <w:sz w:val="28"/>
              </w:rPr>
              <w:t>x</w:t>
            </w:r>
          </w:p>
        </w:tc>
      </w:tr>
      <w:tr w:rsidR="00300092" w:rsidTr="00300092">
        <w:trPr>
          <w:trHeight w:hRule="exact" w:val="680"/>
        </w:trPr>
        <w:tc>
          <w:tcPr>
            <w:tcW w:w="871" w:type="dxa"/>
          </w:tcPr>
          <w:p w:rsidR="00300092" w:rsidRPr="007D4A8A" w:rsidRDefault="00300092" w:rsidP="00300092">
            <w:pPr>
              <w:pStyle w:val="BodyText"/>
              <w:jc w:val="right"/>
              <w:rPr>
                <w:rFonts w:ascii="Arial" w:hAnsi="Arial"/>
                <w:b/>
                <w:bCs/>
                <w:sz w:val="18"/>
                <w:szCs w:val="18"/>
              </w:rPr>
            </w:pPr>
            <w:r w:rsidRPr="007D4A8A">
              <w:rPr>
                <w:rFonts w:ascii="Arial" w:hAnsi="Arial"/>
                <w:bCs/>
                <w:sz w:val="18"/>
                <w:szCs w:val="18"/>
              </w:rPr>
              <w:t>HYB</w:t>
            </w:r>
          </w:p>
        </w:tc>
        <w:tc>
          <w:tcPr>
            <w:tcW w:w="871" w:type="dxa"/>
            <w:tcBorders>
              <w:left w:val="single" w:sz="8" w:space="0" w:color="4F81BD"/>
              <w:right w:val="single" w:sz="8" w:space="0" w:color="4F81BD"/>
            </w:tcBorders>
          </w:tcPr>
          <w:p w:rsidR="00300092" w:rsidRPr="007D4A8A" w:rsidRDefault="00300092" w:rsidP="00300092">
            <w:pPr>
              <w:pStyle w:val="BodyText"/>
              <w:rPr>
                <w:sz w:val="28"/>
              </w:rPr>
            </w:pPr>
          </w:p>
        </w:tc>
        <w:tc>
          <w:tcPr>
            <w:tcW w:w="871" w:type="dxa"/>
          </w:tcPr>
          <w:p w:rsidR="00300092" w:rsidRPr="007D4A8A" w:rsidRDefault="00300092" w:rsidP="00300092">
            <w:pPr>
              <w:pStyle w:val="BodyText"/>
              <w:jc w:val="center"/>
              <w:rPr>
                <w:rFonts w:ascii="Arial Black" w:hAnsi="Arial Black"/>
                <w:sz w:val="28"/>
              </w:rPr>
            </w:pPr>
            <w:r w:rsidRPr="007D4A8A">
              <w:rPr>
                <w:rFonts w:ascii="Arial Black" w:hAnsi="Arial Black"/>
                <w:sz w:val="28"/>
              </w:rPr>
              <w:t>x</w:t>
            </w:r>
          </w:p>
        </w:tc>
        <w:tc>
          <w:tcPr>
            <w:tcW w:w="872" w:type="dxa"/>
            <w:tcBorders>
              <w:left w:val="single" w:sz="8" w:space="0" w:color="4F81BD"/>
              <w:right w:val="single" w:sz="8" w:space="0" w:color="4F81BD"/>
            </w:tcBorders>
          </w:tcPr>
          <w:p w:rsidR="00300092" w:rsidRPr="007D4A8A" w:rsidRDefault="00300092" w:rsidP="00300092">
            <w:pPr>
              <w:pStyle w:val="BodyText"/>
              <w:jc w:val="center"/>
              <w:rPr>
                <w:rFonts w:ascii="Arial Black" w:hAnsi="Arial Black"/>
                <w:sz w:val="28"/>
              </w:rPr>
            </w:pPr>
            <w:r w:rsidRPr="007D4A8A">
              <w:rPr>
                <w:rFonts w:ascii="Arial Black" w:hAnsi="Arial Black"/>
                <w:sz w:val="28"/>
              </w:rPr>
              <w:t>x</w:t>
            </w:r>
          </w:p>
        </w:tc>
        <w:tc>
          <w:tcPr>
            <w:tcW w:w="871" w:type="dxa"/>
          </w:tcPr>
          <w:p w:rsidR="00300092" w:rsidRPr="007D4A8A" w:rsidRDefault="00300092" w:rsidP="00300092">
            <w:pPr>
              <w:pStyle w:val="BodyText"/>
              <w:rPr>
                <w:sz w:val="28"/>
              </w:rPr>
            </w:pPr>
          </w:p>
        </w:tc>
        <w:tc>
          <w:tcPr>
            <w:tcW w:w="871" w:type="dxa"/>
            <w:tcBorders>
              <w:left w:val="single" w:sz="8" w:space="0" w:color="4F81BD"/>
              <w:right w:val="single" w:sz="8" w:space="0" w:color="4F81BD"/>
            </w:tcBorders>
          </w:tcPr>
          <w:p w:rsidR="00300092" w:rsidRPr="007D4A8A" w:rsidRDefault="00300092" w:rsidP="00300092">
            <w:pPr>
              <w:pStyle w:val="BodyText"/>
              <w:jc w:val="center"/>
              <w:rPr>
                <w:rFonts w:ascii="Arial Black" w:hAnsi="Arial Black"/>
                <w:sz w:val="28"/>
              </w:rPr>
            </w:pPr>
            <w:r w:rsidRPr="007D4A8A">
              <w:rPr>
                <w:rFonts w:ascii="Arial Black" w:hAnsi="Arial Black"/>
                <w:sz w:val="28"/>
              </w:rPr>
              <w:t>x</w:t>
            </w:r>
          </w:p>
        </w:tc>
        <w:tc>
          <w:tcPr>
            <w:tcW w:w="872" w:type="dxa"/>
          </w:tcPr>
          <w:p w:rsidR="00300092" w:rsidRPr="007D4A8A" w:rsidRDefault="00300092" w:rsidP="00300092">
            <w:pPr>
              <w:pStyle w:val="BodyText"/>
              <w:jc w:val="center"/>
              <w:rPr>
                <w:rFonts w:ascii="Arial Black" w:hAnsi="Arial Black"/>
                <w:sz w:val="28"/>
              </w:rPr>
            </w:pPr>
            <w:r w:rsidRPr="007D4A8A">
              <w:rPr>
                <w:rFonts w:ascii="Arial Black" w:hAnsi="Arial Black"/>
                <w:sz w:val="28"/>
              </w:rPr>
              <w:t>x</w:t>
            </w:r>
          </w:p>
        </w:tc>
        <w:tc>
          <w:tcPr>
            <w:tcW w:w="871" w:type="dxa"/>
            <w:tcBorders>
              <w:left w:val="single" w:sz="8" w:space="0" w:color="4F81BD"/>
              <w:right w:val="single" w:sz="8" w:space="0" w:color="4F81BD"/>
            </w:tcBorders>
          </w:tcPr>
          <w:p w:rsidR="00300092" w:rsidRPr="007D4A8A" w:rsidRDefault="00300092" w:rsidP="00300092">
            <w:pPr>
              <w:pStyle w:val="BodyText"/>
              <w:jc w:val="center"/>
              <w:rPr>
                <w:rFonts w:ascii="Arial Black" w:hAnsi="Arial Black"/>
                <w:sz w:val="28"/>
              </w:rPr>
            </w:pPr>
            <w:r w:rsidRPr="007D4A8A">
              <w:rPr>
                <w:rFonts w:ascii="Arial Black" w:hAnsi="Arial Black"/>
                <w:sz w:val="28"/>
              </w:rPr>
              <w:t>x</w:t>
            </w:r>
          </w:p>
        </w:tc>
        <w:tc>
          <w:tcPr>
            <w:tcW w:w="871" w:type="dxa"/>
          </w:tcPr>
          <w:p w:rsidR="00300092" w:rsidRPr="007D4A8A" w:rsidRDefault="00300092" w:rsidP="00300092">
            <w:pPr>
              <w:pStyle w:val="BodyText"/>
              <w:jc w:val="center"/>
              <w:rPr>
                <w:rFonts w:ascii="Arial Black" w:hAnsi="Arial Black"/>
                <w:sz w:val="28"/>
              </w:rPr>
            </w:pPr>
            <w:r w:rsidRPr="007D4A8A">
              <w:rPr>
                <w:rFonts w:ascii="Arial Black" w:hAnsi="Arial Black"/>
                <w:b/>
                <w:sz w:val="28"/>
              </w:rPr>
              <w:t>x</w:t>
            </w:r>
          </w:p>
        </w:tc>
        <w:tc>
          <w:tcPr>
            <w:tcW w:w="872" w:type="dxa"/>
            <w:tcBorders>
              <w:left w:val="single" w:sz="8" w:space="0" w:color="4F81BD"/>
            </w:tcBorders>
          </w:tcPr>
          <w:p w:rsidR="00300092" w:rsidRPr="007D4A8A" w:rsidRDefault="00300092" w:rsidP="00300092">
            <w:pPr>
              <w:pStyle w:val="BodyText"/>
              <w:jc w:val="center"/>
              <w:rPr>
                <w:rFonts w:ascii="Arial Black" w:hAnsi="Arial Black"/>
                <w:sz w:val="28"/>
              </w:rPr>
            </w:pPr>
            <w:r w:rsidRPr="007D4A8A">
              <w:rPr>
                <w:rFonts w:ascii="Arial Black" w:hAnsi="Arial Black"/>
                <w:sz w:val="28"/>
              </w:rPr>
              <w:t>x</w:t>
            </w:r>
          </w:p>
        </w:tc>
      </w:tr>
      <w:tr w:rsidR="00300092" w:rsidTr="00300092">
        <w:trPr>
          <w:trHeight w:hRule="exact" w:val="680"/>
        </w:trPr>
        <w:tc>
          <w:tcPr>
            <w:tcW w:w="871" w:type="dxa"/>
            <w:tcBorders>
              <w:top w:val="single" w:sz="8" w:space="0" w:color="4F81BD"/>
              <w:bottom w:val="single" w:sz="8" w:space="0" w:color="4F81BD"/>
            </w:tcBorders>
          </w:tcPr>
          <w:p w:rsidR="00300092" w:rsidRPr="007D4A8A" w:rsidRDefault="00300092" w:rsidP="00300092">
            <w:pPr>
              <w:pStyle w:val="BodyText"/>
              <w:jc w:val="right"/>
              <w:rPr>
                <w:rFonts w:ascii="Arial" w:hAnsi="Arial"/>
                <w:b/>
                <w:bCs/>
                <w:sz w:val="18"/>
                <w:szCs w:val="18"/>
              </w:rPr>
            </w:pPr>
            <w:r w:rsidRPr="007D4A8A">
              <w:rPr>
                <w:rFonts w:ascii="Arial" w:hAnsi="Arial"/>
                <w:bCs/>
                <w:sz w:val="18"/>
                <w:szCs w:val="18"/>
              </w:rPr>
              <w:t>PHEV</w:t>
            </w:r>
          </w:p>
        </w:tc>
        <w:tc>
          <w:tcPr>
            <w:tcW w:w="871"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
              <w:rPr>
                <w:sz w:val="28"/>
              </w:rPr>
            </w:pPr>
          </w:p>
        </w:tc>
        <w:tc>
          <w:tcPr>
            <w:tcW w:w="871" w:type="dxa"/>
            <w:tcBorders>
              <w:top w:val="single" w:sz="8" w:space="0" w:color="4F81BD"/>
              <w:bottom w:val="single" w:sz="8" w:space="0" w:color="4F81BD"/>
            </w:tcBorders>
          </w:tcPr>
          <w:p w:rsidR="00300092" w:rsidRPr="007D4A8A" w:rsidRDefault="00300092" w:rsidP="00300092">
            <w:pPr>
              <w:pStyle w:val="BodyText"/>
              <w:jc w:val="center"/>
              <w:rPr>
                <w:rFonts w:ascii="Arial Black" w:hAnsi="Arial Black"/>
                <w:sz w:val="28"/>
              </w:rPr>
            </w:pPr>
            <w:r w:rsidRPr="007D4A8A">
              <w:rPr>
                <w:rFonts w:ascii="Arial Black" w:hAnsi="Arial Black"/>
                <w:sz w:val="28"/>
              </w:rPr>
              <w:t>x</w:t>
            </w:r>
          </w:p>
        </w:tc>
        <w:tc>
          <w:tcPr>
            <w:tcW w:w="872"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
              <w:jc w:val="center"/>
              <w:rPr>
                <w:rFonts w:ascii="Arial Black" w:hAnsi="Arial Black"/>
                <w:sz w:val="28"/>
              </w:rPr>
            </w:pPr>
            <w:r w:rsidRPr="007D4A8A">
              <w:rPr>
                <w:rFonts w:ascii="Arial Black" w:hAnsi="Arial Black"/>
                <w:sz w:val="28"/>
              </w:rPr>
              <w:t>x</w:t>
            </w:r>
          </w:p>
        </w:tc>
        <w:tc>
          <w:tcPr>
            <w:tcW w:w="871" w:type="dxa"/>
            <w:tcBorders>
              <w:top w:val="single" w:sz="8" w:space="0" w:color="4F81BD"/>
              <w:bottom w:val="single" w:sz="8" w:space="0" w:color="4F81BD"/>
            </w:tcBorders>
          </w:tcPr>
          <w:p w:rsidR="00300092" w:rsidRPr="007D4A8A" w:rsidRDefault="00300092" w:rsidP="00300092">
            <w:pPr>
              <w:pStyle w:val="BodyText"/>
              <w:rPr>
                <w:sz w:val="28"/>
              </w:rPr>
            </w:pPr>
          </w:p>
        </w:tc>
        <w:tc>
          <w:tcPr>
            <w:tcW w:w="871"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
              <w:jc w:val="center"/>
              <w:rPr>
                <w:rFonts w:ascii="Arial Black" w:hAnsi="Arial Black"/>
                <w:sz w:val="28"/>
              </w:rPr>
            </w:pPr>
            <w:r w:rsidRPr="007D4A8A">
              <w:rPr>
                <w:rFonts w:ascii="Arial Black" w:hAnsi="Arial Black"/>
                <w:sz w:val="28"/>
              </w:rPr>
              <w:t>x</w:t>
            </w:r>
          </w:p>
        </w:tc>
        <w:tc>
          <w:tcPr>
            <w:tcW w:w="872" w:type="dxa"/>
            <w:tcBorders>
              <w:top w:val="single" w:sz="8" w:space="0" w:color="4F81BD"/>
              <w:bottom w:val="single" w:sz="8" w:space="0" w:color="4F81BD"/>
            </w:tcBorders>
          </w:tcPr>
          <w:p w:rsidR="00300092" w:rsidRPr="007D4A8A" w:rsidRDefault="00300092" w:rsidP="00300092">
            <w:pPr>
              <w:pStyle w:val="BodyText"/>
              <w:jc w:val="center"/>
              <w:rPr>
                <w:rFonts w:ascii="Arial Black" w:hAnsi="Arial Black"/>
                <w:sz w:val="28"/>
              </w:rPr>
            </w:pPr>
            <w:r w:rsidRPr="007D4A8A">
              <w:rPr>
                <w:rFonts w:ascii="Arial Black" w:hAnsi="Arial Black"/>
                <w:sz w:val="28"/>
              </w:rPr>
              <w:t>x</w:t>
            </w:r>
          </w:p>
        </w:tc>
        <w:tc>
          <w:tcPr>
            <w:tcW w:w="871"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
              <w:jc w:val="center"/>
              <w:rPr>
                <w:rFonts w:ascii="Arial Black" w:hAnsi="Arial Black"/>
                <w:sz w:val="28"/>
              </w:rPr>
            </w:pPr>
            <w:r w:rsidRPr="007D4A8A">
              <w:rPr>
                <w:rFonts w:ascii="Arial Black" w:hAnsi="Arial Black"/>
                <w:sz w:val="28"/>
              </w:rPr>
              <w:t>x</w:t>
            </w:r>
          </w:p>
        </w:tc>
        <w:tc>
          <w:tcPr>
            <w:tcW w:w="871" w:type="dxa"/>
            <w:tcBorders>
              <w:top w:val="single" w:sz="8" w:space="0" w:color="4F81BD"/>
              <w:bottom w:val="single" w:sz="8" w:space="0" w:color="4F81BD"/>
            </w:tcBorders>
          </w:tcPr>
          <w:p w:rsidR="00300092" w:rsidRPr="007D4A8A" w:rsidRDefault="00300092" w:rsidP="00300092">
            <w:pPr>
              <w:pStyle w:val="BodyText"/>
              <w:jc w:val="center"/>
              <w:rPr>
                <w:rFonts w:ascii="Arial Black" w:hAnsi="Arial Black"/>
                <w:sz w:val="28"/>
              </w:rPr>
            </w:pPr>
            <w:r w:rsidRPr="007D4A8A">
              <w:rPr>
                <w:rFonts w:ascii="Arial Black" w:hAnsi="Arial Black"/>
                <w:b/>
                <w:sz w:val="28"/>
              </w:rPr>
              <w:t>x</w:t>
            </w:r>
          </w:p>
        </w:tc>
        <w:tc>
          <w:tcPr>
            <w:tcW w:w="872" w:type="dxa"/>
            <w:tcBorders>
              <w:top w:val="single" w:sz="8" w:space="0" w:color="4F81BD"/>
              <w:left w:val="single" w:sz="8" w:space="0" w:color="4F81BD"/>
              <w:bottom w:val="single" w:sz="8" w:space="0" w:color="4F81BD"/>
            </w:tcBorders>
          </w:tcPr>
          <w:p w:rsidR="00300092" w:rsidRPr="007D4A8A" w:rsidRDefault="00300092" w:rsidP="00300092">
            <w:pPr>
              <w:pStyle w:val="BodyText"/>
              <w:jc w:val="center"/>
              <w:rPr>
                <w:rFonts w:ascii="Arial Black" w:hAnsi="Arial Black"/>
                <w:sz w:val="28"/>
              </w:rPr>
            </w:pPr>
          </w:p>
        </w:tc>
      </w:tr>
      <w:tr w:rsidR="00300092" w:rsidTr="00300092">
        <w:trPr>
          <w:trHeight w:hRule="exact" w:val="680"/>
        </w:trPr>
        <w:tc>
          <w:tcPr>
            <w:tcW w:w="871" w:type="dxa"/>
          </w:tcPr>
          <w:p w:rsidR="00300092" w:rsidRPr="007D4A8A" w:rsidRDefault="00300092" w:rsidP="00300092">
            <w:pPr>
              <w:pStyle w:val="BodyText"/>
              <w:jc w:val="right"/>
              <w:rPr>
                <w:rFonts w:ascii="Arial" w:hAnsi="Arial"/>
                <w:b/>
                <w:bCs/>
                <w:sz w:val="18"/>
                <w:szCs w:val="18"/>
              </w:rPr>
            </w:pPr>
            <w:r w:rsidRPr="007D4A8A">
              <w:rPr>
                <w:rFonts w:ascii="Arial" w:hAnsi="Arial"/>
                <w:bCs/>
                <w:sz w:val="18"/>
                <w:szCs w:val="18"/>
              </w:rPr>
              <w:t>EV</w:t>
            </w:r>
          </w:p>
        </w:tc>
        <w:tc>
          <w:tcPr>
            <w:tcW w:w="871" w:type="dxa"/>
            <w:tcBorders>
              <w:left w:val="single" w:sz="8" w:space="0" w:color="4F81BD"/>
              <w:right w:val="single" w:sz="8" w:space="0" w:color="4F81BD"/>
            </w:tcBorders>
          </w:tcPr>
          <w:p w:rsidR="00300092" w:rsidRPr="007D4A8A" w:rsidRDefault="00300092" w:rsidP="00300092">
            <w:pPr>
              <w:pStyle w:val="BodyText"/>
              <w:jc w:val="center"/>
              <w:rPr>
                <w:b/>
                <w:sz w:val="28"/>
              </w:rPr>
            </w:pPr>
            <w:r w:rsidRPr="007D4A8A">
              <w:rPr>
                <w:rFonts w:ascii="Arial Black" w:hAnsi="Arial Black"/>
                <w:b/>
                <w:sz w:val="28"/>
              </w:rPr>
              <w:t>x</w:t>
            </w:r>
          </w:p>
        </w:tc>
        <w:tc>
          <w:tcPr>
            <w:tcW w:w="871" w:type="dxa"/>
          </w:tcPr>
          <w:p w:rsidR="00300092" w:rsidRPr="007D4A8A" w:rsidRDefault="00300092" w:rsidP="00300092">
            <w:pPr>
              <w:pStyle w:val="BodyText"/>
              <w:jc w:val="center"/>
              <w:rPr>
                <w:rFonts w:ascii="Arial Black" w:hAnsi="Arial Black"/>
                <w:sz w:val="28"/>
              </w:rPr>
            </w:pPr>
            <w:r w:rsidRPr="007D4A8A">
              <w:rPr>
                <w:rFonts w:ascii="Arial Black" w:hAnsi="Arial Black"/>
                <w:b/>
                <w:sz w:val="28"/>
              </w:rPr>
              <w:t>x</w:t>
            </w:r>
          </w:p>
        </w:tc>
        <w:tc>
          <w:tcPr>
            <w:tcW w:w="872" w:type="dxa"/>
            <w:tcBorders>
              <w:left w:val="single" w:sz="8" w:space="0" w:color="4F81BD"/>
              <w:right w:val="single" w:sz="8" w:space="0" w:color="4F81BD"/>
            </w:tcBorders>
          </w:tcPr>
          <w:p w:rsidR="00300092" w:rsidRPr="007D4A8A" w:rsidRDefault="00300092" w:rsidP="00300092">
            <w:pPr>
              <w:pStyle w:val="BodyText"/>
              <w:jc w:val="center"/>
              <w:rPr>
                <w:rFonts w:ascii="Arial Black" w:hAnsi="Arial Black"/>
                <w:sz w:val="28"/>
              </w:rPr>
            </w:pPr>
            <w:r w:rsidRPr="007D4A8A">
              <w:rPr>
                <w:rFonts w:ascii="Arial Black" w:hAnsi="Arial Black"/>
                <w:b/>
                <w:sz w:val="28"/>
              </w:rPr>
              <w:t>x</w:t>
            </w:r>
          </w:p>
        </w:tc>
        <w:tc>
          <w:tcPr>
            <w:tcW w:w="871" w:type="dxa"/>
          </w:tcPr>
          <w:p w:rsidR="00300092" w:rsidRPr="007D4A8A" w:rsidRDefault="00300092" w:rsidP="00300092">
            <w:pPr>
              <w:pStyle w:val="BodyText"/>
              <w:jc w:val="center"/>
              <w:rPr>
                <w:sz w:val="28"/>
              </w:rPr>
            </w:pPr>
            <w:r w:rsidRPr="007D4A8A">
              <w:rPr>
                <w:rFonts w:ascii="Arial Black" w:hAnsi="Arial Black"/>
                <w:sz w:val="28"/>
              </w:rPr>
              <w:t>x</w:t>
            </w:r>
          </w:p>
        </w:tc>
        <w:tc>
          <w:tcPr>
            <w:tcW w:w="871" w:type="dxa"/>
            <w:tcBorders>
              <w:left w:val="single" w:sz="8" w:space="0" w:color="4F81BD"/>
              <w:right w:val="single" w:sz="8" w:space="0" w:color="4F81BD"/>
            </w:tcBorders>
          </w:tcPr>
          <w:p w:rsidR="00300092" w:rsidRPr="007D4A8A" w:rsidRDefault="00300092" w:rsidP="00300092">
            <w:pPr>
              <w:pStyle w:val="BodyText"/>
              <w:jc w:val="center"/>
              <w:rPr>
                <w:rFonts w:ascii="Arial Black" w:hAnsi="Arial Black"/>
                <w:sz w:val="28"/>
              </w:rPr>
            </w:pPr>
            <w:r w:rsidRPr="007D4A8A">
              <w:rPr>
                <w:rFonts w:ascii="Arial Black" w:hAnsi="Arial Black"/>
                <w:b/>
                <w:sz w:val="28"/>
              </w:rPr>
              <w:t>x</w:t>
            </w:r>
          </w:p>
        </w:tc>
        <w:tc>
          <w:tcPr>
            <w:tcW w:w="872" w:type="dxa"/>
          </w:tcPr>
          <w:p w:rsidR="00300092" w:rsidRPr="007D4A8A" w:rsidRDefault="00300092" w:rsidP="00300092">
            <w:pPr>
              <w:pStyle w:val="BodyText"/>
              <w:jc w:val="center"/>
              <w:rPr>
                <w:rFonts w:ascii="Arial Black" w:hAnsi="Arial Black"/>
                <w:sz w:val="28"/>
              </w:rPr>
            </w:pPr>
            <w:r w:rsidRPr="007D4A8A">
              <w:rPr>
                <w:rFonts w:ascii="Arial Black" w:hAnsi="Arial Black"/>
                <w:b/>
                <w:sz w:val="28"/>
              </w:rPr>
              <w:t>x</w:t>
            </w:r>
          </w:p>
        </w:tc>
        <w:tc>
          <w:tcPr>
            <w:tcW w:w="871" w:type="dxa"/>
            <w:tcBorders>
              <w:left w:val="single" w:sz="8" w:space="0" w:color="4F81BD"/>
              <w:right w:val="single" w:sz="8" w:space="0" w:color="4F81BD"/>
            </w:tcBorders>
          </w:tcPr>
          <w:p w:rsidR="00300092" w:rsidRPr="007D4A8A" w:rsidRDefault="00300092" w:rsidP="00300092">
            <w:pPr>
              <w:pStyle w:val="BodyText"/>
              <w:jc w:val="center"/>
              <w:rPr>
                <w:rFonts w:ascii="Arial Black" w:hAnsi="Arial Black"/>
                <w:sz w:val="28"/>
              </w:rPr>
            </w:pPr>
            <w:r w:rsidRPr="007D4A8A">
              <w:rPr>
                <w:rFonts w:ascii="Arial Black" w:hAnsi="Arial Black"/>
                <w:sz w:val="28"/>
              </w:rPr>
              <w:t>x</w:t>
            </w:r>
          </w:p>
        </w:tc>
        <w:tc>
          <w:tcPr>
            <w:tcW w:w="871" w:type="dxa"/>
          </w:tcPr>
          <w:p w:rsidR="00300092" w:rsidRPr="007D4A8A" w:rsidRDefault="00300092" w:rsidP="00300092">
            <w:pPr>
              <w:pStyle w:val="BodyText"/>
              <w:jc w:val="center"/>
              <w:rPr>
                <w:rFonts w:ascii="Arial Black" w:hAnsi="Arial Black"/>
                <w:sz w:val="28"/>
              </w:rPr>
            </w:pPr>
            <w:r w:rsidRPr="007D4A8A">
              <w:rPr>
                <w:rFonts w:ascii="Arial Black" w:hAnsi="Arial Black"/>
                <w:b/>
                <w:sz w:val="28"/>
              </w:rPr>
              <w:t>x</w:t>
            </w:r>
          </w:p>
        </w:tc>
        <w:tc>
          <w:tcPr>
            <w:tcW w:w="872" w:type="dxa"/>
            <w:tcBorders>
              <w:left w:val="single" w:sz="8" w:space="0" w:color="4F81BD"/>
            </w:tcBorders>
          </w:tcPr>
          <w:p w:rsidR="00300092" w:rsidRPr="007D4A8A" w:rsidRDefault="00300092" w:rsidP="00300092">
            <w:pPr>
              <w:pStyle w:val="BodyText"/>
              <w:jc w:val="center"/>
              <w:rPr>
                <w:rFonts w:ascii="Arial Black" w:hAnsi="Arial Black"/>
                <w:sz w:val="28"/>
              </w:rPr>
            </w:pPr>
          </w:p>
        </w:tc>
      </w:tr>
      <w:tr w:rsidR="00300092" w:rsidTr="00300092">
        <w:trPr>
          <w:trHeight w:hRule="exact" w:val="680"/>
        </w:trPr>
        <w:tc>
          <w:tcPr>
            <w:tcW w:w="871" w:type="dxa"/>
            <w:tcBorders>
              <w:top w:val="single" w:sz="8" w:space="0" w:color="4F81BD"/>
              <w:bottom w:val="single" w:sz="8" w:space="0" w:color="4F81BD"/>
            </w:tcBorders>
          </w:tcPr>
          <w:p w:rsidR="00300092" w:rsidRPr="007D4A8A" w:rsidRDefault="00300092" w:rsidP="00300092">
            <w:pPr>
              <w:pStyle w:val="BodyText"/>
              <w:jc w:val="right"/>
              <w:rPr>
                <w:rFonts w:ascii="Arial" w:hAnsi="Arial"/>
                <w:b/>
                <w:bCs/>
                <w:sz w:val="18"/>
                <w:szCs w:val="18"/>
              </w:rPr>
            </w:pPr>
            <w:r w:rsidRPr="007D4A8A">
              <w:rPr>
                <w:rFonts w:ascii="Arial" w:hAnsi="Arial"/>
                <w:bCs/>
                <w:sz w:val="18"/>
                <w:szCs w:val="18"/>
              </w:rPr>
              <w:t>FCV</w:t>
            </w:r>
          </w:p>
        </w:tc>
        <w:tc>
          <w:tcPr>
            <w:tcW w:w="871"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
              <w:jc w:val="center"/>
              <w:rPr>
                <w:rFonts w:ascii="Arial Black" w:hAnsi="Arial Black"/>
                <w:sz w:val="28"/>
              </w:rPr>
            </w:pPr>
            <w:r w:rsidRPr="007D4A8A">
              <w:rPr>
                <w:rFonts w:ascii="Arial Black" w:hAnsi="Arial Black"/>
                <w:sz w:val="28"/>
              </w:rPr>
              <w:t>x</w:t>
            </w:r>
          </w:p>
        </w:tc>
        <w:tc>
          <w:tcPr>
            <w:tcW w:w="871" w:type="dxa"/>
            <w:tcBorders>
              <w:top w:val="single" w:sz="8" w:space="0" w:color="4F81BD"/>
              <w:bottom w:val="single" w:sz="8" w:space="0" w:color="4F81BD"/>
            </w:tcBorders>
          </w:tcPr>
          <w:p w:rsidR="00300092" w:rsidRPr="007D4A8A" w:rsidRDefault="00300092" w:rsidP="00300092">
            <w:pPr>
              <w:pStyle w:val="BodyText"/>
              <w:jc w:val="center"/>
              <w:rPr>
                <w:rFonts w:ascii="Arial Black" w:hAnsi="Arial Black"/>
                <w:sz w:val="28"/>
              </w:rPr>
            </w:pPr>
            <w:r w:rsidRPr="007D4A8A">
              <w:rPr>
                <w:rFonts w:ascii="Arial Black" w:hAnsi="Arial Black"/>
                <w:sz w:val="28"/>
              </w:rPr>
              <w:t>x</w:t>
            </w:r>
          </w:p>
        </w:tc>
        <w:tc>
          <w:tcPr>
            <w:tcW w:w="872"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
              <w:jc w:val="center"/>
              <w:rPr>
                <w:rFonts w:ascii="Arial Black" w:hAnsi="Arial Black"/>
                <w:sz w:val="28"/>
              </w:rPr>
            </w:pPr>
            <w:r w:rsidRPr="007D4A8A">
              <w:rPr>
                <w:rFonts w:ascii="Arial Black" w:hAnsi="Arial Black"/>
                <w:sz w:val="28"/>
              </w:rPr>
              <w:t>x</w:t>
            </w:r>
          </w:p>
        </w:tc>
        <w:tc>
          <w:tcPr>
            <w:tcW w:w="871" w:type="dxa"/>
            <w:tcBorders>
              <w:top w:val="single" w:sz="8" w:space="0" w:color="4F81BD"/>
              <w:bottom w:val="single" w:sz="8" w:space="0" w:color="4F81BD"/>
            </w:tcBorders>
          </w:tcPr>
          <w:p w:rsidR="00300092" w:rsidRPr="007D4A8A" w:rsidRDefault="00300092" w:rsidP="00300092">
            <w:pPr>
              <w:pStyle w:val="BodyText"/>
              <w:jc w:val="center"/>
              <w:rPr>
                <w:rFonts w:ascii="Arial Black" w:hAnsi="Arial Black"/>
                <w:sz w:val="28"/>
              </w:rPr>
            </w:pPr>
            <w:r w:rsidRPr="007D4A8A">
              <w:rPr>
                <w:rFonts w:ascii="Arial Black" w:hAnsi="Arial Black"/>
                <w:sz w:val="28"/>
              </w:rPr>
              <w:t>x</w:t>
            </w:r>
          </w:p>
        </w:tc>
        <w:tc>
          <w:tcPr>
            <w:tcW w:w="871"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
              <w:jc w:val="center"/>
              <w:rPr>
                <w:rFonts w:ascii="Arial Black" w:hAnsi="Arial Black"/>
                <w:sz w:val="28"/>
              </w:rPr>
            </w:pPr>
            <w:r w:rsidRPr="007D4A8A">
              <w:rPr>
                <w:rFonts w:ascii="Arial Black" w:hAnsi="Arial Black"/>
                <w:sz w:val="28"/>
              </w:rPr>
              <w:t>x</w:t>
            </w:r>
          </w:p>
        </w:tc>
        <w:tc>
          <w:tcPr>
            <w:tcW w:w="872" w:type="dxa"/>
            <w:tcBorders>
              <w:top w:val="single" w:sz="8" w:space="0" w:color="4F81BD"/>
              <w:bottom w:val="single" w:sz="8" w:space="0" w:color="4F81BD"/>
            </w:tcBorders>
          </w:tcPr>
          <w:p w:rsidR="00300092" w:rsidRPr="007D4A8A" w:rsidRDefault="00300092" w:rsidP="00300092">
            <w:pPr>
              <w:pStyle w:val="BodyText"/>
              <w:jc w:val="center"/>
              <w:rPr>
                <w:rFonts w:ascii="Arial Black" w:hAnsi="Arial Black"/>
                <w:sz w:val="28"/>
              </w:rPr>
            </w:pPr>
            <w:r w:rsidRPr="007D4A8A">
              <w:rPr>
                <w:rFonts w:ascii="Arial Black" w:hAnsi="Arial Black"/>
                <w:sz w:val="28"/>
              </w:rPr>
              <w:t>x</w:t>
            </w:r>
          </w:p>
        </w:tc>
        <w:tc>
          <w:tcPr>
            <w:tcW w:w="871"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
              <w:jc w:val="center"/>
              <w:rPr>
                <w:rFonts w:ascii="Arial Black" w:hAnsi="Arial Black"/>
                <w:sz w:val="28"/>
              </w:rPr>
            </w:pPr>
            <w:r w:rsidRPr="007D4A8A">
              <w:rPr>
                <w:rFonts w:ascii="Arial Black" w:hAnsi="Arial Black"/>
                <w:sz w:val="28"/>
              </w:rPr>
              <w:t>x</w:t>
            </w:r>
          </w:p>
        </w:tc>
        <w:tc>
          <w:tcPr>
            <w:tcW w:w="871" w:type="dxa"/>
            <w:tcBorders>
              <w:top w:val="single" w:sz="8" w:space="0" w:color="4F81BD"/>
              <w:bottom w:val="single" w:sz="8" w:space="0" w:color="4F81BD"/>
            </w:tcBorders>
          </w:tcPr>
          <w:p w:rsidR="00300092" w:rsidRPr="007D4A8A" w:rsidRDefault="00300092" w:rsidP="00300092">
            <w:pPr>
              <w:pStyle w:val="BodyText"/>
              <w:jc w:val="center"/>
              <w:rPr>
                <w:rFonts w:ascii="Arial Black" w:hAnsi="Arial Black"/>
                <w:sz w:val="28"/>
              </w:rPr>
            </w:pPr>
            <w:r w:rsidRPr="007D4A8A">
              <w:rPr>
                <w:rFonts w:ascii="Arial Black" w:hAnsi="Arial Black"/>
                <w:b/>
                <w:sz w:val="28"/>
              </w:rPr>
              <w:t>x</w:t>
            </w:r>
          </w:p>
        </w:tc>
        <w:tc>
          <w:tcPr>
            <w:tcW w:w="872" w:type="dxa"/>
            <w:tcBorders>
              <w:top w:val="single" w:sz="8" w:space="0" w:color="4F81BD"/>
              <w:left w:val="single" w:sz="8" w:space="0" w:color="4F81BD"/>
              <w:bottom w:val="single" w:sz="8" w:space="0" w:color="4F81BD"/>
            </w:tcBorders>
          </w:tcPr>
          <w:p w:rsidR="00300092" w:rsidRPr="007D4A8A" w:rsidRDefault="00300092" w:rsidP="00300092">
            <w:pPr>
              <w:pStyle w:val="BodyText"/>
              <w:jc w:val="center"/>
              <w:rPr>
                <w:rFonts w:ascii="Arial Black" w:hAnsi="Arial Black"/>
                <w:sz w:val="28"/>
              </w:rPr>
            </w:pPr>
          </w:p>
        </w:tc>
      </w:tr>
    </w:tbl>
    <w:p w:rsidR="00300092" w:rsidRDefault="00300092" w:rsidP="00E96318">
      <w:pPr>
        <w:pStyle w:val="AppendixHeading2"/>
      </w:pPr>
      <w:bookmarkStart w:id="179" w:name="_Toc308600731"/>
      <w:r>
        <w:t>Road transport costs</w:t>
      </w:r>
      <w:bookmarkEnd w:id="179"/>
    </w:p>
    <w:p w:rsidR="00300092" w:rsidRPr="00FD00DA" w:rsidRDefault="00300092" w:rsidP="00300092">
      <w:pPr>
        <w:pStyle w:val="BodyText"/>
      </w:pPr>
      <w:r w:rsidRPr="00FD00DA">
        <w:t>One of the key functions of ESM is to determine the uptake of fuel and engine technologies. These can be imposed but the default process is for the model to choose the least cost response to whatever drivers are in force (such as carbon pricing). In order for the model to give a plausible answer it must, as a minimum, be provided with data to compare the relative economic merits of the vehicles that would be under consideration by the consumer (or investor).</w:t>
      </w:r>
    </w:p>
    <w:p w:rsidR="00300092" w:rsidRPr="00FD00DA" w:rsidRDefault="00300092" w:rsidP="00E96318">
      <w:pPr>
        <w:pStyle w:val="AppendixHeading3"/>
      </w:pPr>
      <w:bookmarkStart w:id="180" w:name="_Ref304806986"/>
      <w:bookmarkStart w:id="181" w:name="_Toc308600732"/>
      <w:r>
        <w:t>Vehicle</w:t>
      </w:r>
      <w:r w:rsidRPr="00FD00DA">
        <w:t xml:space="preserve"> costs</w:t>
      </w:r>
      <w:bookmarkEnd w:id="180"/>
      <w:bookmarkEnd w:id="181"/>
    </w:p>
    <w:p w:rsidR="00300092" w:rsidRDefault="00C14EF7" w:rsidP="00300092">
      <w:pPr>
        <w:pStyle w:val="BodyText"/>
      </w:pPr>
      <w:r>
        <w:fldChar w:fldCharType="begin"/>
      </w:r>
      <w:r w:rsidR="00300092">
        <w:instrText xml:space="preserve"> REF _Ref304807022 \h </w:instrText>
      </w:r>
      <w:r>
        <w:fldChar w:fldCharType="separate"/>
      </w:r>
      <w:r w:rsidR="003E0F65">
        <w:t>Table A</w:t>
      </w:r>
      <w:r w:rsidR="003E0F65">
        <w:noBreakHyphen/>
      </w:r>
      <w:r w:rsidR="003E0F65">
        <w:rPr>
          <w:noProof/>
        </w:rPr>
        <w:t>3</w:t>
      </w:r>
      <w:r>
        <w:fldChar w:fldCharType="end"/>
      </w:r>
      <w:r w:rsidR="00300092">
        <w:t xml:space="preserve"> </w:t>
      </w:r>
      <w:r w:rsidR="00300092" w:rsidRPr="00FD00DA">
        <w:t>sets out the major categories of non-fuel costs and sources of data for them. Basic vehicle costs are representative of the median vehicle in their vehicle category. There is a wide m</w:t>
      </w:r>
      <w:r w:rsidR="00300092">
        <w:t>argin of error. However, it can</w:t>
      </w:r>
      <w:r w:rsidR="00300092" w:rsidRPr="00FD00DA">
        <w:t xml:space="preserve">not be easily avoided given the need for aggregation (see </w:t>
      </w:r>
      <w:r w:rsidR="00300092" w:rsidRPr="00FD00DA">
        <w:lastRenderedPageBreak/>
        <w:t>previous section). Maintenance costs are calculated via bottom up analysis of the minimum maintenance expenditure required to renew registration of the vehicle (e.g. tyre change every two years, minimal oil and battery replacement). In addition to regular maintenance, major part replacement is assumed to become part of the maintenance cost of older vehicles (</w:t>
      </w:r>
      <w:r w:rsidR="00300092">
        <w:t xml:space="preserve">greater than </w:t>
      </w:r>
      <w:r w:rsidR="00300092" w:rsidRPr="00FD00DA">
        <w:t>5 years).</w:t>
      </w:r>
    </w:p>
    <w:p w:rsidR="00300092" w:rsidRPr="00FD00DA" w:rsidRDefault="00300092" w:rsidP="00300092">
      <w:pPr>
        <w:pStyle w:val="BodyText"/>
      </w:pPr>
      <w:r w:rsidRPr="00FD00DA">
        <w:t xml:space="preserve">For some alternative fuels, there is little or no information available </w:t>
      </w:r>
      <w:r>
        <w:t>about</w:t>
      </w:r>
      <w:r w:rsidRPr="00FD00DA">
        <w:t xml:space="preserve"> additional vehicle </w:t>
      </w:r>
      <w:r>
        <w:t xml:space="preserve">requirements and </w:t>
      </w:r>
      <w:r w:rsidRPr="00FD00DA">
        <w:t>cost</w:t>
      </w:r>
      <w:r>
        <w:t>s</w:t>
      </w:r>
      <w:r w:rsidRPr="00FD00DA">
        <w:t xml:space="preserve"> for the alternative fuel to be incorporated. In these cases, estimates have been made based on the ratio of costs in </w:t>
      </w:r>
      <w:r>
        <w:t>a closely</w:t>
      </w:r>
      <w:r w:rsidRPr="00FD00DA">
        <w:t xml:space="preserve"> relevant vehicle category.</w:t>
      </w:r>
    </w:p>
    <w:p w:rsidR="00300092" w:rsidRDefault="00300092" w:rsidP="00300092">
      <w:pPr>
        <w:pStyle w:val="BodyText"/>
      </w:pPr>
      <w:r w:rsidRPr="00FD00DA">
        <w:t>In constructing non-fuel costs, the data has relied on a wide variety of predominantly web based sources and may be poor in some cases. To test the validity of the data it is compared with</w:t>
      </w:r>
      <w:r>
        <w:t xml:space="preserve"> </w:t>
      </w:r>
      <w:r w:rsidRPr="00FD00DA">
        <w:t>NRMA</w:t>
      </w:r>
      <w:r>
        <w:t xml:space="preserve"> (2011)</w:t>
      </w:r>
      <w:r w:rsidRPr="00FD00DA">
        <w:t>.</w:t>
      </w:r>
    </w:p>
    <w:p w:rsidR="00300092" w:rsidRDefault="00300092" w:rsidP="00300092">
      <w:pPr>
        <w:pStyle w:val="Caption"/>
      </w:pPr>
      <w:bookmarkStart w:id="182" w:name="_Ref304807022"/>
      <w:bookmarkStart w:id="183" w:name="_Toc308443506"/>
      <w:bookmarkStart w:id="184" w:name="_Toc366227389"/>
      <w:r>
        <w:t xml:space="preserve">Table </w:t>
      </w:r>
      <w:r w:rsidR="00FE0313">
        <w:t>A</w:t>
      </w:r>
      <w:r>
        <w:noBreakHyphen/>
      </w:r>
      <w:r w:rsidR="00C14EF7">
        <w:fldChar w:fldCharType="begin"/>
      </w:r>
      <w:r>
        <w:instrText xml:space="preserve"> SEQ Table \* ARABIC \s 1 </w:instrText>
      </w:r>
      <w:r w:rsidR="00C14EF7">
        <w:fldChar w:fldCharType="separate"/>
      </w:r>
      <w:r w:rsidR="003E0F65">
        <w:rPr>
          <w:noProof/>
        </w:rPr>
        <w:t>3</w:t>
      </w:r>
      <w:r w:rsidR="00C14EF7">
        <w:fldChar w:fldCharType="end"/>
      </w:r>
      <w:bookmarkEnd w:id="182"/>
      <w:r>
        <w:t>: Non-fuel cost categories in total road travel cost</w:t>
      </w:r>
      <w:bookmarkEnd w:id="183"/>
      <w:bookmarkEnd w:id="184"/>
    </w:p>
    <w:tbl>
      <w:tblPr>
        <w:tblW w:w="0" w:type="auto"/>
        <w:tblBorders>
          <w:top w:val="single" w:sz="8" w:space="0" w:color="4F81BD"/>
          <w:left w:val="single" w:sz="8" w:space="0" w:color="4F81BD"/>
          <w:bottom w:val="single" w:sz="8" w:space="0" w:color="4F81BD"/>
          <w:right w:val="single" w:sz="8" w:space="0" w:color="4F81BD"/>
        </w:tblBorders>
        <w:tblLook w:val="00A0"/>
      </w:tblPr>
      <w:tblGrid>
        <w:gridCol w:w="3794"/>
        <w:gridCol w:w="4919"/>
      </w:tblGrid>
      <w:tr w:rsidR="00300092" w:rsidTr="00300092">
        <w:tc>
          <w:tcPr>
            <w:tcW w:w="3794" w:type="dxa"/>
            <w:tcBorders>
              <w:top w:val="single" w:sz="8" w:space="0" w:color="4F81BD"/>
            </w:tcBorders>
            <w:shd w:val="clear" w:color="auto" w:fill="4F81BD"/>
          </w:tcPr>
          <w:p w:rsidR="00300092" w:rsidRPr="007D4A8A" w:rsidRDefault="00300092" w:rsidP="00300092">
            <w:pPr>
              <w:pStyle w:val="BodyText"/>
              <w:rPr>
                <w:b/>
                <w:bCs/>
                <w:color w:val="FFFFFF"/>
              </w:rPr>
            </w:pPr>
            <w:r w:rsidRPr="007D4A8A">
              <w:rPr>
                <w:rFonts w:ascii="Arial" w:hAnsi="Arial"/>
                <w:bCs/>
                <w:color w:val="FFFFFF"/>
                <w:sz w:val="18"/>
                <w:szCs w:val="18"/>
              </w:rPr>
              <w:t>Non-fuel cost category</w:t>
            </w:r>
          </w:p>
        </w:tc>
        <w:tc>
          <w:tcPr>
            <w:tcW w:w="4919" w:type="dxa"/>
            <w:tcBorders>
              <w:top w:val="single" w:sz="8" w:space="0" w:color="4F81BD"/>
              <w:left w:val="single" w:sz="8" w:space="0" w:color="4F81BD"/>
            </w:tcBorders>
            <w:shd w:val="clear" w:color="auto" w:fill="4F81BD"/>
          </w:tcPr>
          <w:p w:rsidR="00300092" w:rsidRPr="007D4A8A" w:rsidRDefault="00300092" w:rsidP="00300092">
            <w:pPr>
              <w:pStyle w:val="BodyText"/>
              <w:rPr>
                <w:b/>
                <w:bCs/>
                <w:color w:val="FFFFFF"/>
              </w:rPr>
            </w:pPr>
            <w:r w:rsidRPr="007D4A8A">
              <w:rPr>
                <w:rFonts w:ascii="Arial" w:hAnsi="Arial"/>
                <w:bCs/>
                <w:color w:val="FFFFFF"/>
                <w:sz w:val="18"/>
                <w:szCs w:val="18"/>
              </w:rPr>
              <w:t>Data source</w:t>
            </w:r>
          </w:p>
        </w:tc>
      </w:tr>
      <w:tr w:rsidR="00300092" w:rsidTr="00300092">
        <w:trPr>
          <w:trHeight w:hRule="exact" w:val="1985"/>
        </w:trPr>
        <w:tc>
          <w:tcPr>
            <w:tcW w:w="3794" w:type="dxa"/>
            <w:tcBorders>
              <w:top w:val="single" w:sz="8" w:space="0" w:color="4F81BD"/>
              <w:bottom w:val="single" w:sz="8" w:space="0" w:color="4F81BD"/>
            </w:tcBorders>
          </w:tcPr>
          <w:p w:rsidR="00300092" w:rsidRPr="007D4A8A" w:rsidRDefault="00300092" w:rsidP="00300092">
            <w:pPr>
              <w:pStyle w:val="BodyText"/>
              <w:rPr>
                <w:b/>
                <w:bCs/>
              </w:rPr>
            </w:pPr>
            <w:r w:rsidRPr="007D4A8A">
              <w:rPr>
                <w:rFonts w:ascii="Arial" w:hAnsi="Arial"/>
                <w:bCs/>
                <w:sz w:val="18"/>
                <w:szCs w:val="18"/>
              </w:rPr>
              <w:t>Basic vehicle cost</w:t>
            </w:r>
          </w:p>
        </w:tc>
        <w:tc>
          <w:tcPr>
            <w:tcW w:w="4919" w:type="dxa"/>
            <w:tcBorders>
              <w:top w:val="single" w:sz="8" w:space="0" w:color="4F81BD"/>
              <w:left w:val="single" w:sz="8" w:space="0" w:color="4F81BD"/>
              <w:bottom w:val="single" w:sz="8" w:space="0" w:color="4F81BD"/>
            </w:tcBorders>
          </w:tcPr>
          <w:p w:rsidR="00300092" w:rsidRPr="007D4A8A" w:rsidRDefault="00300092" w:rsidP="00300092">
            <w:pPr>
              <w:rPr>
                <w:rFonts w:ascii="Arial" w:hAnsi="Arial" w:cs="Arial"/>
                <w:sz w:val="18"/>
                <w:szCs w:val="18"/>
              </w:rPr>
            </w:pPr>
            <w:r w:rsidRPr="007D4A8A">
              <w:rPr>
                <w:rFonts w:ascii="Arial" w:hAnsi="Arial" w:cs="Arial"/>
                <w:sz w:val="18"/>
                <w:szCs w:val="18"/>
              </w:rPr>
              <w:t xml:space="preserve">ICE (Passenger and light commercial): NRMA </w:t>
            </w:r>
            <w:r w:rsidRPr="007D4A8A">
              <w:rPr>
                <w:rFonts w:ascii="Arial" w:hAnsi="Arial" w:cs="Arial"/>
                <w:sz w:val="18"/>
                <w:szCs w:val="18"/>
              </w:rPr>
              <w:br/>
            </w:r>
            <w:r w:rsidRPr="007D4A8A">
              <w:rPr>
                <w:rFonts w:ascii="Arial" w:hAnsi="Arial" w:cs="Arial"/>
                <w:i/>
                <w:sz w:val="18"/>
                <w:szCs w:val="18"/>
              </w:rPr>
              <w:t>Open Road</w:t>
            </w:r>
            <w:r w:rsidRPr="007D4A8A">
              <w:rPr>
                <w:rFonts w:ascii="Arial" w:hAnsi="Arial" w:cs="Arial"/>
                <w:sz w:val="18"/>
                <w:szCs w:val="18"/>
              </w:rPr>
              <w:t>.</w:t>
            </w:r>
          </w:p>
          <w:p w:rsidR="00300092" w:rsidRPr="007D4A8A" w:rsidRDefault="00300092" w:rsidP="00300092">
            <w:pPr>
              <w:rPr>
                <w:rFonts w:ascii="Arial" w:hAnsi="Arial" w:cs="Arial"/>
                <w:sz w:val="18"/>
                <w:szCs w:val="18"/>
              </w:rPr>
            </w:pPr>
          </w:p>
          <w:p w:rsidR="00300092" w:rsidRPr="007D4A8A" w:rsidRDefault="00300092" w:rsidP="00300092">
            <w:pPr>
              <w:rPr>
                <w:rFonts w:ascii="Arial" w:hAnsi="Arial" w:cs="Arial"/>
                <w:sz w:val="18"/>
                <w:szCs w:val="18"/>
              </w:rPr>
            </w:pPr>
            <w:r w:rsidRPr="007D4A8A">
              <w:rPr>
                <w:rFonts w:ascii="Arial" w:hAnsi="Arial" w:cs="Arial"/>
                <w:sz w:val="18"/>
                <w:szCs w:val="18"/>
              </w:rPr>
              <w:t>ICE (Trucks and buses): Manufacturers websites.</w:t>
            </w:r>
          </w:p>
          <w:p w:rsidR="00300092" w:rsidRPr="007D4A8A" w:rsidRDefault="00300092" w:rsidP="00300092">
            <w:pPr>
              <w:rPr>
                <w:rFonts w:ascii="Arial" w:hAnsi="Arial" w:cs="Arial"/>
                <w:sz w:val="18"/>
                <w:szCs w:val="18"/>
              </w:rPr>
            </w:pPr>
          </w:p>
          <w:p w:rsidR="00300092" w:rsidRPr="007D4A8A" w:rsidRDefault="00300092" w:rsidP="00300092">
            <w:pPr>
              <w:rPr>
                <w:rFonts w:ascii="Arial" w:hAnsi="Arial" w:cs="Arial"/>
                <w:sz w:val="18"/>
                <w:szCs w:val="18"/>
              </w:rPr>
            </w:pPr>
            <w:r w:rsidRPr="007D4A8A">
              <w:rPr>
                <w:rFonts w:ascii="Arial" w:hAnsi="Arial" w:cs="Arial"/>
                <w:sz w:val="18"/>
                <w:szCs w:val="18"/>
              </w:rPr>
              <w:t>EVs/PHEVs: IEA (2009); Electrification Coalition (2009).</w:t>
            </w:r>
          </w:p>
          <w:p w:rsidR="00300092" w:rsidRPr="007D4A8A" w:rsidRDefault="00300092" w:rsidP="00300092">
            <w:pPr>
              <w:rPr>
                <w:rFonts w:ascii="Arial" w:hAnsi="Arial" w:cs="Arial"/>
                <w:sz w:val="18"/>
                <w:szCs w:val="18"/>
              </w:rPr>
            </w:pPr>
          </w:p>
          <w:p w:rsidR="00300092" w:rsidRPr="002F7DD8" w:rsidRDefault="00300092" w:rsidP="00300092">
            <w:r w:rsidRPr="007D4A8A">
              <w:rPr>
                <w:rFonts w:ascii="Arial" w:hAnsi="Arial" w:cs="Arial"/>
                <w:sz w:val="18"/>
                <w:szCs w:val="18"/>
              </w:rPr>
              <w:t>FCVs: IEA (2009); ANL (2009).</w:t>
            </w:r>
          </w:p>
        </w:tc>
      </w:tr>
      <w:tr w:rsidR="00300092" w:rsidTr="00300092">
        <w:trPr>
          <w:trHeight w:hRule="exact" w:val="680"/>
        </w:trPr>
        <w:tc>
          <w:tcPr>
            <w:tcW w:w="3794" w:type="dxa"/>
          </w:tcPr>
          <w:p w:rsidR="00300092" w:rsidRPr="007D4A8A" w:rsidRDefault="00300092" w:rsidP="00300092">
            <w:pPr>
              <w:pStyle w:val="BodyText"/>
              <w:tabs>
                <w:tab w:val="left" w:pos="4643"/>
              </w:tabs>
              <w:rPr>
                <w:rFonts w:ascii="Arial" w:hAnsi="Arial"/>
                <w:b/>
                <w:bCs/>
                <w:sz w:val="18"/>
                <w:szCs w:val="18"/>
              </w:rPr>
            </w:pPr>
            <w:r w:rsidRPr="007D4A8A">
              <w:rPr>
                <w:rFonts w:ascii="Arial" w:hAnsi="Arial"/>
                <w:bCs/>
                <w:sz w:val="18"/>
                <w:szCs w:val="18"/>
              </w:rPr>
              <w:t>On-costs above basic vehicle cost to</w:t>
            </w:r>
            <w:r w:rsidRPr="007D4A8A">
              <w:rPr>
                <w:rFonts w:ascii="Arial" w:hAnsi="Arial"/>
                <w:bCs/>
                <w:sz w:val="18"/>
                <w:szCs w:val="18"/>
              </w:rPr>
              <w:tab/>
              <w:t>Various manufacturer websites</w:t>
            </w:r>
            <w:r w:rsidRPr="007D4A8A">
              <w:rPr>
                <w:rFonts w:ascii="Arial" w:hAnsi="Arial"/>
                <w:bCs/>
                <w:sz w:val="18"/>
                <w:szCs w:val="18"/>
              </w:rPr>
              <w:br/>
              <w:t>accommodate alternative fuel</w:t>
            </w:r>
          </w:p>
          <w:p w:rsidR="00300092" w:rsidRPr="007D4A8A" w:rsidRDefault="00300092" w:rsidP="00300092">
            <w:pPr>
              <w:pStyle w:val="BodyText"/>
              <w:rPr>
                <w:b/>
                <w:bCs/>
              </w:rPr>
            </w:pPr>
          </w:p>
        </w:tc>
        <w:tc>
          <w:tcPr>
            <w:tcW w:w="4919" w:type="dxa"/>
            <w:tcBorders>
              <w:left w:val="single" w:sz="8" w:space="0" w:color="4F81BD"/>
            </w:tcBorders>
          </w:tcPr>
          <w:p w:rsidR="00300092" w:rsidRDefault="00300092" w:rsidP="00300092">
            <w:pPr>
              <w:pStyle w:val="BodyText"/>
            </w:pPr>
            <w:r w:rsidRPr="007D4A8A">
              <w:rPr>
                <w:rFonts w:ascii="Arial" w:hAnsi="Arial"/>
                <w:sz w:val="18"/>
                <w:szCs w:val="18"/>
              </w:rPr>
              <w:t>Various manufacturer websites</w:t>
            </w:r>
          </w:p>
        </w:tc>
      </w:tr>
      <w:tr w:rsidR="00300092" w:rsidTr="00300092">
        <w:tc>
          <w:tcPr>
            <w:tcW w:w="3794" w:type="dxa"/>
            <w:tcBorders>
              <w:top w:val="single" w:sz="8" w:space="0" w:color="4F81BD"/>
              <w:bottom w:val="single" w:sz="8" w:space="0" w:color="4F81BD"/>
            </w:tcBorders>
          </w:tcPr>
          <w:p w:rsidR="00300092" w:rsidRPr="007D4A8A" w:rsidRDefault="00300092" w:rsidP="00300092">
            <w:pPr>
              <w:pStyle w:val="BodyText"/>
              <w:rPr>
                <w:b/>
                <w:bCs/>
              </w:rPr>
            </w:pPr>
            <w:r w:rsidRPr="007D4A8A">
              <w:rPr>
                <w:rFonts w:ascii="Arial" w:hAnsi="Arial"/>
                <w:bCs/>
                <w:sz w:val="18"/>
                <w:szCs w:val="18"/>
              </w:rPr>
              <w:t>Insurance – third party and comprehensive</w:t>
            </w:r>
          </w:p>
        </w:tc>
        <w:tc>
          <w:tcPr>
            <w:tcW w:w="4919" w:type="dxa"/>
            <w:tcBorders>
              <w:top w:val="single" w:sz="8" w:space="0" w:color="4F81BD"/>
              <w:left w:val="single" w:sz="8" w:space="0" w:color="4F81BD"/>
              <w:bottom w:val="single" w:sz="8" w:space="0" w:color="4F81BD"/>
            </w:tcBorders>
          </w:tcPr>
          <w:p w:rsidR="00300092" w:rsidRDefault="00300092" w:rsidP="00300092">
            <w:pPr>
              <w:pStyle w:val="BodyText"/>
            </w:pPr>
            <w:r w:rsidRPr="007D4A8A">
              <w:rPr>
                <w:rFonts w:ascii="Arial" w:hAnsi="Arial"/>
                <w:sz w:val="18"/>
                <w:szCs w:val="18"/>
              </w:rPr>
              <w:t>Insurance companies (e.g. AAMI, NRMA)</w:t>
            </w:r>
          </w:p>
        </w:tc>
      </w:tr>
      <w:tr w:rsidR="00300092" w:rsidTr="00300092">
        <w:tc>
          <w:tcPr>
            <w:tcW w:w="3794" w:type="dxa"/>
          </w:tcPr>
          <w:p w:rsidR="00300092" w:rsidRPr="007D4A8A" w:rsidRDefault="00300092" w:rsidP="00300092">
            <w:pPr>
              <w:pStyle w:val="BodyText"/>
              <w:rPr>
                <w:b/>
                <w:bCs/>
              </w:rPr>
            </w:pPr>
            <w:r w:rsidRPr="007D4A8A">
              <w:rPr>
                <w:rFonts w:ascii="Arial" w:hAnsi="Arial"/>
                <w:bCs/>
                <w:sz w:val="18"/>
                <w:szCs w:val="18"/>
              </w:rPr>
              <w:t>Registration</w:t>
            </w:r>
          </w:p>
        </w:tc>
        <w:tc>
          <w:tcPr>
            <w:tcW w:w="4919" w:type="dxa"/>
            <w:tcBorders>
              <w:left w:val="single" w:sz="8" w:space="0" w:color="4F81BD"/>
            </w:tcBorders>
          </w:tcPr>
          <w:p w:rsidR="00300092" w:rsidRDefault="00300092" w:rsidP="00300092">
            <w:pPr>
              <w:pStyle w:val="BodyText"/>
            </w:pPr>
            <w:r w:rsidRPr="007D4A8A">
              <w:rPr>
                <w:rFonts w:ascii="Arial" w:hAnsi="Arial"/>
                <w:sz w:val="18"/>
                <w:szCs w:val="18"/>
              </w:rPr>
              <w:t>State government transport authority/department websites</w:t>
            </w:r>
          </w:p>
        </w:tc>
      </w:tr>
      <w:tr w:rsidR="00300092" w:rsidTr="00300092">
        <w:tc>
          <w:tcPr>
            <w:tcW w:w="3794" w:type="dxa"/>
            <w:tcBorders>
              <w:top w:val="single" w:sz="8" w:space="0" w:color="4F81BD"/>
              <w:bottom w:val="single" w:sz="8" w:space="0" w:color="4F81BD"/>
            </w:tcBorders>
          </w:tcPr>
          <w:p w:rsidR="00300092" w:rsidRPr="007D4A8A" w:rsidRDefault="00300092" w:rsidP="00300092">
            <w:pPr>
              <w:pStyle w:val="BodyText"/>
              <w:rPr>
                <w:rFonts w:ascii="Arial" w:hAnsi="Arial"/>
                <w:b/>
                <w:bCs/>
                <w:sz w:val="18"/>
                <w:szCs w:val="18"/>
              </w:rPr>
            </w:pPr>
            <w:r w:rsidRPr="007D4A8A">
              <w:rPr>
                <w:rFonts w:ascii="Arial" w:hAnsi="Arial"/>
                <w:bCs/>
                <w:sz w:val="18"/>
                <w:szCs w:val="18"/>
              </w:rPr>
              <w:t>Maintenance</w:t>
            </w:r>
          </w:p>
        </w:tc>
        <w:tc>
          <w:tcPr>
            <w:tcW w:w="4919" w:type="dxa"/>
            <w:tcBorders>
              <w:top w:val="single" w:sz="8" w:space="0" w:color="4F81BD"/>
              <w:left w:val="single" w:sz="8" w:space="0" w:color="4F81BD"/>
              <w:bottom w:val="single" w:sz="8" w:space="0" w:color="4F81BD"/>
            </w:tcBorders>
          </w:tcPr>
          <w:p w:rsidR="00300092" w:rsidRDefault="00300092" w:rsidP="00300092">
            <w:pPr>
              <w:pStyle w:val="BodyText"/>
            </w:pPr>
            <w:r w:rsidRPr="007D4A8A">
              <w:rPr>
                <w:rFonts w:ascii="Arial" w:hAnsi="Arial"/>
                <w:sz w:val="18"/>
                <w:szCs w:val="18"/>
              </w:rPr>
              <w:t>Web sources on tyres, oil, batteries and servicing</w:t>
            </w:r>
          </w:p>
        </w:tc>
      </w:tr>
    </w:tbl>
    <w:p w:rsidR="00300092" w:rsidRDefault="00300092" w:rsidP="00300092">
      <w:pPr>
        <w:pStyle w:val="BodyText"/>
      </w:pPr>
    </w:p>
    <w:p w:rsidR="00300092" w:rsidRDefault="00300092" w:rsidP="00300092">
      <w:pPr>
        <w:rPr>
          <w:rFonts w:ascii="Arial" w:hAnsi="Arial"/>
          <w:bCs/>
          <w:sz w:val="18"/>
          <w:szCs w:val="18"/>
        </w:rPr>
      </w:pPr>
      <w:r w:rsidRPr="00FD00DA">
        <w:t>The comparison is shown in</w:t>
      </w:r>
      <w:r>
        <w:t xml:space="preserve"> Table </w:t>
      </w:r>
      <w:r w:rsidR="00FE0313">
        <w:t>A</w:t>
      </w:r>
      <w:r>
        <w:t>-4</w:t>
      </w:r>
      <w:r w:rsidRPr="00FD00DA">
        <w:t>. To simplify the comparison we have used the same fuel costs as quoted in the NRMA report which was an unleaded petrol price of 125.8c/L.</w:t>
      </w:r>
    </w:p>
    <w:p w:rsidR="00300092" w:rsidRDefault="00300092" w:rsidP="00300092">
      <w:pPr>
        <w:rPr>
          <w:rFonts w:ascii="Arial" w:hAnsi="Arial"/>
          <w:bCs/>
          <w:sz w:val="18"/>
          <w:szCs w:val="18"/>
        </w:rPr>
      </w:pPr>
      <w:r>
        <w:br w:type="page"/>
      </w:r>
    </w:p>
    <w:p w:rsidR="00300092" w:rsidRPr="00FD00DA" w:rsidRDefault="00300092" w:rsidP="00300092">
      <w:pPr>
        <w:pStyle w:val="Caption"/>
      </w:pPr>
      <w:bookmarkStart w:id="185" w:name="_Toc308443507"/>
      <w:bookmarkStart w:id="186" w:name="_Toc366227390"/>
      <w:r w:rsidRPr="00FD00DA">
        <w:lastRenderedPageBreak/>
        <w:t xml:space="preserve">Table </w:t>
      </w:r>
      <w:r w:rsidR="00FE0313">
        <w:t>A</w:t>
      </w:r>
      <w:r>
        <w:noBreakHyphen/>
      </w:r>
      <w:r w:rsidR="00C14EF7">
        <w:fldChar w:fldCharType="begin"/>
      </w:r>
      <w:r>
        <w:instrText xml:space="preserve"> SEQ Table \* ARABIC \s 1 </w:instrText>
      </w:r>
      <w:r w:rsidR="00C14EF7">
        <w:fldChar w:fldCharType="separate"/>
      </w:r>
      <w:r w:rsidR="003E0F65">
        <w:rPr>
          <w:noProof/>
        </w:rPr>
        <w:t>4</w:t>
      </w:r>
      <w:r w:rsidR="00C14EF7">
        <w:fldChar w:fldCharType="end"/>
      </w:r>
      <w:r w:rsidRPr="00FD00DA">
        <w:t xml:space="preserve">: Comparison of whole of life transport cost estimates for </w:t>
      </w:r>
      <w:r>
        <w:t xml:space="preserve">Australian </w:t>
      </w:r>
      <w:r w:rsidRPr="00FD00DA">
        <w:t>petrol passenger vehicles (c/km)</w:t>
      </w:r>
      <w:bookmarkEnd w:id="185"/>
      <w:bookmarkEnd w:id="186"/>
    </w:p>
    <w:tbl>
      <w:tblPr>
        <w:tblW w:w="0" w:type="auto"/>
        <w:tblBorders>
          <w:top w:val="single" w:sz="8" w:space="0" w:color="4F81BD"/>
          <w:left w:val="single" w:sz="8" w:space="0" w:color="4F81BD"/>
          <w:bottom w:val="single" w:sz="8" w:space="0" w:color="4F81BD"/>
          <w:right w:val="single" w:sz="8" w:space="0" w:color="4F81BD"/>
        </w:tblBorders>
        <w:tblLook w:val="00A0"/>
      </w:tblPr>
      <w:tblGrid>
        <w:gridCol w:w="2904"/>
        <w:gridCol w:w="2904"/>
        <w:gridCol w:w="2905"/>
      </w:tblGrid>
      <w:tr w:rsidR="00300092" w:rsidRPr="0099236A" w:rsidTr="00300092">
        <w:tc>
          <w:tcPr>
            <w:tcW w:w="2904" w:type="dxa"/>
            <w:tcBorders>
              <w:top w:val="single" w:sz="8" w:space="0" w:color="4F81BD"/>
            </w:tcBorders>
            <w:shd w:val="clear" w:color="auto" w:fill="4F81BD"/>
          </w:tcPr>
          <w:p w:rsidR="00300092" w:rsidRPr="007D4A8A" w:rsidRDefault="00300092" w:rsidP="00300092">
            <w:pPr>
              <w:pStyle w:val="BodyText"/>
              <w:rPr>
                <w:rFonts w:ascii="Arial" w:hAnsi="Arial"/>
                <w:b/>
                <w:bCs/>
                <w:color w:val="FFFFFF"/>
                <w:sz w:val="18"/>
                <w:szCs w:val="18"/>
              </w:rPr>
            </w:pPr>
            <w:r w:rsidRPr="007D4A8A">
              <w:rPr>
                <w:rFonts w:ascii="Arial" w:hAnsi="Arial"/>
                <w:bCs/>
                <w:color w:val="FFFFFF"/>
                <w:sz w:val="18"/>
                <w:szCs w:val="18"/>
              </w:rPr>
              <w:t>Category</w:t>
            </w:r>
          </w:p>
        </w:tc>
        <w:tc>
          <w:tcPr>
            <w:tcW w:w="2904" w:type="dxa"/>
            <w:tcBorders>
              <w:top w:val="single" w:sz="8" w:space="0" w:color="4F81BD"/>
              <w:left w:val="single" w:sz="8" w:space="0" w:color="4F81BD"/>
              <w:right w:val="single" w:sz="8" w:space="0" w:color="4F81BD"/>
            </w:tcBorders>
            <w:shd w:val="clear" w:color="auto" w:fill="4F81BD"/>
          </w:tcPr>
          <w:p w:rsidR="00300092" w:rsidRPr="007D4A8A" w:rsidRDefault="00300092" w:rsidP="00300092">
            <w:pPr>
              <w:pStyle w:val="BodyText"/>
              <w:rPr>
                <w:rFonts w:ascii="Arial" w:hAnsi="Arial"/>
                <w:b/>
                <w:bCs/>
                <w:color w:val="FFFFFF"/>
                <w:sz w:val="18"/>
                <w:szCs w:val="18"/>
              </w:rPr>
            </w:pPr>
            <w:r w:rsidRPr="007D4A8A">
              <w:rPr>
                <w:rFonts w:ascii="Arial" w:hAnsi="Arial"/>
                <w:bCs/>
                <w:color w:val="FFFFFF"/>
                <w:sz w:val="18"/>
                <w:szCs w:val="18"/>
              </w:rPr>
              <w:t>NRMA estimate</w:t>
            </w:r>
          </w:p>
        </w:tc>
        <w:tc>
          <w:tcPr>
            <w:tcW w:w="2905" w:type="dxa"/>
            <w:tcBorders>
              <w:top w:val="single" w:sz="8" w:space="0" w:color="4F81BD"/>
            </w:tcBorders>
            <w:shd w:val="clear" w:color="auto" w:fill="4F81BD"/>
          </w:tcPr>
          <w:p w:rsidR="00300092" w:rsidRPr="007D4A8A" w:rsidRDefault="00300092" w:rsidP="00300092">
            <w:pPr>
              <w:pStyle w:val="BodyText"/>
              <w:rPr>
                <w:rFonts w:ascii="Arial" w:hAnsi="Arial"/>
                <w:b/>
                <w:bCs/>
                <w:color w:val="FFFFFF"/>
                <w:sz w:val="18"/>
                <w:szCs w:val="18"/>
              </w:rPr>
            </w:pPr>
            <w:r w:rsidRPr="007D4A8A">
              <w:rPr>
                <w:rFonts w:ascii="Arial" w:hAnsi="Arial"/>
                <w:bCs/>
                <w:color w:val="FFFFFF"/>
                <w:sz w:val="18"/>
                <w:szCs w:val="18"/>
              </w:rPr>
              <w:t>CSIRO estimate</w:t>
            </w:r>
          </w:p>
        </w:tc>
      </w:tr>
      <w:tr w:rsidR="00300092" w:rsidRPr="0099236A" w:rsidTr="00300092">
        <w:tc>
          <w:tcPr>
            <w:tcW w:w="2904" w:type="dxa"/>
            <w:tcBorders>
              <w:top w:val="single" w:sz="8" w:space="0" w:color="4F81BD"/>
              <w:bottom w:val="single" w:sz="8" w:space="0" w:color="4F81BD"/>
            </w:tcBorders>
          </w:tcPr>
          <w:p w:rsidR="00300092" w:rsidRPr="007D4A8A" w:rsidRDefault="00300092" w:rsidP="00300092">
            <w:pPr>
              <w:pStyle w:val="BodyText"/>
              <w:rPr>
                <w:rFonts w:ascii="Arial" w:hAnsi="Arial"/>
                <w:b/>
                <w:bCs/>
                <w:sz w:val="18"/>
                <w:szCs w:val="18"/>
              </w:rPr>
            </w:pPr>
            <w:r w:rsidRPr="007D4A8A">
              <w:rPr>
                <w:rFonts w:ascii="Arial" w:hAnsi="Arial"/>
                <w:bCs/>
                <w:sz w:val="18"/>
                <w:szCs w:val="18"/>
              </w:rPr>
              <w:t>Small/light</w:t>
            </w:r>
          </w:p>
        </w:tc>
        <w:tc>
          <w:tcPr>
            <w:tcW w:w="2904"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
              <w:rPr>
                <w:rFonts w:ascii="Arial" w:hAnsi="Arial"/>
                <w:sz w:val="18"/>
                <w:szCs w:val="18"/>
              </w:rPr>
            </w:pPr>
            <w:r w:rsidRPr="007D4A8A">
              <w:rPr>
                <w:rFonts w:ascii="Arial" w:hAnsi="Arial"/>
                <w:sz w:val="18"/>
                <w:szCs w:val="18"/>
              </w:rPr>
              <w:t>39.3</w:t>
            </w:r>
          </w:p>
        </w:tc>
        <w:tc>
          <w:tcPr>
            <w:tcW w:w="2905" w:type="dxa"/>
            <w:tcBorders>
              <w:top w:val="single" w:sz="8" w:space="0" w:color="4F81BD"/>
              <w:bottom w:val="single" w:sz="8" w:space="0" w:color="4F81BD"/>
            </w:tcBorders>
          </w:tcPr>
          <w:p w:rsidR="00300092" w:rsidRPr="007D4A8A" w:rsidRDefault="00300092" w:rsidP="00300092">
            <w:pPr>
              <w:pStyle w:val="BodyText"/>
              <w:rPr>
                <w:rFonts w:ascii="Arial" w:hAnsi="Arial"/>
                <w:sz w:val="18"/>
                <w:szCs w:val="18"/>
              </w:rPr>
            </w:pPr>
            <w:r w:rsidRPr="007D4A8A">
              <w:rPr>
                <w:rFonts w:ascii="Arial" w:hAnsi="Arial"/>
                <w:sz w:val="18"/>
                <w:szCs w:val="18"/>
              </w:rPr>
              <w:t>41.9</w:t>
            </w:r>
          </w:p>
        </w:tc>
      </w:tr>
      <w:tr w:rsidR="00300092" w:rsidRPr="0099236A" w:rsidTr="00300092">
        <w:tc>
          <w:tcPr>
            <w:tcW w:w="2904" w:type="dxa"/>
          </w:tcPr>
          <w:p w:rsidR="00300092" w:rsidRPr="007D4A8A" w:rsidRDefault="00300092" w:rsidP="00300092">
            <w:pPr>
              <w:pStyle w:val="BodyText"/>
              <w:rPr>
                <w:rFonts w:ascii="Arial" w:hAnsi="Arial"/>
                <w:b/>
                <w:bCs/>
                <w:sz w:val="18"/>
                <w:szCs w:val="18"/>
              </w:rPr>
            </w:pPr>
            <w:r w:rsidRPr="007D4A8A">
              <w:rPr>
                <w:rFonts w:ascii="Arial" w:hAnsi="Arial"/>
                <w:bCs/>
                <w:sz w:val="18"/>
                <w:szCs w:val="18"/>
              </w:rPr>
              <w:t>Medium</w:t>
            </w:r>
          </w:p>
        </w:tc>
        <w:tc>
          <w:tcPr>
            <w:tcW w:w="2904" w:type="dxa"/>
            <w:tcBorders>
              <w:left w:val="single" w:sz="8" w:space="0" w:color="4F81BD"/>
              <w:right w:val="single" w:sz="8" w:space="0" w:color="4F81BD"/>
            </w:tcBorders>
          </w:tcPr>
          <w:p w:rsidR="00300092" w:rsidRPr="007D4A8A" w:rsidRDefault="00300092" w:rsidP="00300092">
            <w:pPr>
              <w:pStyle w:val="BodyText"/>
              <w:rPr>
                <w:rFonts w:ascii="Arial" w:hAnsi="Arial"/>
                <w:sz w:val="18"/>
                <w:szCs w:val="18"/>
              </w:rPr>
            </w:pPr>
            <w:r w:rsidRPr="007D4A8A">
              <w:rPr>
                <w:rFonts w:ascii="Arial" w:hAnsi="Arial"/>
                <w:sz w:val="18"/>
                <w:szCs w:val="18"/>
              </w:rPr>
              <w:t>60.5</w:t>
            </w:r>
          </w:p>
        </w:tc>
        <w:tc>
          <w:tcPr>
            <w:tcW w:w="2905" w:type="dxa"/>
          </w:tcPr>
          <w:p w:rsidR="00300092" w:rsidRPr="007D4A8A" w:rsidRDefault="00300092" w:rsidP="00300092">
            <w:pPr>
              <w:pStyle w:val="BodyText"/>
              <w:rPr>
                <w:rFonts w:ascii="Arial" w:hAnsi="Arial"/>
                <w:sz w:val="18"/>
                <w:szCs w:val="18"/>
              </w:rPr>
            </w:pPr>
            <w:r w:rsidRPr="007D4A8A">
              <w:rPr>
                <w:rFonts w:ascii="Arial" w:hAnsi="Arial"/>
                <w:sz w:val="18"/>
                <w:szCs w:val="18"/>
              </w:rPr>
              <w:t>60.6</w:t>
            </w:r>
          </w:p>
        </w:tc>
      </w:tr>
      <w:tr w:rsidR="00300092" w:rsidRPr="0099236A" w:rsidTr="00300092">
        <w:tc>
          <w:tcPr>
            <w:tcW w:w="2904" w:type="dxa"/>
            <w:tcBorders>
              <w:top w:val="single" w:sz="8" w:space="0" w:color="4F81BD"/>
              <w:bottom w:val="single" w:sz="8" w:space="0" w:color="4F81BD"/>
            </w:tcBorders>
          </w:tcPr>
          <w:p w:rsidR="00300092" w:rsidRPr="007D4A8A" w:rsidRDefault="00300092" w:rsidP="00300092">
            <w:pPr>
              <w:pStyle w:val="BodyText"/>
              <w:rPr>
                <w:rFonts w:ascii="Arial" w:hAnsi="Arial"/>
                <w:b/>
                <w:bCs/>
                <w:sz w:val="18"/>
                <w:szCs w:val="18"/>
              </w:rPr>
            </w:pPr>
            <w:r w:rsidRPr="007D4A8A">
              <w:rPr>
                <w:rFonts w:ascii="Arial" w:hAnsi="Arial"/>
                <w:bCs/>
                <w:sz w:val="18"/>
                <w:szCs w:val="18"/>
              </w:rPr>
              <w:t>Large/heavy</w:t>
            </w:r>
          </w:p>
        </w:tc>
        <w:tc>
          <w:tcPr>
            <w:tcW w:w="2904"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
              <w:rPr>
                <w:rFonts w:ascii="Arial" w:hAnsi="Arial"/>
                <w:sz w:val="18"/>
                <w:szCs w:val="18"/>
              </w:rPr>
            </w:pPr>
            <w:r w:rsidRPr="007D4A8A">
              <w:rPr>
                <w:rFonts w:ascii="Arial" w:hAnsi="Arial"/>
                <w:sz w:val="18"/>
                <w:szCs w:val="18"/>
              </w:rPr>
              <w:t>79.7</w:t>
            </w:r>
          </w:p>
        </w:tc>
        <w:tc>
          <w:tcPr>
            <w:tcW w:w="2905" w:type="dxa"/>
            <w:tcBorders>
              <w:top w:val="single" w:sz="8" w:space="0" w:color="4F81BD"/>
              <w:bottom w:val="single" w:sz="8" w:space="0" w:color="4F81BD"/>
            </w:tcBorders>
          </w:tcPr>
          <w:p w:rsidR="00300092" w:rsidRPr="007D4A8A" w:rsidRDefault="00300092" w:rsidP="00300092">
            <w:pPr>
              <w:pStyle w:val="BodyText"/>
              <w:rPr>
                <w:rFonts w:ascii="Arial" w:hAnsi="Arial"/>
                <w:sz w:val="18"/>
                <w:szCs w:val="18"/>
              </w:rPr>
            </w:pPr>
            <w:r w:rsidRPr="007D4A8A">
              <w:rPr>
                <w:rFonts w:ascii="Arial" w:hAnsi="Arial"/>
                <w:sz w:val="18"/>
                <w:szCs w:val="18"/>
              </w:rPr>
              <w:t>76.3</w:t>
            </w:r>
          </w:p>
        </w:tc>
      </w:tr>
    </w:tbl>
    <w:p w:rsidR="00300092" w:rsidRDefault="00300092" w:rsidP="00300092">
      <w:pPr>
        <w:pStyle w:val="BodyText"/>
      </w:pPr>
    </w:p>
    <w:p w:rsidR="00300092" w:rsidRPr="00FD00DA" w:rsidRDefault="00300092" w:rsidP="00300092">
      <w:pPr>
        <w:pStyle w:val="BodyText"/>
      </w:pPr>
      <w:r w:rsidRPr="00FD00DA">
        <w:t xml:space="preserve">NRMA has based the above estimates on </w:t>
      </w:r>
      <w:r>
        <w:t>a small car of less than $40,000, a medium car of less than $60,000 and large car of less than $70,000</w:t>
      </w:r>
      <w:r w:rsidRPr="00FD00DA">
        <w:t xml:space="preserve">. The CSIRO estimates differ in absolute terms mainly in the light and large vehicle categories but </w:t>
      </w:r>
      <w:r>
        <w:t>are of similar magnitude</w:t>
      </w:r>
      <w:r w:rsidRPr="00FD00DA">
        <w:t xml:space="preserve">. Our estimates represent an average of vehicle costs in defined weight categories. </w:t>
      </w:r>
    </w:p>
    <w:p w:rsidR="00300092" w:rsidRPr="00FD00DA" w:rsidRDefault="00300092" w:rsidP="00300092">
      <w:pPr>
        <w:pStyle w:val="BodyText"/>
      </w:pPr>
      <w:r w:rsidRPr="00FD00DA">
        <w:t>Costs of rigid trucks are 95-140c/km. Costs for articulated trucks are 100-180c/km. Costs for buses are 175-250c/km. There are fewer references for comparison of these costs.</w:t>
      </w:r>
    </w:p>
    <w:p w:rsidR="00300092" w:rsidRDefault="00300092" w:rsidP="00300092">
      <w:pPr>
        <w:pStyle w:val="BodyText"/>
      </w:pPr>
      <w:r w:rsidRPr="00FD00DA">
        <w:t xml:space="preserve">It is assumed that all internal combustion vehicle purchase costs and all other non-fuel costs rise with the level of inflation and therefore remain constant in real terms. </w:t>
      </w:r>
      <w:r>
        <w:t>This assumption is justified on the basis that increased costs associated with fuel efficiency improvements of 15-25 percent are assumed to be offset by reductions in costs elsewhere on the vehicle.</w:t>
      </w:r>
    </w:p>
    <w:p w:rsidR="00300092" w:rsidRPr="00FD00DA" w:rsidRDefault="00300092" w:rsidP="00300092">
      <w:pPr>
        <w:pStyle w:val="BodyText"/>
      </w:pPr>
      <w:r>
        <w:t xml:space="preserve">For other vehicles, notably hybrid vehicles (HYBs), plug-in hybrid electric vehicles (PHEVs), fully-electric vehicles (EVs) and fuel cell vehicles (FCVs), costs are assumed to fall. This is discussed in Section </w:t>
      </w:r>
      <w:r w:rsidR="00C14EF7">
        <w:fldChar w:fldCharType="begin"/>
      </w:r>
      <w:r w:rsidR="00FE0313">
        <w:instrText xml:space="preserve"> REF _Ref304807056 \r \h </w:instrText>
      </w:r>
      <w:r w:rsidR="00C14EF7">
        <w:fldChar w:fldCharType="separate"/>
      </w:r>
      <w:r w:rsidR="003E0F65">
        <w:t>A.7</w:t>
      </w:r>
      <w:r w:rsidR="00C14EF7">
        <w:fldChar w:fldCharType="end"/>
      </w:r>
      <w:r>
        <w:t>.</w:t>
      </w:r>
    </w:p>
    <w:p w:rsidR="00300092" w:rsidRDefault="00300092" w:rsidP="00E96318">
      <w:pPr>
        <w:pStyle w:val="AppendixHeading2"/>
      </w:pPr>
      <w:bookmarkStart w:id="187" w:name="_Ref304807056"/>
      <w:bookmarkStart w:id="188" w:name="_Toc308600733"/>
      <w:r>
        <w:t>Treatment of technological change in the transport sector</w:t>
      </w:r>
      <w:bookmarkEnd w:id="187"/>
      <w:bookmarkEnd w:id="188"/>
    </w:p>
    <w:p w:rsidR="00300092" w:rsidRDefault="00300092" w:rsidP="00300092">
      <w:pPr>
        <w:pStyle w:val="BodyText"/>
      </w:pPr>
      <w:r>
        <w:t>There are significant uncertainties in terms of the timing and extent of the assumed reductions in the costs of non-ICE vehicles. Achieving these cost reductions relies on adequate supply of minerals and other raw materials, successful further development of battery and other technologies and realisation of global production economies of scale.</w:t>
      </w:r>
    </w:p>
    <w:p w:rsidR="00300092" w:rsidRDefault="00300092" w:rsidP="00300092">
      <w:r w:rsidRPr="00FD00DA">
        <w:t>The cost assumptions for t</w:t>
      </w:r>
      <w:r>
        <w:t>hree points in time, 2010, 2030</w:t>
      </w:r>
      <w:r w:rsidRPr="00FD00DA">
        <w:t xml:space="preserve"> and 20</w:t>
      </w:r>
      <w:r>
        <w:t>50</w:t>
      </w:r>
      <w:r w:rsidRPr="00FD00DA">
        <w:t xml:space="preserve"> are shown in</w:t>
      </w:r>
      <w:r>
        <w:t xml:space="preserve"> Table </w:t>
      </w:r>
      <w:r w:rsidR="00FE0313">
        <w:t>A</w:t>
      </w:r>
      <w:r>
        <w:t xml:space="preserve">-5. The </w:t>
      </w:r>
      <w:r w:rsidRPr="00FD00DA">
        <w:t>assumption regarding hybrid vehicles</w:t>
      </w:r>
      <w:r>
        <w:t xml:space="preserve"> (HYBs)</w:t>
      </w:r>
      <w:r w:rsidRPr="00FD00DA">
        <w:t xml:space="preserve"> is that over two decades mild hybridisation of vehicles will become standard and will not involve </w:t>
      </w:r>
      <w:r>
        <w:t>significant additional</w:t>
      </w:r>
      <w:r w:rsidRPr="00FD00DA">
        <w:t xml:space="preserve"> cost</w:t>
      </w:r>
      <w:r>
        <w:t>.</w:t>
      </w:r>
      <w:r w:rsidRPr="00FD00DA">
        <w:t xml:space="preserve"> </w:t>
      </w:r>
    </w:p>
    <w:p w:rsidR="00300092" w:rsidRDefault="00300092" w:rsidP="00300092">
      <w:pPr>
        <w:pStyle w:val="BodyText"/>
      </w:pPr>
      <w:r>
        <w:t xml:space="preserve">Similar to HYBs, </w:t>
      </w:r>
      <w:r w:rsidRPr="00FD00DA">
        <w:t>PHEVs are expected to always cost a premium over a standard internal combustion vehicle in the same vehicle category. Starting from a relative cost gap of around $</w:t>
      </w:r>
      <w:r>
        <w:t>14</w:t>
      </w:r>
      <w:r w:rsidRPr="00FD00DA">
        <w:t>,000 to $</w:t>
      </w:r>
      <w:r>
        <w:t>18</w:t>
      </w:r>
      <w:r w:rsidRPr="00FD00DA">
        <w:t>,000</w:t>
      </w:r>
      <w:r>
        <w:t xml:space="preserve"> for passenger and LCVs</w:t>
      </w:r>
      <w:r w:rsidRPr="00FD00DA">
        <w:t xml:space="preserve">, costs are expected to narrow to less than </w:t>
      </w:r>
      <w:r>
        <w:t xml:space="preserve">an additional </w:t>
      </w:r>
      <w:r w:rsidRPr="00FD00DA">
        <w:t>$</w:t>
      </w:r>
      <w:r>
        <w:t>3</w:t>
      </w:r>
      <w:r w:rsidRPr="00FD00DA">
        <w:t xml:space="preserve">,000 </w:t>
      </w:r>
      <w:r>
        <w:t>by 2030</w:t>
      </w:r>
      <w:r w:rsidRPr="00FD00DA">
        <w:t>.</w:t>
      </w:r>
    </w:p>
    <w:p w:rsidR="00300092" w:rsidRDefault="00300092" w:rsidP="00300092">
      <w:pPr>
        <w:pStyle w:val="BodyText"/>
      </w:pPr>
      <w:r w:rsidRPr="00FD00DA">
        <w:t xml:space="preserve">For </w:t>
      </w:r>
      <w:r>
        <w:t>light EVs</w:t>
      </w:r>
      <w:r w:rsidRPr="00FD00DA">
        <w:t xml:space="preserve"> </w:t>
      </w:r>
      <w:r>
        <w:t xml:space="preserve">the </w:t>
      </w:r>
      <w:r w:rsidRPr="00FD00DA">
        <w:t xml:space="preserve">price gap is </w:t>
      </w:r>
      <w:r>
        <w:t>around $22</w:t>
      </w:r>
      <w:r w:rsidRPr="00FD00DA">
        <w:t>,000</w:t>
      </w:r>
      <w:r>
        <w:t xml:space="preserve"> in 2010 meaning that the vehicles are around 2.5 times more expensive than an equivalent ICE</w:t>
      </w:r>
      <w:r w:rsidRPr="00FD00DA">
        <w:t xml:space="preserve">. </w:t>
      </w:r>
      <w:r>
        <w:t>Furthermore, global deployment is limited and in Australia only retrofitted EVs are available</w:t>
      </w:r>
      <w:r w:rsidRPr="00FD00DA">
        <w:t>. Therefore, we assume no improvement in this gap until mass production built for purpose vehicles are available. This is assumed to occur duri</w:t>
      </w:r>
      <w:r>
        <w:t>ng the next two decades. By 2030</w:t>
      </w:r>
      <w:r w:rsidRPr="00FD00DA">
        <w:t xml:space="preserve">, the price gap </w:t>
      </w:r>
      <w:r>
        <w:t>has halved and reaches around $4,000 by 2050.</w:t>
      </w:r>
    </w:p>
    <w:p w:rsidR="00300092" w:rsidRDefault="00300092" w:rsidP="00300092">
      <w:pPr>
        <w:pStyle w:val="BodyText"/>
      </w:pPr>
      <w:r>
        <w:t xml:space="preserve">For FCVs, the vehicle cost in 2010 is notional as no FCVs are currently available in Australia, and the estimate is based on a relative cost to an ICE reported in ANL (2009). Although the costs of FCVs decline over time, the rate of decline to 2030 is significantly less than that for </w:t>
      </w:r>
      <w:r>
        <w:lastRenderedPageBreak/>
        <w:t>EV/PHEVs. FCVs face greater technical hurdles than EV/PHEVs including a lack of fuel distribution and production infrastructure. Accordingly, the likelihood of FCVs emerging as a future low carbon option is less evident than that of EV/PHEVs (IEA, 2009).</w:t>
      </w:r>
    </w:p>
    <w:p w:rsidR="00300092" w:rsidRDefault="00300092" w:rsidP="00300092">
      <w:pPr>
        <w:rPr>
          <w:rFonts w:ascii="Arial" w:hAnsi="Arial"/>
          <w:bCs/>
          <w:sz w:val="18"/>
          <w:szCs w:val="18"/>
        </w:rPr>
      </w:pPr>
      <w:bookmarkStart w:id="189" w:name="_Ref304807081"/>
      <w:r>
        <w:br w:type="page"/>
      </w:r>
    </w:p>
    <w:p w:rsidR="00300092" w:rsidRPr="00024897" w:rsidRDefault="00300092" w:rsidP="00300092">
      <w:pPr>
        <w:pStyle w:val="Caption"/>
      </w:pPr>
      <w:bookmarkStart w:id="190" w:name="_Toc308443508"/>
      <w:bookmarkStart w:id="191" w:name="_Toc366227391"/>
      <w:r w:rsidRPr="00FD00DA">
        <w:lastRenderedPageBreak/>
        <w:t xml:space="preserve">Table </w:t>
      </w:r>
      <w:r w:rsidR="00FE0313">
        <w:t>A</w:t>
      </w:r>
      <w:r>
        <w:noBreakHyphen/>
      </w:r>
      <w:r w:rsidR="00C14EF7">
        <w:fldChar w:fldCharType="begin"/>
      </w:r>
      <w:r>
        <w:instrText xml:space="preserve"> SEQ Table \* ARABIC \s 1 </w:instrText>
      </w:r>
      <w:r w:rsidR="00C14EF7">
        <w:fldChar w:fldCharType="separate"/>
      </w:r>
      <w:r w:rsidR="003E0F65">
        <w:rPr>
          <w:noProof/>
        </w:rPr>
        <w:t>5</w:t>
      </w:r>
      <w:r w:rsidR="00C14EF7">
        <w:fldChar w:fldCharType="end"/>
      </w:r>
      <w:bookmarkEnd w:id="189"/>
      <w:r w:rsidRPr="00FD00DA">
        <w:t>: Assumed current and future representative vehicle costs, $</w:t>
      </w:r>
      <w:proofErr w:type="gramStart"/>
      <w:r>
        <w:t>,</w:t>
      </w:r>
      <w:r w:rsidRPr="00FD00DA">
        <w:t>000</w:t>
      </w:r>
      <w:bookmarkEnd w:id="190"/>
      <w:bookmarkEnd w:id="191"/>
      <w:proofErr w:type="gramEnd"/>
    </w:p>
    <w:tbl>
      <w:tblPr>
        <w:tblW w:w="0" w:type="auto"/>
        <w:tblBorders>
          <w:top w:val="single" w:sz="8" w:space="0" w:color="4F81BD"/>
          <w:left w:val="single" w:sz="8" w:space="0" w:color="4F81BD"/>
          <w:bottom w:val="single" w:sz="8" w:space="0" w:color="4F81BD"/>
          <w:right w:val="single" w:sz="8" w:space="0" w:color="4F81BD"/>
        </w:tblBorders>
        <w:tblLook w:val="00A0"/>
      </w:tblPr>
      <w:tblGrid>
        <w:gridCol w:w="821"/>
        <w:gridCol w:w="857"/>
        <w:gridCol w:w="962"/>
        <w:gridCol w:w="864"/>
        <w:gridCol w:w="849"/>
        <w:gridCol w:w="962"/>
        <w:gridCol w:w="855"/>
        <w:gridCol w:w="851"/>
        <w:gridCol w:w="850"/>
        <w:gridCol w:w="842"/>
      </w:tblGrid>
      <w:tr w:rsidR="00300092" w:rsidRPr="00F5510D" w:rsidTr="00300092">
        <w:tc>
          <w:tcPr>
            <w:tcW w:w="821" w:type="dxa"/>
            <w:tcBorders>
              <w:top w:val="single" w:sz="8" w:space="0" w:color="4F81BD"/>
            </w:tcBorders>
            <w:shd w:val="clear" w:color="auto" w:fill="4F81BD"/>
          </w:tcPr>
          <w:p w:rsidR="00300092" w:rsidRPr="007D4A8A" w:rsidRDefault="00300092" w:rsidP="00300092">
            <w:pPr>
              <w:pStyle w:val="BodyText20"/>
              <w:rPr>
                <w:rFonts w:ascii="Arial" w:hAnsi="Arial" w:cs="Arial"/>
                <w:b/>
                <w:bCs/>
                <w:color w:val="FFFFFF"/>
                <w:sz w:val="18"/>
                <w:szCs w:val="18"/>
              </w:rPr>
            </w:pPr>
          </w:p>
        </w:tc>
        <w:tc>
          <w:tcPr>
            <w:tcW w:w="2683" w:type="dxa"/>
            <w:gridSpan w:val="3"/>
            <w:tcBorders>
              <w:top w:val="single" w:sz="8" w:space="0" w:color="4F81BD"/>
              <w:left w:val="single" w:sz="8" w:space="0" w:color="4F81BD"/>
              <w:right w:val="single" w:sz="8" w:space="0" w:color="4F81BD"/>
            </w:tcBorders>
            <w:shd w:val="clear" w:color="auto" w:fill="4F81BD"/>
          </w:tcPr>
          <w:p w:rsidR="00300092" w:rsidRPr="007D4A8A" w:rsidRDefault="00300092" w:rsidP="00300092">
            <w:pPr>
              <w:pStyle w:val="BodyText20"/>
              <w:jc w:val="center"/>
              <w:rPr>
                <w:rFonts w:ascii="Arial" w:hAnsi="Arial" w:cs="Arial"/>
                <w:b/>
                <w:bCs/>
                <w:color w:val="FFFFFF"/>
                <w:sz w:val="18"/>
                <w:szCs w:val="18"/>
              </w:rPr>
            </w:pPr>
            <w:r w:rsidRPr="007D4A8A">
              <w:rPr>
                <w:rFonts w:ascii="Arial" w:hAnsi="Arial" w:cs="Arial"/>
                <w:bCs/>
                <w:color w:val="FFFFFF"/>
                <w:sz w:val="18"/>
                <w:szCs w:val="18"/>
              </w:rPr>
              <w:t>Passenger vehicles</w:t>
            </w:r>
          </w:p>
        </w:tc>
        <w:tc>
          <w:tcPr>
            <w:tcW w:w="2666" w:type="dxa"/>
            <w:gridSpan w:val="3"/>
            <w:tcBorders>
              <w:top w:val="single" w:sz="8" w:space="0" w:color="4F81BD"/>
            </w:tcBorders>
            <w:shd w:val="clear" w:color="auto" w:fill="4F81BD"/>
          </w:tcPr>
          <w:p w:rsidR="00300092" w:rsidRPr="007D4A8A" w:rsidRDefault="00300092" w:rsidP="00300092">
            <w:pPr>
              <w:pStyle w:val="BodyText20"/>
              <w:jc w:val="center"/>
              <w:rPr>
                <w:rFonts w:ascii="Arial" w:hAnsi="Arial" w:cs="Arial"/>
                <w:b/>
                <w:bCs/>
                <w:color w:val="FFFFFF"/>
                <w:sz w:val="18"/>
                <w:szCs w:val="18"/>
              </w:rPr>
            </w:pPr>
            <w:r w:rsidRPr="007D4A8A">
              <w:rPr>
                <w:rFonts w:ascii="Arial" w:hAnsi="Arial" w:cs="Arial"/>
                <w:bCs/>
                <w:color w:val="FFFFFF"/>
                <w:sz w:val="18"/>
                <w:szCs w:val="18"/>
              </w:rPr>
              <w:t>LCVs</w:t>
            </w:r>
          </w:p>
        </w:tc>
        <w:tc>
          <w:tcPr>
            <w:tcW w:w="1701" w:type="dxa"/>
            <w:gridSpan w:val="2"/>
            <w:tcBorders>
              <w:top w:val="single" w:sz="8" w:space="0" w:color="4F81BD"/>
              <w:left w:val="single" w:sz="8" w:space="0" w:color="4F81BD"/>
              <w:right w:val="single" w:sz="8" w:space="0" w:color="4F81BD"/>
            </w:tcBorders>
            <w:shd w:val="clear" w:color="auto" w:fill="4F81BD"/>
          </w:tcPr>
          <w:p w:rsidR="00300092" w:rsidRPr="007D4A8A" w:rsidRDefault="00300092" w:rsidP="00300092">
            <w:pPr>
              <w:pStyle w:val="BodyText20"/>
              <w:jc w:val="center"/>
              <w:rPr>
                <w:rFonts w:ascii="Arial" w:hAnsi="Arial" w:cs="Arial"/>
                <w:b/>
                <w:bCs/>
                <w:color w:val="FFFFFF"/>
                <w:sz w:val="18"/>
                <w:szCs w:val="18"/>
              </w:rPr>
            </w:pPr>
            <w:r w:rsidRPr="007D4A8A">
              <w:rPr>
                <w:rFonts w:ascii="Arial" w:hAnsi="Arial" w:cs="Arial"/>
                <w:bCs/>
                <w:color w:val="FFFFFF"/>
                <w:sz w:val="18"/>
                <w:szCs w:val="18"/>
              </w:rPr>
              <w:t>Trucks</w:t>
            </w:r>
          </w:p>
        </w:tc>
        <w:tc>
          <w:tcPr>
            <w:tcW w:w="842" w:type="dxa"/>
            <w:tcBorders>
              <w:top w:val="single" w:sz="8" w:space="0" w:color="4F81BD"/>
            </w:tcBorders>
            <w:shd w:val="clear" w:color="auto" w:fill="4F81BD"/>
          </w:tcPr>
          <w:p w:rsidR="00300092" w:rsidRPr="007D4A8A" w:rsidRDefault="00300092" w:rsidP="00300092">
            <w:pPr>
              <w:pStyle w:val="BodyText20"/>
              <w:rPr>
                <w:rFonts w:ascii="Arial" w:hAnsi="Arial" w:cs="Arial"/>
                <w:b/>
                <w:bCs/>
                <w:color w:val="FFFFFF"/>
                <w:sz w:val="18"/>
                <w:szCs w:val="18"/>
              </w:rPr>
            </w:pPr>
            <w:r w:rsidRPr="007D4A8A">
              <w:rPr>
                <w:rFonts w:ascii="Arial" w:hAnsi="Arial" w:cs="Arial"/>
                <w:bCs/>
                <w:color w:val="FFFFFF"/>
                <w:sz w:val="18"/>
                <w:szCs w:val="18"/>
              </w:rPr>
              <w:t>Bus</w:t>
            </w:r>
          </w:p>
        </w:tc>
      </w:tr>
      <w:tr w:rsidR="00300092" w:rsidRPr="00F5510D" w:rsidTr="00300092">
        <w:tc>
          <w:tcPr>
            <w:tcW w:w="821" w:type="dxa"/>
            <w:tcBorders>
              <w:top w:val="single" w:sz="8" w:space="0" w:color="4F81BD"/>
              <w:bottom w:val="single" w:sz="8" w:space="0" w:color="4F81BD"/>
            </w:tcBorders>
          </w:tcPr>
          <w:p w:rsidR="00300092" w:rsidRPr="007D4A8A" w:rsidRDefault="00300092" w:rsidP="00300092">
            <w:pPr>
              <w:pStyle w:val="BodyText20"/>
              <w:rPr>
                <w:rFonts w:ascii="Arial" w:hAnsi="Arial" w:cs="Arial"/>
                <w:b/>
                <w:bCs/>
                <w:sz w:val="18"/>
                <w:szCs w:val="18"/>
              </w:rPr>
            </w:pPr>
          </w:p>
        </w:tc>
        <w:tc>
          <w:tcPr>
            <w:tcW w:w="857"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20"/>
              <w:rPr>
                <w:rFonts w:ascii="Arial" w:hAnsi="Arial" w:cs="Arial"/>
                <w:b/>
                <w:sz w:val="18"/>
                <w:szCs w:val="18"/>
              </w:rPr>
            </w:pPr>
            <w:r w:rsidRPr="007D4A8A">
              <w:rPr>
                <w:rFonts w:ascii="Arial" w:hAnsi="Arial" w:cs="Arial"/>
                <w:b/>
                <w:sz w:val="18"/>
                <w:szCs w:val="18"/>
              </w:rPr>
              <w:t>Light</w:t>
            </w:r>
          </w:p>
        </w:tc>
        <w:tc>
          <w:tcPr>
            <w:tcW w:w="962" w:type="dxa"/>
            <w:tcBorders>
              <w:top w:val="single" w:sz="8" w:space="0" w:color="4F81BD"/>
              <w:bottom w:val="single" w:sz="8" w:space="0" w:color="4F81BD"/>
            </w:tcBorders>
          </w:tcPr>
          <w:p w:rsidR="00300092" w:rsidRPr="007D4A8A" w:rsidRDefault="00300092" w:rsidP="00300092">
            <w:pPr>
              <w:pStyle w:val="BodyText20"/>
              <w:rPr>
                <w:rFonts w:ascii="Arial" w:hAnsi="Arial" w:cs="Arial"/>
                <w:b/>
                <w:sz w:val="18"/>
                <w:szCs w:val="18"/>
              </w:rPr>
            </w:pPr>
            <w:r w:rsidRPr="007D4A8A">
              <w:rPr>
                <w:rFonts w:ascii="Arial" w:hAnsi="Arial" w:cs="Arial"/>
                <w:b/>
                <w:sz w:val="18"/>
                <w:szCs w:val="18"/>
              </w:rPr>
              <w:t>Medium</w:t>
            </w:r>
          </w:p>
        </w:tc>
        <w:tc>
          <w:tcPr>
            <w:tcW w:w="864"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20"/>
              <w:rPr>
                <w:rFonts w:ascii="Arial" w:hAnsi="Arial" w:cs="Arial"/>
                <w:b/>
                <w:sz w:val="18"/>
                <w:szCs w:val="18"/>
              </w:rPr>
            </w:pPr>
            <w:r w:rsidRPr="007D4A8A">
              <w:rPr>
                <w:rFonts w:ascii="Arial" w:hAnsi="Arial" w:cs="Arial"/>
                <w:b/>
                <w:sz w:val="18"/>
                <w:szCs w:val="18"/>
              </w:rPr>
              <w:t>Heavy</w:t>
            </w:r>
          </w:p>
        </w:tc>
        <w:tc>
          <w:tcPr>
            <w:tcW w:w="849" w:type="dxa"/>
            <w:tcBorders>
              <w:top w:val="single" w:sz="8" w:space="0" w:color="4F81BD"/>
              <w:bottom w:val="single" w:sz="8" w:space="0" w:color="4F81BD"/>
            </w:tcBorders>
          </w:tcPr>
          <w:p w:rsidR="00300092" w:rsidRPr="007D4A8A" w:rsidRDefault="00300092" w:rsidP="00300092">
            <w:pPr>
              <w:pStyle w:val="BodyText20"/>
              <w:rPr>
                <w:rFonts w:ascii="Arial" w:hAnsi="Arial" w:cs="Arial"/>
                <w:b/>
                <w:sz w:val="18"/>
                <w:szCs w:val="18"/>
              </w:rPr>
            </w:pPr>
            <w:r w:rsidRPr="007D4A8A">
              <w:rPr>
                <w:rFonts w:ascii="Arial" w:hAnsi="Arial" w:cs="Arial"/>
                <w:b/>
                <w:sz w:val="18"/>
                <w:szCs w:val="18"/>
              </w:rPr>
              <w:t>Light</w:t>
            </w:r>
          </w:p>
        </w:tc>
        <w:tc>
          <w:tcPr>
            <w:tcW w:w="962"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20"/>
              <w:rPr>
                <w:rFonts w:ascii="Arial" w:hAnsi="Arial" w:cs="Arial"/>
                <w:b/>
                <w:sz w:val="18"/>
                <w:szCs w:val="18"/>
              </w:rPr>
            </w:pPr>
            <w:r w:rsidRPr="007D4A8A">
              <w:rPr>
                <w:rFonts w:ascii="Arial" w:hAnsi="Arial" w:cs="Arial"/>
                <w:b/>
                <w:sz w:val="18"/>
                <w:szCs w:val="18"/>
              </w:rPr>
              <w:t>Medium</w:t>
            </w:r>
          </w:p>
        </w:tc>
        <w:tc>
          <w:tcPr>
            <w:tcW w:w="855" w:type="dxa"/>
            <w:tcBorders>
              <w:top w:val="single" w:sz="8" w:space="0" w:color="4F81BD"/>
              <w:bottom w:val="single" w:sz="8" w:space="0" w:color="4F81BD"/>
            </w:tcBorders>
          </w:tcPr>
          <w:p w:rsidR="00300092" w:rsidRPr="007D4A8A" w:rsidRDefault="00300092" w:rsidP="00300092">
            <w:pPr>
              <w:pStyle w:val="BodyText20"/>
              <w:rPr>
                <w:rFonts w:ascii="Arial" w:hAnsi="Arial" w:cs="Arial"/>
                <w:b/>
                <w:sz w:val="18"/>
                <w:szCs w:val="18"/>
              </w:rPr>
            </w:pPr>
            <w:r w:rsidRPr="007D4A8A">
              <w:rPr>
                <w:rFonts w:ascii="Arial" w:hAnsi="Arial" w:cs="Arial"/>
                <w:b/>
                <w:sz w:val="18"/>
                <w:szCs w:val="18"/>
              </w:rPr>
              <w:t>Heavy</w:t>
            </w:r>
          </w:p>
        </w:tc>
        <w:tc>
          <w:tcPr>
            <w:tcW w:w="851"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20"/>
              <w:rPr>
                <w:rFonts w:ascii="Arial" w:hAnsi="Arial" w:cs="Arial"/>
                <w:b/>
                <w:sz w:val="18"/>
                <w:szCs w:val="18"/>
              </w:rPr>
            </w:pPr>
            <w:r w:rsidRPr="007D4A8A">
              <w:rPr>
                <w:rFonts w:ascii="Arial" w:hAnsi="Arial" w:cs="Arial"/>
                <w:b/>
                <w:sz w:val="18"/>
                <w:szCs w:val="18"/>
              </w:rPr>
              <w:t>Rigid</w:t>
            </w:r>
          </w:p>
        </w:tc>
        <w:tc>
          <w:tcPr>
            <w:tcW w:w="850" w:type="dxa"/>
            <w:tcBorders>
              <w:top w:val="single" w:sz="8" w:space="0" w:color="4F81BD"/>
              <w:bottom w:val="single" w:sz="8" w:space="0" w:color="4F81BD"/>
            </w:tcBorders>
          </w:tcPr>
          <w:p w:rsidR="00300092" w:rsidRPr="007D4A8A" w:rsidRDefault="00300092" w:rsidP="00300092">
            <w:pPr>
              <w:pStyle w:val="BodyText20"/>
              <w:rPr>
                <w:rFonts w:ascii="Arial" w:hAnsi="Arial" w:cs="Arial"/>
                <w:b/>
                <w:sz w:val="18"/>
                <w:szCs w:val="18"/>
              </w:rPr>
            </w:pPr>
            <w:r w:rsidRPr="007D4A8A">
              <w:rPr>
                <w:rFonts w:ascii="Arial" w:hAnsi="Arial" w:cs="Arial"/>
                <w:b/>
                <w:sz w:val="18"/>
                <w:szCs w:val="18"/>
              </w:rPr>
              <w:t>Art’d</w:t>
            </w:r>
          </w:p>
        </w:tc>
        <w:tc>
          <w:tcPr>
            <w:tcW w:w="842" w:type="dxa"/>
            <w:tcBorders>
              <w:top w:val="single" w:sz="8" w:space="0" w:color="4F81BD"/>
              <w:left w:val="single" w:sz="8" w:space="0" w:color="4F81BD"/>
              <w:bottom w:val="single" w:sz="8" w:space="0" w:color="4F81BD"/>
            </w:tcBorders>
          </w:tcPr>
          <w:p w:rsidR="00300092" w:rsidRPr="007D4A8A" w:rsidRDefault="00300092" w:rsidP="00300092">
            <w:pPr>
              <w:pStyle w:val="BodyText20"/>
              <w:rPr>
                <w:rFonts w:ascii="Arial" w:hAnsi="Arial" w:cs="Arial"/>
                <w:b/>
                <w:sz w:val="18"/>
                <w:szCs w:val="18"/>
              </w:rPr>
            </w:pPr>
          </w:p>
        </w:tc>
      </w:tr>
      <w:tr w:rsidR="00300092" w:rsidRPr="0045645A" w:rsidTr="00300092">
        <w:tc>
          <w:tcPr>
            <w:tcW w:w="821" w:type="dxa"/>
          </w:tcPr>
          <w:p w:rsidR="00300092" w:rsidRPr="007D4A8A" w:rsidRDefault="00300092" w:rsidP="00300092">
            <w:pPr>
              <w:pStyle w:val="BodyText20"/>
              <w:rPr>
                <w:rFonts w:ascii="Arial" w:hAnsi="Arial" w:cs="Arial"/>
                <w:b/>
                <w:bCs/>
                <w:sz w:val="18"/>
                <w:szCs w:val="18"/>
              </w:rPr>
            </w:pPr>
          </w:p>
        </w:tc>
        <w:tc>
          <w:tcPr>
            <w:tcW w:w="7892" w:type="dxa"/>
            <w:gridSpan w:val="9"/>
            <w:tcBorders>
              <w:left w:val="single" w:sz="8" w:space="0" w:color="4F81BD"/>
            </w:tcBorders>
          </w:tcPr>
          <w:p w:rsidR="00300092" w:rsidRPr="007D4A8A" w:rsidRDefault="00300092" w:rsidP="00300092">
            <w:pPr>
              <w:pStyle w:val="BodyText20"/>
              <w:jc w:val="center"/>
              <w:rPr>
                <w:rFonts w:ascii="Arial" w:hAnsi="Arial" w:cs="Arial"/>
                <w:i/>
                <w:sz w:val="18"/>
                <w:szCs w:val="18"/>
              </w:rPr>
            </w:pPr>
            <w:r w:rsidRPr="007D4A8A">
              <w:rPr>
                <w:rFonts w:ascii="Arial" w:hAnsi="Arial" w:cs="Arial"/>
                <w:b/>
                <w:i/>
                <w:sz w:val="18"/>
                <w:szCs w:val="18"/>
              </w:rPr>
              <w:t>2010</w:t>
            </w:r>
          </w:p>
        </w:tc>
      </w:tr>
      <w:tr w:rsidR="00300092" w:rsidRPr="0045645A" w:rsidTr="00300092">
        <w:tc>
          <w:tcPr>
            <w:tcW w:w="821" w:type="dxa"/>
            <w:tcBorders>
              <w:top w:val="single" w:sz="8" w:space="0" w:color="4F81BD"/>
              <w:bottom w:val="single" w:sz="8" w:space="0" w:color="4F81BD"/>
            </w:tcBorders>
          </w:tcPr>
          <w:p w:rsidR="00300092" w:rsidRPr="007D4A8A" w:rsidRDefault="00300092" w:rsidP="00300092">
            <w:pPr>
              <w:pStyle w:val="BodyText20"/>
              <w:rPr>
                <w:rFonts w:ascii="Arial" w:hAnsi="Arial" w:cs="Arial"/>
                <w:b/>
                <w:bCs/>
                <w:sz w:val="18"/>
                <w:szCs w:val="18"/>
              </w:rPr>
            </w:pPr>
            <w:r w:rsidRPr="007D4A8A">
              <w:rPr>
                <w:rFonts w:ascii="Arial" w:hAnsi="Arial" w:cs="Arial"/>
                <w:bCs/>
                <w:sz w:val="18"/>
                <w:szCs w:val="18"/>
              </w:rPr>
              <w:t>ICE*</w:t>
            </w:r>
          </w:p>
        </w:tc>
        <w:tc>
          <w:tcPr>
            <w:tcW w:w="857"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14</w:t>
            </w:r>
          </w:p>
        </w:tc>
        <w:tc>
          <w:tcPr>
            <w:tcW w:w="962" w:type="dxa"/>
            <w:tcBorders>
              <w:top w:val="single" w:sz="8" w:space="0" w:color="4F81BD"/>
              <w:bottom w:val="single" w:sz="8" w:space="0" w:color="4F81BD"/>
            </w:tcBorders>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25</w:t>
            </w:r>
          </w:p>
        </w:tc>
        <w:tc>
          <w:tcPr>
            <w:tcW w:w="864"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41</w:t>
            </w:r>
          </w:p>
        </w:tc>
        <w:tc>
          <w:tcPr>
            <w:tcW w:w="849" w:type="dxa"/>
            <w:tcBorders>
              <w:top w:val="single" w:sz="8" w:space="0" w:color="4F81BD"/>
              <w:bottom w:val="single" w:sz="8" w:space="0" w:color="4F81BD"/>
            </w:tcBorders>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14</w:t>
            </w:r>
          </w:p>
        </w:tc>
        <w:tc>
          <w:tcPr>
            <w:tcW w:w="962"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25</w:t>
            </w:r>
          </w:p>
        </w:tc>
        <w:tc>
          <w:tcPr>
            <w:tcW w:w="855" w:type="dxa"/>
            <w:tcBorders>
              <w:top w:val="single" w:sz="8" w:space="0" w:color="4F81BD"/>
              <w:bottom w:val="single" w:sz="8" w:space="0" w:color="4F81BD"/>
            </w:tcBorders>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41</w:t>
            </w:r>
          </w:p>
        </w:tc>
        <w:tc>
          <w:tcPr>
            <w:tcW w:w="851"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61</w:t>
            </w:r>
          </w:p>
        </w:tc>
        <w:tc>
          <w:tcPr>
            <w:tcW w:w="850" w:type="dxa"/>
            <w:tcBorders>
              <w:top w:val="single" w:sz="8" w:space="0" w:color="4F81BD"/>
              <w:bottom w:val="single" w:sz="8" w:space="0" w:color="4F81BD"/>
            </w:tcBorders>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300</w:t>
            </w:r>
          </w:p>
        </w:tc>
        <w:tc>
          <w:tcPr>
            <w:tcW w:w="842" w:type="dxa"/>
            <w:tcBorders>
              <w:top w:val="single" w:sz="8" w:space="0" w:color="4F81BD"/>
              <w:left w:val="single" w:sz="8" w:space="0" w:color="4F81BD"/>
              <w:bottom w:val="single" w:sz="8" w:space="0" w:color="4F81BD"/>
            </w:tcBorders>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180</w:t>
            </w:r>
          </w:p>
        </w:tc>
      </w:tr>
      <w:tr w:rsidR="00300092" w:rsidRPr="0045645A" w:rsidTr="00300092">
        <w:tc>
          <w:tcPr>
            <w:tcW w:w="821" w:type="dxa"/>
          </w:tcPr>
          <w:p w:rsidR="00300092" w:rsidRPr="007D4A8A" w:rsidRDefault="00300092" w:rsidP="00300092">
            <w:pPr>
              <w:pStyle w:val="BodyText20"/>
              <w:rPr>
                <w:rFonts w:ascii="Arial" w:hAnsi="Arial" w:cs="Arial"/>
                <w:b/>
                <w:bCs/>
                <w:sz w:val="18"/>
                <w:szCs w:val="18"/>
              </w:rPr>
            </w:pPr>
            <w:r w:rsidRPr="007D4A8A">
              <w:rPr>
                <w:rFonts w:ascii="Arial" w:hAnsi="Arial" w:cs="Arial"/>
                <w:bCs/>
                <w:sz w:val="18"/>
                <w:szCs w:val="18"/>
              </w:rPr>
              <w:t>HYB</w:t>
            </w:r>
          </w:p>
        </w:tc>
        <w:tc>
          <w:tcPr>
            <w:tcW w:w="857" w:type="dxa"/>
            <w:tcBorders>
              <w:left w:val="single" w:sz="8" w:space="0" w:color="4F81BD"/>
              <w:right w:val="single" w:sz="8" w:space="0" w:color="4F81BD"/>
            </w:tcBorders>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N/A</w:t>
            </w:r>
          </w:p>
        </w:tc>
        <w:tc>
          <w:tcPr>
            <w:tcW w:w="962" w:type="dxa"/>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28</w:t>
            </w:r>
          </w:p>
        </w:tc>
        <w:tc>
          <w:tcPr>
            <w:tcW w:w="864" w:type="dxa"/>
            <w:tcBorders>
              <w:left w:val="single" w:sz="8" w:space="0" w:color="4F81BD"/>
              <w:right w:val="single" w:sz="8" w:space="0" w:color="4F81BD"/>
            </w:tcBorders>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44</w:t>
            </w:r>
          </w:p>
        </w:tc>
        <w:tc>
          <w:tcPr>
            <w:tcW w:w="849" w:type="dxa"/>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N/A</w:t>
            </w:r>
          </w:p>
        </w:tc>
        <w:tc>
          <w:tcPr>
            <w:tcW w:w="962" w:type="dxa"/>
            <w:tcBorders>
              <w:left w:val="single" w:sz="8" w:space="0" w:color="4F81BD"/>
              <w:right w:val="single" w:sz="8" w:space="0" w:color="4F81BD"/>
            </w:tcBorders>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28</w:t>
            </w:r>
          </w:p>
        </w:tc>
        <w:tc>
          <w:tcPr>
            <w:tcW w:w="855" w:type="dxa"/>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44</w:t>
            </w:r>
          </w:p>
        </w:tc>
        <w:tc>
          <w:tcPr>
            <w:tcW w:w="851" w:type="dxa"/>
            <w:tcBorders>
              <w:left w:val="single" w:sz="8" w:space="0" w:color="4F81BD"/>
              <w:right w:val="single" w:sz="8" w:space="0" w:color="4F81BD"/>
            </w:tcBorders>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100</w:t>
            </w:r>
          </w:p>
        </w:tc>
        <w:tc>
          <w:tcPr>
            <w:tcW w:w="850" w:type="dxa"/>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370</w:t>
            </w:r>
          </w:p>
        </w:tc>
        <w:tc>
          <w:tcPr>
            <w:tcW w:w="842" w:type="dxa"/>
            <w:tcBorders>
              <w:left w:val="single" w:sz="8" w:space="0" w:color="4F81BD"/>
            </w:tcBorders>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260</w:t>
            </w:r>
          </w:p>
        </w:tc>
      </w:tr>
      <w:tr w:rsidR="00300092" w:rsidRPr="0045645A" w:rsidTr="00300092">
        <w:tc>
          <w:tcPr>
            <w:tcW w:w="821" w:type="dxa"/>
            <w:tcBorders>
              <w:top w:val="single" w:sz="8" w:space="0" w:color="4F81BD"/>
              <w:bottom w:val="single" w:sz="8" w:space="0" w:color="4F81BD"/>
            </w:tcBorders>
          </w:tcPr>
          <w:p w:rsidR="00300092" w:rsidRPr="007D4A8A" w:rsidRDefault="00300092" w:rsidP="00300092">
            <w:pPr>
              <w:pStyle w:val="BodyText20"/>
              <w:rPr>
                <w:rFonts w:ascii="Arial" w:hAnsi="Arial" w:cs="Arial"/>
                <w:b/>
                <w:bCs/>
                <w:sz w:val="18"/>
                <w:szCs w:val="18"/>
              </w:rPr>
            </w:pPr>
            <w:r w:rsidRPr="007D4A8A">
              <w:rPr>
                <w:rFonts w:ascii="Arial" w:hAnsi="Arial" w:cs="Arial"/>
                <w:bCs/>
                <w:sz w:val="18"/>
                <w:szCs w:val="18"/>
              </w:rPr>
              <w:t>PHEV</w:t>
            </w:r>
          </w:p>
        </w:tc>
        <w:tc>
          <w:tcPr>
            <w:tcW w:w="857"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N/A</w:t>
            </w:r>
          </w:p>
        </w:tc>
        <w:tc>
          <w:tcPr>
            <w:tcW w:w="962" w:type="dxa"/>
            <w:tcBorders>
              <w:top w:val="single" w:sz="8" w:space="0" w:color="4F81BD"/>
              <w:bottom w:val="single" w:sz="8" w:space="0" w:color="4F81BD"/>
            </w:tcBorders>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39</w:t>
            </w:r>
          </w:p>
        </w:tc>
        <w:tc>
          <w:tcPr>
            <w:tcW w:w="864"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59</w:t>
            </w:r>
          </w:p>
        </w:tc>
        <w:tc>
          <w:tcPr>
            <w:tcW w:w="849" w:type="dxa"/>
            <w:tcBorders>
              <w:top w:val="single" w:sz="8" w:space="0" w:color="4F81BD"/>
              <w:bottom w:val="single" w:sz="8" w:space="0" w:color="4F81BD"/>
            </w:tcBorders>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N/A</w:t>
            </w:r>
          </w:p>
        </w:tc>
        <w:tc>
          <w:tcPr>
            <w:tcW w:w="962"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39</w:t>
            </w:r>
          </w:p>
        </w:tc>
        <w:tc>
          <w:tcPr>
            <w:tcW w:w="855" w:type="dxa"/>
            <w:tcBorders>
              <w:top w:val="single" w:sz="8" w:space="0" w:color="4F81BD"/>
              <w:bottom w:val="single" w:sz="8" w:space="0" w:color="4F81BD"/>
            </w:tcBorders>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59</w:t>
            </w:r>
          </w:p>
        </w:tc>
        <w:tc>
          <w:tcPr>
            <w:tcW w:w="851"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107</w:t>
            </w:r>
          </w:p>
        </w:tc>
        <w:tc>
          <w:tcPr>
            <w:tcW w:w="850" w:type="dxa"/>
            <w:tcBorders>
              <w:top w:val="single" w:sz="8" w:space="0" w:color="4F81BD"/>
              <w:bottom w:val="single" w:sz="8" w:space="0" w:color="4F81BD"/>
            </w:tcBorders>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N/A</w:t>
            </w:r>
          </w:p>
        </w:tc>
        <w:tc>
          <w:tcPr>
            <w:tcW w:w="842" w:type="dxa"/>
            <w:tcBorders>
              <w:top w:val="single" w:sz="8" w:space="0" w:color="4F81BD"/>
              <w:left w:val="single" w:sz="8" w:space="0" w:color="4F81BD"/>
              <w:bottom w:val="single" w:sz="8" w:space="0" w:color="4F81BD"/>
            </w:tcBorders>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271</w:t>
            </w:r>
          </w:p>
        </w:tc>
      </w:tr>
      <w:tr w:rsidR="00300092" w:rsidRPr="0045645A" w:rsidTr="00300092">
        <w:tc>
          <w:tcPr>
            <w:tcW w:w="821" w:type="dxa"/>
          </w:tcPr>
          <w:p w:rsidR="00300092" w:rsidRPr="007D4A8A" w:rsidRDefault="00300092" w:rsidP="00300092">
            <w:pPr>
              <w:pStyle w:val="BodyText20"/>
              <w:rPr>
                <w:rFonts w:ascii="Arial" w:hAnsi="Arial" w:cs="Arial"/>
                <w:b/>
                <w:bCs/>
                <w:sz w:val="18"/>
                <w:szCs w:val="18"/>
              </w:rPr>
            </w:pPr>
            <w:r w:rsidRPr="007D4A8A">
              <w:rPr>
                <w:rFonts w:ascii="Arial" w:hAnsi="Arial" w:cs="Arial"/>
                <w:bCs/>
                <w:sz w:val="18"/>
                <w:szCs w:val="18"/>
              </w:rPr>
              <w:t>EV</w:t>
            </w:r>
          </w:p>
        </w:tc>
        <w:tc>
          <w:tcPr>
            <w:tcW w:w="857" w:type="dxa"/>
            <w:tcBorders>
              <w:left w:val="single" w:sz="8" w:space="0" w:color="4F81BD"/>
              <w:right w:val="single" w:sz="8" w:space="0" w:color="4F81BD"/>
            </w:tcBorders>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36</w:t>
            </w:r>
          </w:p>
        </w:tc>
        <w:tc>
          <w:tcPr>
            <w:tcW w:w="962" w:type="dxa"/>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N/A</w:t>
            </w:r>
          </w:p>
        </w:tc>
        <w:tc>
          <w:tcPr>
            <w:tcW w:w="864" w:type="dxa"/>
            <w:tcBorders>
              <w:left w:val="single" w:sz="8" w:space="0" w:color="4F81BD"/>
              <w:right w:val="single" w:sz="8" w:space="0" w:color="4F81BD"/>
            </w:tcBorders>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N/A</w:t>
            </w:r>
          </w:p>
        </w:tc>
        <w:tc>
          <w:tcPr>
            <w:tcW w:w="849" w:type="dxa"/>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36</w:t>
            </w:r>
          </w:p>
        </w:tc>
        <w:tc>
          <w:tcPr>
            <w:tcW w:w="962" w:type="dxa"/>
            <w:tcBorders>
              <w:left w:val="single" w:sz="8" w:space="0" w:color="4F81BD"/>
              <w:right w:val="single" w:sz="8" w:space="0" w:color="4F81BD"/>
            </w:tcBorders>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N/A</w:t>
            </w:r>
          </w:p>
        </w:tc>
        <w:tc>
          <w:tcPr>
            <w:tcW w:w="855" w:type="dxa"/>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N/A</w:t>
            </w:r>
          </w:p>
        </w:tc>
        <w:tc>
          <w:tcPr>
            <w:tcW w:w="851" w:type="dxa"/>
            <w:tcBorders>
              <w:left w:val="single" w:sz="8" w:space="0" w:color="4F81BD"/>
              <w:right w:val="single" w:sz="8" w:space="0" w:color="4F81BD"/>
            </w:tcBorders>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121</w:t>
            </w:r>
          </w:p>
        </w:tc>
        <w:tc>
          <w:tcPr>
            <w:tcW w:w="850" w:type="dxa"/>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N/A</w:t>
            </w:r>
          </w:p>
        </w:tc>
        <w:tc>
          <w:tcPr>
            <w:tcW w:w="842" w:type="dxa"/>
            <w:tcBorders>
              <w:left w:val="single" w:sz="8" w:space="0" w:color="4F81BD"/>
            </w:tcBorders>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300</w:t>
            </w:r>
          </w:p>
        </w:tc>
      </w:tr>
      <w:tr w:rsidR="00300092" w:rsidRPr="0045645A" w:rsidTr="00300092">
        <w:tc>
          <w:tcPr>
            <w:tcW w:w="821" w:type="dxa"/>
            <w:tcBorders>
              <w:top w:val="single" w:sz="8" w:space="0" w:color="4F81BD"/>
              <w:bottom w:val="single" w:sz="8" w:space="0" w:color="4F81BD"/>
            </w:tcBorders>
          </w:tcPr>
          <w:p w:rsidR="00300092" w:rsidRPr="007D4A8A" w:rsidRDefault="00300092" w:rsidP="00300092">
            <w:pPr>
              <w:pStyle w:val="BodyText20"/>
              <w:rPr>
                <w:rFonts w:ascii="Arial" w:hAnsi="Arial" w:cs="Arial"/>
                <w:b/>
                <w:bCs/>
                <w:sz w:val="18"/>
                <w:szCs w:val="18"/>
              </w:rPr>
            </w:pPr>
            <w:r w:rsidRPr="007D4A8A">
              <w:rPr>
                <w:rFonts w:ascii="Arial" w:hAnsi="Arial" w:cs="Arial"/>
                <w:bCs/>
                <w:sz w:val="18"/>
                <w:szCs w:val="18"/>
              </w:rPr>
              <w:t>FCV</w:t>
            </w:r>
          </w:p>
        </w:tc>
        <w:tc>
          <w:tcPr>
            <w:tcW w:w="857"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51</w:t>
            </w:r>
          </w:p>
        </w:tc>
        <w:tc>
          <w:tcPr>
            <w:tcW w:w="962" w:type="dxa"/>
            <w:tcBorders>
              <w:top w:val="single" w:sz="8" w:space="0" w:color="4F81BD"/>
              <w:bottom w:val="single" w:sz="8" w:space="0" w:color="4F81BD"/>
            </w:tcBorders>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85</w:t>
            </w:r>
          </w:p>
        </w:tc>
        <w:tc>
          <w:tcPr>
            <w:tcW w:w="864"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140</w:t>
            </w:r>
          </w:p>
        </w:tc>
        <w:tc>
          <w:tcPr>
            <w:tcW w:w="849" w:type="dxa"/>
            <w:tcBorders>
              <w:top w:val="single" w:sz="8" w:space="0" w:color="4F81BD"/>
              <w:bottom w:val="single" w:sz="8" w:space="0" w:color="4F81BD"/>
            </w:tcBorders>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51</w:t>
            </w:r>
          </w:p>
        </w:tc>
        <w:tc>
          <w:tcPr>
            <w:tcW w:w="962"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85</w:t>
            </w:r>
          </w:p>
        </w:tc>
        <w:tc>
          <w:tcPr>
            <w:tcW w:w="855" w:type="dxa"/>
            <w:tcBorders>
              <w:top w:val="single" w:sz="8" w:space="0" w:color="4F81BD"/>
              <w:bottom w:val="single" w:sz="8" w:space="0" w:color="4F81BD"/>
            </w:tcBorders>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140</w:t>
            </w:r>
          </w:p>
        </w:tc>
        <w:tc>
          <w:tcPr>
            <w:tcW w:w="851"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209</w:t>
            </w:r>
          </w:p>
        </w:tc>
        <w:tc>
          <w:tcPr>
            <w:tcW w:w="850" w:type="dxa"/>
            <w:tcBorders>
              <w:top w:val="single" w:sz="8" w:space="0" w:color="4F81BD"/>
              <w:bottom w:val="single" w:sz="8" w:space="0" w:color="4F81BD"/>
            </w:tcBorders>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N/A</w:t>
            </w:r>
          </w:p>
        </w:tc>
        <w:tc>
          <w:tcPr>
            <w:tcW w:w="842" w:type="dxa"/>
            <w:tcBorders>
              <w:top w:val="single" w:sz="8" w:space="0" w:color="4F81BD"/>
              <w:left w:val="single" w:sz="8" w:space="0" w:color="4F81BD"/>
              <w:bottom w:val="single" w:sz="8" w:space="0" w:color="4F81BD"/>
            </w:tcBorders>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616</w:t>
            </w:r>
          </w:p>
        </w:tc>
      </w:tr>
      <w:tr w:rsidR="00300092" w:rsidRPr="0045645A" w:rsidTr="00300092">
        <w:tc>
          <w:tcPr>
            <w:tcW w:w="821" w:type="dxa"/>
          </w:tcPr>
          <w:p w:rsidR="00300092" w:rsidRPr="007D4A8A" w:rsidRDefault="00300092" w:rsidP="00300092">
            <w:pPr>
              <w:pStyle w:val="BodyText20"/>
              <w:rPr>
                <w:rFonts w:ascii="Arial" w:hAnsi="Arial" w:cs="Arial"/>
                <w:b/>
                <w:bCs/>
                <w:sz w:val="18"/>
                <w:szCs w:val="18"/>
              </w:rPr>
            </w:pPr>
          </w:p>
        </w:tc>
        <w:tc>
          <w:tcPr>
            <w:tcW w:w="7892" w:type="dxa"/>
            <w:gridSpan w:val="9"/>
            <w:tcBorders>
              <w:left w:val="single" w:sz="8" w:space="0" w:color="4F81BD"/>
            </w:tcBorders>
          </w:tcPr>
          <w:p w:rsidR="00300092" w:rsidRPr="007D4A8A" w:rsidRDefault="00300092" w:rsidP="00300092">
            <w:pPr>
              <w:pStyle w:val="BodyText20"/>
              <w:jc w:val="center"/>
              <w:rPr>
                <w:rFonts w:ascii="Arial" w:hAnsi="Arial" w:cs="Arial"/>
                <w:b/>
                <w:i/>
                <w:sz w:val="18"/>
                <w:szCs w:val="18"/>
              </w:rPr>
            </w:pPr>
            <w:r w:rsidRPr="007D4A8A">
              <w:rPr>
                <w:rFonts w:ascii="Arial" w:hAnsi="Arial" w:cs="Arial"/>
                <w:b/>
                <w:i/>
                <w:sz w:val="18"/>
                <w:szCs w:val="18"/>
              </w:rPr>
              <w:t>2030</w:t>
            </w:r>
          </w:p>
        </w:tc>
      </w:tr>
      <w:tr w:rsidR="00300092" w:rsidRPr="0045645A" w:rsidTr="00300092">
        <w:tc>
          <w:tcPr>
            <w:tcW w:w="821" w:type="dxa"/>
            <w:tcBorders>
              <w:top w:val="single" w:sz="8" w:space="0" w:color="4F81BD"/>
              <w:bottom w:val="single" w:sz="8" w:space="0" w:color="4F81BD"/>
            </w:tcBorders>
          </w:tcPr>
          <w:p w:rsidR="00300092" w:rsidRPr="007D4A8A" w:rsidRDefault="00300092" w:rsidP="00300092">
            <w:pPr>
              <w:pStyle w:val="BodyText20"/>
              <w:rPr>
                <w:rFonts w:ascii="Arial" w:hAnsi="Arial" w:cs="Arial"/>
                <w:b/>
                <w:bCs/>
                <w:sz w:val="18"/>
                <w:szCs w:val="18"/>
              </w:rPr>
            </w:pPr>
            <w:r w:rsidRPr="007D4A8A">
              <w:rPr>
                <w:rFonts w:ascii="Arial" w:hAnsi="Arial" w:cs="Arial"/>
                <w:bCs/>
                <w:sz w:val="18"/>
                <w:szCs w:val="18"/>
              </w:rPr>
              <w:t>ICE*</w:t>
            </w:r>
          </w:p>
        </w:tc>
        <w:tc>
          <w:tcPr>
            <w:tcW w:w="857"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14</w:t>
            </w:r>
          </w:p>
        </w:tc>
        <w:tc>
          <w:tcPr>
            <w:tcW w:w="962" w:type="dxa"/>
            <w:tcBorders>
              <w:top w:val="single" w:sz="8" w:space="0" w:color="4F81BD"/>
              <w:bottom w:val="single" w:sz="8" w:space="0" w:color="4F81BD"/>
            </w:tcBorders>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25</w:t>
            </w:r>
          </w:p>
        </w:tc>
        <w:tc>
          <w:tcPr>
            <w:tcW w:w="864"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41</w:t>
            </w:r>
          </w:p>
        </w:tc>
        <w:tc>
          <w:tcPr>
            <w:tcW w:w="849" w:type="dxa"/>
            <w:tcBorders>
              <w:top w:val="single" w:sz="8" w:space="0" w:color="4F81BD"/>
              <w:bottom w:val="single" w:sz="8" w:space="0" w:color="4F81BD"/>
            </w:tcBorders>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14</w:t>
            </w:r>
          </w:p>
        </w:tc>
        <w:tc>
          <w:tcPr>
            <w:tcW w:w="962"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25</w:t>
            </w:r>
          </w:p>
        </w:tc>
        <w:tc>
          <w:tcPr>
            <w:tcW w:w="855" w:type="dxa"/>
            <w:tcBorders>
              <w:top w:val="single" w:sz="8" w:space="0" w:color="4F81BD"/>
              <w:bottom w:val="single" w:sz="8" w:space="0" w:color="4F81BD"/>
            </w:tcBorders>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41</w:t>
            </w:r>
          </w:p>
        </w:tc>
        <w:tc>
          <w:tcPr>
            <w:tcW w:w="851"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61</w:t>
            </w:r>
          </w:p>
        </w:tc>
        <w:tc>
          <w:tcPr>
            <w:tcW w:w="850" w:type="dxa"/>
            <w:tcBorders>
              <w:top w:val="single" w:sz="8" w:space="0" w:color="4F81BD"/>
              <w:bottom w:val="single" w:sz="8" w:space="0" w:color="4F81BD"/>
            </w:tcBorders>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300</w:t>
            </w:r>
          </w:p>
        </w:tc>
        <w:tc>
          <w:tcPr>
            <w:tcW w:w="842" w:type="dxa"/>
            <w:tcBorders>
              <w:top w:val="single" w:sz="8" w:space="0" w:color="4F81BD"/>
              <w:left w:val="single" w:sz="8" w:space="0" w:color="4F81BD"/>
              <w:bottom w:val="single" w:sz="8" w:space="0" w:color="4F81BD"/>
            </w:tcBorders>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180</w:t>
            </w:r>
          </w:p>
        </w:tc>
      </w:tr>
      <w:tr w:rsidR="00300092" w:rsidRPr="0045645A" w:rsidTr="00300092">
        <w:tc>
          <w:tcPr>
            <w:tcW w:w="821" w:type="dxa"/>
          </w:tcPr>
          <w:p w:rsidR="00300092" w:rsidRPr="007D4A8A" w:rsidRDefault="00300092" w:rsidP="00300092">
            <w:pPr>
              <w:pStyle w:val="BodyText20"/>
              <w:rPr>
                <w:rFonts w:ascii="Arial" w:hAnsi="Arial" w:cs="Arial"/>
                <w:b/>
                <w:bCs/>
                <w:sz w:val="18"/>
                <w:szCs w:val="18"/>
              </w:rPr>
            </w:pPr>
            <w:r w:rsidRPr="007D4A8A">
              <w:rPr>
                <w:rFonts w:ascii="Arial" w:hAnsi="Arial" w:cs="Arial"/>
                <w:bCs/>
                <w:sz w:val="18"/>
                <w:szCs w:val="18"/>
              </w:rPr>
              <w:t>HYB</w:t>
            </w:r>
          </w:p>
        </w:tc>
        <w:tc>
          <w:tcPr>
            <w:tcW w:w="857" w:type="dxa"/>
            <w:tcBorders>
              <w:left w:val="single" w:sz="8" w:space="0" w:color="4F81BD"/>
              <w:right w:val="single" w:sz="8" w:space="0" w:color="4F81BD"/>
            </w:tcBorders>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N/A</w:t>
            </w:r>
          </w:p>
        </w:tc>
        <w:tc>
          <w:tcPr>
            <w:tcW w:w="962" w:type="dxa"/>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26</w:t>
            </w:r>
          </w:p>
        </w:tc>
        <w:tc>
          <w:tcPr>
            <w:tcW w:w="864" w:type="dxa"/>
            <w:tcBorders>
              <w:left w:val="single" w:sz="8" w:space="0" w:color="4F81BD"/>
              <w:right w:val="single" w:sz="8" w:space="0" w:color="4F81BD"/>
            </w:tcBorders>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42</w:t>
            </w:r>
          </w:p>
        </w:tc>
        <w:tc>
          <w:tcPr>
            <w:tcW w:w="849" w:type="dxa"/>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N/A</w:t>
            </w:r>
          </w:p>
        </w:tc>
        <w:tc>
          <w:tcPr>
            <w:tcW w:w="962" w:type="dxa"/>
            <w:tcBorders>
              <w:left w:val="single" w:sz="8" w:space="0" w:color="4F81BD"/>
              <w:right w:val="single" w:sz="8" w:space="0" w:color="4F81BD"/>
            </w:tcBorders>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26</w:t>
            </w:r>
          </w:p>
        </w:tc>
        <w:tc>
          <w:tcPr>
            <w:tcW w:w="855" w:type="dxa"/>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42</w:t>
            </w:r>
          </w:p>
        </w:tc>
        <w:tc>
          <w:tcPr>
            <w:tcW w:w="851" w:type="dxa"/>
            <w:tcBorders>
              <w:left w:val="single" w:sz="8" w:space="0" w:color="4F81BD"/>
              <w:right w:val="single" w:sz="8" w:space="0" w:color="4F81BD"/>
            </w:tcBorders>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63</w:t>
            </w:r>
          </w:p>
        </w:tc>
        <w:tc>
          <w:tcPr>
            <w:tcW w:w="850" w:type="dxa"/>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305</w:t>
            </w:r>
          </w:p>
        </w:tc>
        <w:tc>
          <w:tcPr>
            <w:tcW w:w="842" w:type="dxa"/>
            <w:tcBorders>
              <w:left w:val="single" w:sz="8" w:space="0" w:color="4F81BD"/>
            </w:tcBorders>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185</w:t>
            </w:r>
          </w:p>
        </w:tc>
      </w:tr>
      <w:tr w:rsidR="00300092" w:rsidRPr="0045645A" w:rsidTr="00300092">
        <w:tc>
          <w:tcPr>
            <w:tcW w:w="821" w:type="dxa"/>
            <w:tcBorders>
              <w:top w:val="single" w:sz="8" w:space="0" w:color="4F81BD"/>
              <w:bottom w:val="single" w:sz="8" w:space="0" w:color="4F81BD"/>
            </w:tcBorders>
          </w:tcPr>
          <w:p w:rsidR="00300092" w:rsidRPr="007D4A8A" w:rsidRDefault="00300092" w:rsidP="00300092">
            <w:pPr>
              <w:pStyle w:val="BodyText20"/>
              <w:rPr>
                <w:rFonts w:ascii="Arial" w:hAnsi="Arial" w:cs="Arial"/>
                <w:b/>
                <w:bCs/>
                <w:sz w:val="18"/>
                <w:szCs w:val="18"/>
              </w:rPr>
            </w:pPr>
            <w:r w:rsidRPr="007D4A8A">
              <w:rPr>
                <w:rFonts w:ascii="Arial" w:hAnsi="Arial" w:cs="Arial"/>
                <w:bCs/>
                <w:sz w:val="18"/>
                <w:szCs w:val="18"/>
              </w:rPr>
              <w:t>PHEV</w:t>
            </w:r>
          </w:p>
        </w:tc>
        <w:tc>
          <w:tcPr>
            <w:tcW w:w="857"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N/A</w:t>
            </w:r>
          </w:p>
        </w:tc>
        <w:tc>
          <w:tcPr>
            <w:tcW w:w="962" w:type="dxa"/>
            <w:tcBorders>
              <w:top w:val="single" w:sz="8" w:space="0" w:color="4F81BD"/>
              <w:bottom w:val="single" w:sz="8" w:space="0" w:color="4F81BD"/>
            </w:tcBorders>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27</w:t>
            </w:r>
          </w:p>
        </w:tc>
        <w:tc>
          <w:tcPr>
            <w:tcW w:w="864"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44</w:t>
            </w:r>
          </w:p>
        </w:tc>
        <w:tc>
          <w:tcPr>
            <w:tcW w:w="849" w:type="dxa"/>
            <w:tcBorders>
              <w:top w:val="single" w:sz="8" w:space="0" w:color="4F81BD"/>
              <w:bottom w:val="single" w:sz="8" w:space="0" w:color="4F81BD"/>
            </w:tcBorders>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N/A</w:t>
            </w:r>
          </w:p>
        </w:tc>
        <w:tc>
          <w:tcPr>
            <w:tcW w:w="962"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27</w:t>
            </w:r>
          </w:p>
        </w:tc>
        <w:tc>
          <w:tcPr>
            <w:tcW w:w="855" w:type="dxa"/>
            <w:tcBorders>
              <w:top w:val="single" w:sz="8" w:space="0" w:color="4F81BD"/>
              <w:bottom w:val="single" w:sz="8" w:space="0" w:color="4F81BD"/>
            </w:tcBorders>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44</w:t>
            </w:r>
          </w:p>
        </w:tc>
        <w:tc>
          <w:tcPr>
            <w:tcW w:w="851"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67</w:t>
            </w:r>
          </w:p>
        </w:tc>
        <w:tc>
          <w:tcPr>
            <w:tcW w:w="850" w:type="dxa"/>
            <w:tcBorders>
              <w:top w:val="single" w:sz="8" w:space="0" w:color="4F81BD"/>
              <w:bottom w:val="single" w:sz="8" w:space="0" w:color="4F81BD"/>
            </w:tcBorders>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N/A</w:t>
            </w:r>
          </w:p>
        </w:tc>
        <w:tc>
          <w:tcPr>
            <w:tcW w:w="842" w:type="dxa"/>
            <w:tcBorders>
              <w:top w:val="single" w:sz="8" w:space="0" w:color="4F81BD"/>
              <w:left w:val="single" w:sz="8" w:space="0" w:color="4F81BD"/>
              <w:bottom w:val="single" w:sz="8" w:space="0" w:color="4F81BD"/>
            </w:tcBorders>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193</w:t>
            </w:r>
          </w:p>
        </w:tc>
      </w:tr>
      <w:tr w:rsidR="00300092" w:rsidRPr="0045645A" w:rsidTr="00300092">
        <w:tc>
          <w:tcPr>
            <w:tcW w:w="821" w:type="dxa"/>
          </w:tcPr>
          <w:p w:rsidR="00300092" w:rsidRPr="007D4A8A" w:rsidRDefault="00300092" w:rsidP="00300092">
            <w:pPr>
              <w:pStyle w:val="BodyText20"/>
              <w:rPr>
                <w:rFonts w:ascii="Arial" w:hAnsi="Arial" w:cs="Arial"/>
                <w:b/>
                <w:bCs/>
                <w:sz w:val="18"/>
                <w:szCs w:val="18"/>
              </w:rPr>
            </w:pPr>
            <w:r w:rsidRPr="007D4A8A">
              <w:rPr>
                <w:rFonts w:ascii="Arial" w:hAnsi="Arial" w:cs="Arial"/>
                <w:bCs/>
                <w:sz w:val="18"/>
                <w:szCs w:val="18"/>
              </w:rPr>
              <w:t>EV</w:t>
            </w:r>
          </w:p>
        </w:tc>
        <w:tc>
          <w:tcPr>
            <w:tcW w:w="857" w:type="dxa"/>
            <w:tcBorders>
              <w:left w:val="single" w:sz="8" w:space="0" w:color="4F81BD"/>
              <w:right w:val="single" w:sz="8" w:space="0" w:color="4F81BD"/>
            </w:tcBorders>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20</w:t>
            </w:r>
          </w:p>
        </w:tc>
        <w:tc>
          <w:tcPr>
            <w:tcW w:w="962" w:type="dxa"/>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N/A</w:t>
            </w:r>
          </w:p>
        </w:tc>
        <w:tc>
          <w:tcPr>
            <w:tcW w:w="864" w:type="dxa"/>
            <w:tcBorders>
              <w:left w:val="single" w:sz="8" w:space="0" w:color="4F81BD"/>
              <w:right w:val="single" w:sz="8" w:space="0" w:color="4F81BD"/>
            </w:tcBorders>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N/A</w:t>
            </w:r>
          </w:p>
        </w:tc>
        <w:tc>
          <w:tcPr>
            <w:tcW w:w="849" w:type="dxa"/>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20</w:t>
            </w:r>
          </w:p>
        </w:tc>
        <w:tc>
          <w:tcPr>
            <w:tcW w:w="962" w:type="dxa"/>
            <w:tcBorders>
              <w:left w:val="single" w:sz="8" w:space="0" w:color="4F81BD"/>
              <w:right w:val="single" w:sz="8" w:space="0" w:color="4F81BD"/>
            </w:tcBorders>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N/A</w:t>
            </w:r>
          </w:p>
        </w:tc>
        <w:tc>
          <w:tcPr>
            <w:tcW w:w="855" w:type="dxa"/>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N/A</w:t>
            </w:r>
          </w:p>
        </w:tc>
        <w:tc>
          <w:tcPr>
            <w:tcW w:w="851" w:type="dxa"/>
            <w:tcBorders>
              <w:left w:val="single" w:sz="8" w:space="0" w:color="4F81BD"/>
              <w:right w:val="single" w:sz="8" w:space="0" w:color="4F81BD"/>
            </w:tcBorders>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77</w:t>
            </w:r>
          </w:p>
        </w:tc>
        <w:tc>
          <w:tcPr>
            <w:tcW w:w="850" w:type="dxa"/>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N/A</w:t>
            </w:r>
          </w:p>
        </w:tc>
        <w:tc>
          <w:tcPr>
            <w:tcW w:w="842" w:type="dxa"/>
            <w:tcBorders>
              <w:left w:val="single" w:sz="8" w:space="0" w:color="4F81BD"/>
            </w:tcBorders>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212</w:t>
            </w:r>
          </w:p>
        </w:tc>
      </w:tr>
      <w:tr w:rsidR="00300092" w:rsidRPr="0045645A" w:rsidTr="00300092">
        <w:tc>
          <w:tcPr>
            <w:tcW w:w="821" w:type="dxa"/>
            <w:tcBorders>
              <w:top w:val="single" w:sz="8" w:space="0" w:color="4F81BD"/>
              <w:bottom w:val="single" w:sz="8" w:space="0" w:color="4F81BD"/>
            </w:tcBorders>
          </w:tcPr>
          <w:p w:rsidR="00300092" w:rsidRPr="007D4A8A" w:rsidRDefault="00300092" w:rsidP="00300092">
            <w:pPr>
              <w:pStyle w:val="BodyText20"/>
              <w:rPr>
                <w:rFonts w:ascii="Arial" w:hAnsi="Arial" w:cs="Arial"/>
                <w:b/>
                <w:bCs/>
                <w:sz w:val="18"/>
                <w:szCs w:val="18"/>
              </w:rPr>
            </w:pPr>
            <w:r w:rsidRPr="007D4A8A">
              <w:rPr>
                <w:rFonts w:ascii="Arial" w:hAnsi="Arial" w:cs="Arial"/>
                <w:bCs/>
                <w:sz w:val="18"/>
                <w:szCs w:val="18"/>
              </w:rPr>
              <w:t>FCV</w:t>
            </w:r>
          </w:p>
        </w:tc>
        <w:tc>
          <w:tcPr>
            <w:tcW w:w="857"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30</w:t>
            </w:r>
          </w:p>
        </w:tc>
        <w:tc>
          <w:tcPr>
            <w:tcW w:w="962" w:type="dxa"/>
            <w:tcBorders>
              <w:top w:val="single" w:sz="8" w:space="0" w:color="4F81BD"/>
              <w:bottom w:val="single" w:sz="8" w:space="0" w:color="4F81BD"/>
            </w:tcBorders>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52</w:t>
            </w:r>
          </w:p>
        </w:tc>
        <w:tc>
          <w:tcPr>
            <w:tcW w:w="864"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84</w:t>
            </w:r>
          </w:p>
        </w:tc>
        <w:tc>
          <w:tcPr>
            <w:tcW w:w="849" w:type="dxa"/>
            <w:tcBorders>
              <w:top w:val="single" w:sz="8" w:space="0" w:color="4F81BD"/>
              <w:bottom w:val="single" w:sz="8" w:space="0" w:color="4F81BD"/>
            </w:tcBorders>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30</w:t>
            </w:r>
          </w:p>
        </w:tc>
        <w:tc>
          <w:tcPr>
            <w:tcW w:w="962"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52</w:t>
            </w:r>
          </w:p>
        </w:tc>
        <w:tc>
          <w:tcPr>
            <w:tcW w:w="855" w:type="dxa"/>
            <w:tcBorders>
              <w:top w:val="single" w:sz="8" w:space="0" w:color="4F81BD"/>
              <w:bottom w:val="single" w:sz="8" w:space="0" w:color="4F81BD"/>
            </w:tcBorders>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84</w:t>
            </w:r>
          </w:p>
        </w:tc>
        <w:tc>
          <w:tcPr>
            <w:tcW w:w="851"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124</w:t>
            </w:r>
          </w:p>
        </w:tc>
        <w:tc>
          <w:tcPr>
            <w:tcW w:w="850" w:type="dxa"/>
            <w:tcBorders>
              <w:top w:val="single" w:sz="8" w:space="0" w:color="4F81BD"/>
              <w:bottom w:val="single" w:sz="8" w:space="0" w:color="4F81BD"/>
            </w:tcBorders>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N/A</w:t>
            </w:r>
          </w:p>
        </w:tc>
        <w:tc>
          <w:tcPr>
            <w:tcW w:w="842" w:type="dxa"/>
            <w:tcBorders>
              <w:top w:val="single" w:sz="8" w:space="0" w:color="4F81BD"/>
              <w:left w:val="single" w:sz="8" w:space="0" w:color="4F81BD"/>
              <w:bottom w:val="single" w:sz="8" w:space="0" w:color="4F81BD"/>
            </w:tcBorders>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362</w:t>
            </w:r>
          </w:p>
        </w:tc>
      </w:tr>
      <w:tr w:rsidR="00300092" w:rsidRPr="0045645A" w:rsidTr="00300092">
        <w:tc>
          <w:tcPr>
            <w:tcW w:w="821" w:type="dxa"/>
          </w:tcPr>
          <w:p w:rsidR="00300092" w:rsidRPr="007D4A8A" w:rsidRDefault="00300092" w:rsidP="00300092">
            <w:pPr>
              <w:pStyle w:val="BodyText20"/>
              <w:rPr>
                <w:rFonts w:ascii="Arial" w:hAnsi="Arial" w:cs="Arial"/>
                <w:b/>
                <w:bCs/>
                <w:sz w:val="18"/>
                <w:szCs w:val="18"/>
              </w:rPr>
            </w:pPr>
          </w:p>
        </w:tc>
        <w:tc>
          <w:tcPr>
            <w:tcW w:w="7892" w:type="dxa"/>
            <w:gridSpan w:val="9"/>
            <w:tcBorders>
              <w:left w:val="single" w:sz="8" w:space="0" w:color="4F81BD"/>
            </w:tcBorders>
          </w:tcPr>
          <w:p w:rsidR="00300092" w:rsidRPr="007D4A8A" w:rsidRDefault="00300092" w:rsidP="00300092">
            <w:pPr>
              <w:pStyle w:val="BodyText20"/>
              <w:jc w:val="center"/>
              <w:rPr>
                <w:rFonts w:ascii="Arial" w:hAnsi="Arial" w:cs="Arial"/>
                <w:b/>
                <w:i/>
                <w:sz w:val="18"/>
                <w:szCs w:val="18"/>
              </w:rPr>
            </w:pPr>
            <w:r w:rsidRPr="007D4A8A">
              <w:rPr>
                <w:rFonts w:ascii="Arial" w:hAnsi="Arial" w:cs="Arial"/>
                <w:b/>
                <w:i/>
                <w:sz w:val="18"/>
                <w:szCs w:val="18"/>
              </w:rPr>
              <w:t>2050</w:t>
            </w:r>
          </w:p>
        </w:tc>
      </w:tr>
      <w:tr w:rsidR="00300092" w:rsidRPr="0045645A" w:rsidTr="00300092">
        <w:tc>
          <w:tcPr>
            <w:tcW w:w="821" w:type="dxa"/>
            <w:tcBorders>
              <w:top w:val="single" w:sz="8" w:space="0" w:color="4F81BD"/>
              <w:bottom w:val="single" w:sz="8" w:space="0" w:color="4F81BD"/>
            </w:tcBorders>
          </w:tcPr>
          <w:p w:rsidR="00300092" w:rsidRPr="007D4A8A" w:rsidRDefault="00300092" w:rsidP="00300092">
            <w:pPr>
              <w:pStyle w:val="BodyText20"/>
              <w:rPr>
                <w:rFonts w:ascii="Arial" w:hAnsi="Arial" w:cs="Arial"/>
                <w:b/>
                <w:bCs/>
                <w:sz w:val="18"/>
                <w:szCs w:val="18"/>
              </w:rPr>
            </w:pPr>
            <w:r w:rsidRPr="007D4A8A">
              <w:rPr>
                <w:rFonts w:ascii="Arial" w:hAnsi="Arial" w:cs="Arial"/>
                <w:bCs/>
                <w:sz w:val="18"/>
                <w:szCs w:val="18"/>
              </w:rPr>
              <w:t>ICE*</w:t>
            </w:r>
          </w:p>
        </w:tc>
        <w:tc>
          <w:tcPr>
            <w:tcW w:w="857"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14</w:t>
            </w:r>
          </w:p>
        </w:tc>
        <w:tc>
          <w:tcPr>
            <w:tcW w:w="962" w:type="dxa"/>
            <w:tcBorders>
              <w:top w:val="single" w:sz="8" w:space="0" w:color="4F81BD"/>
              <w:bottom w:val="single" w:sz="8" w:space="0" w:color="4F81BD"/>
            </w:tcBorders>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25</w:t>
            </w:r>
          </w:p>
        </w:tc>
        <w:tc>
          <w:tcPr>
            <w:tcW w:w="864"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41</w:t>
            </w:r>
          </w:p>
        </w:tc>
        <w:tc>
          <w:tcPr>
            <w:tcW w:w="849" w:type="dxa"/>
            <w:tcBorders>
              <w:top w:val="single" w:sz="8" w:space="0" w:color="4F81BD"/>
              <w:bottom w:val="single" w:sz="8" w:space="0" w:color="4F81BD"/>
            </w:tcBorders>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14</w:t>
            </w:r>
          </w:p>
        </w:tc>
        <w:tc>
          <w:tcPr>
            <w:tcW w:w="962"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25</w:t>
            </w:r>
          </w:p>
        </w:tc>
        <w:tc>
          <w:tcPr>
            <w:tcW w:w="855" w:type="dxa"/>
            <w:tcBorders>
              <w:top w:val="single" w:sz="8" w:space="0" w:color="4F81BD"/>
              <w:bottom w:val="single" w:sz="8" w:space="0" w:color="4F81BD"/>
            </w:tcBorders>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41</w:t>
            </w:r>
          </w:p>
        </w:tc>
        <w:tc>
          <w:tcPr>
            <w:tcW w:w="851"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61</w:t>
            </w:r>
          </w:p>
        </w:tc>
        <w:tc>
          <w:tcPr>
            <w:tcW w:w="850" w:type="dxa"/>
            <w:tcBorders>
              <w:top w:val="single" w:sz="8" w:space="0" w:color="4F81BD"/>
              <w:bottom w:val="single" w:sz="8" w:space="0" w:color="4F81BD"/>
            </w:tcBorders>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300</w:t>
            </w:r>
          </w:p>
        </w:tc>
        <w:tc>
          <w:tcPr>
            <w:tcW w:w="842" w:type="dxa"/>
            <w:tcBorders>
              <w:top w:val="single" w:sz="8" w:space="0" w:color="4F81BD"/>
              <w:left w:val="single" w:sz="8" w:space="0" w:color="4F81BD"/>
              <w:bottom w:val="single" w:sz="8" w:space="0" w:color="4F81BD"/>
            </w:tcBorders>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180</w:t>
            </w:r>
          </w:p>
        </w:tc>
      </w:tr>
      <w:tr w:rsidR="00300092" w:rsidRPr="0045645A" w:rsidTr="00300092">
        <w:tc>
          <w:tcPr>
            <w:tcW w:w="821" w:type="dxa"/>
          </w:tcPr>
          <w:p w:rsidR="00300092" w:rsidRPr="007D4A8A" w:rsidRDefault="00300092" w:rsidP="00300092">
            <w:pPr>
              <w:pStyle w:val="BodyText20"/>
              <w:rPr>
                <w:rFonts w:ascii="Arial" w:hAnsi="Arial" w:cs="Arial"/>
                <w:b/>
                <w:bCs/>
                <w:sz w:val="18"/>
                <w:szCs w:val="18"/>
              </w:rPr>
            </w:pPr>
            <w:r w:rsidRPr="007D4A8A">
              <w:rPr>
                <w:rFonts w:ascii="Arial" w:hAnsi="Arial" w:cs="Arial"/>
                <w:bCs/>
                <w:sz w:val="18"/>
                <w:szCs w:val="18"/>
              </w:rPr>
              <w:t>HYB</w:t>
            </w:r>
          </w:p>
        </w:tc>
        <w:tc>
          <w:tcPr>
            <w:tcW w:w="857" w:type="dxa"/>
            <w:tcBorders>
              <w:left w:val="single" w:sz="8" w:space="0" w:color="4F81BD"/>
              <w:right w:val="single" w:sz="8" w:space="0" w:color="4F81BD"/>
            </w:tcBorders>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N/A</w:t>
            </w:r>
          </w:p>
        </w:tc>
        <w:tc>
          <w:tcPr>
            <w:tcW w:w="962" w:type="dxa"/>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25</w:t>
            </w:r>
          </w:p>
        </w:tc>
        <w:tc>
          <w:tcPr>
            <w:tcW w:w="864" w:type="dxa"/>
            <w:tcBorders>
              <w:left w:val="single" w:sz="8" w:space="0" w:color="4F81BD"/>
              <w:right w:val="single" w:sz="8" w:space="0" w:color="4F81BD"/>
            </w:tcBorders>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41</w:t>
            </w:r>
          </w:p>
        </w:tc>
        <w:tc>
          <w:tcPr>
            <w:tcW w:w="849" w:type="dxa"/>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N/A</w:t>
            </w:r>
          </w:p>
        </w:tc>
        <w:tc>
          <w:tcPr>
            <w:tcW w:w="962" w:type="dxa"/>
            <w:tcBorders>
              <w:left w:val="single" w:sz="8" w:space="0" w:color="4F81BD"/>
              <w:right w:val="single" w:sz="8" w:space="0" w:color="4F81BD"/>
            </w:tcBorders>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N/A</w:t>
            </w:r>
          </w:p>
        </w:tc>
        <w:tc>
          <w:tcPr>
            <w:tcW w:w="855" w:type="dxa"/>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41</w:t>
            </w:r>
          </w:p>
        </w:tc>
        <w:tc>
          <w:tcPr>
            <w:tcW w:w="851" w:type="dxa"/>
            <w:tcBorders>
              <w:left w:val="single" w:sz="8" w:space="0" w:color="4F81BD"/>
              <w:right w:val="single" w:sz="8" w:space="0" w:color="4F81BD"/>
            </w:tcBorders>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61</w:t>
            </w:r>
          </w:p>
        </w:tc>
        <w:tc>
          <w:tcPr>
            <w:tcW w:w="850" w:type="dxa"/>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300</w:t>
            </w:r>
          </w:p>
        </w:tc>
        <w:tc>
          <w:tcPr>
            <w:tcW w:w="842" w:type="dxa"/>
            <w:tcBorders>
              <w:left w:val="single" w:sz="8" w:space="0" w:color="4F81BD"/>
            </w:tcBorders>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180</w:t>
            </w:r>
          </w:p>
        </w:tc>
      </w:tr>
      <w:tr w:rsidR="00300092" w:rsidRPr="0045645A" w:rsidTr="00300092">
        <w:tc>
          <w:tcPr>
            <w:tcW w:w="821" w:type="dxa"/>
            <w:tcBorders>
              <w:top w:val="single" w:sz="8" w:space="0" w:color="4F81BD"/>
              <w:bottom w:val="single" w:sz="8" w:space="0" w:color="4F81BD"/>
            </w:tcBorders>
          </w:tcPr>
          <w:p w:rsidR="00300092" w:rsidRPr="007D4A8A" w:rsidRDefault="00300092" w:rsidP="00300092">
            <w:pPr>
              <w:pStyle w:val="BodyText20"/>
              <w:rPr>
                <w:rFonts w:ascii="Arial" w:hAnsi="Arial" w:cs="Arial"/>
                <w:b/>
                <w:bCs/>
                <w:sz w:val="18"/>
                <w:szCs w:val="18"/>
              </w:rPr>
            </w:pPr>
            <w:r w:rsidRPr="007D4A8A">
              <w:rPr>
                <w:rFonts w:ascii="Arial" w:hAnsi="Arial" w:cs="Arial"/>
                <w:bCs/>
                <w:sz w:val="18"/>
                <w:szCs w:val="18"/>
              </w:rPr>
              <w:t>PHEV</w:t>
            </w:r>
          </w:p>
        </w:tc>
        <w:tc>
          <w:tcPr>
            <w:tcW w:w="857"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N/A</w:t>
            </w:r>
          </w:p>
        </w:tc>
        <w:tc>
          <w:tcPr>
            <w:tcW w:w="962" w:type="dxa"/>
            <w:tcBorders>
              <w:top w:val="single" w:sz="8" w:space="0" w:color="4F81BD"/>
              <w:bottom w:val="single" w:sz="8" w:space="0" w:color="4F81BD"/>
            </w:tcBorders>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26</w:t>
            </w:r>
          </w:p>
        </w:tc>
        <w:tc>
          <w:tcPr>
            <w:tcW w:w="864"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43</w:t>
            </w:r>
          </w:p>
        </w:tc>
        <w:tc>
          <w:tcPr>
            <w:tcW w:w="849" w:type="dxa"/>
            <w:tcBorders>
              <w:top w:val="single" w:sz="8" w:space="0" w:color="4F81BD"/>
              <w:bottom w:val="single" w:sz="8" w:space="0" w:color="4F81BD"/>
            </w:tcBorders>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N/A</w:t>
            </w:r>
          </w:p>
        </w:tc>
        <w:tc>
          <w:tcPr>
            <w:tcW w:w="962"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26</w:t>
            </w:r>
          </w:p>
        </w:tc>
        <w:tc>
          <w:tcPr>
            <w:tcW w:w="855" w:type="dxa"/>
            <w:tcBorders>
              <w:top w:val="single" w:sz="8" w:space="0" w:color="4F81BD"/>
              <w:bottom w:val="single" w:sz="8" w:space="0" w:color="4F81BD"/>
            </w:tcBorders>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43</w:t>
            </w:r>
          </w:p>
        </w:tc>
        <w:tc>
          <w:tcPr>
            <w:tcW w:w="851"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67</w:t>
            </w:r>
          </w:p>
        </w:tc>
        <w:tc>
          <w:tcPr>
            <w:tcW w:w="850" w:type="dxa"/>
            <w:tcBorders>
              <w:top w:val="single" w:sz="8" w:space="0" w:color="4F81BD"/>
              <w:bottom w:val="single" w:sz="8" w:space="0" w:color="4F81BD"/>
            </w:tcBorders>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N/A</w:t>
            </w:r>
          </w:p>
        </w:tc>
        <w:tc>
          <w:tcPr>
            <w:tcW w:w="842" w:type="dxa"/>
            <w:tcBorders>
              <w:top w:val="single" w:sz="8" w:space="0" w:color="4F81BD"/>
              <w:left w:val="single" w:sz="8" w:space="0" w:color="4F81BD"/>
              <w:bottom w:val="single" w:sz="8" w:space="0" w:color="4F81BD"/>
            </w:tcBorders>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192</w:t>
            </w:r>
          </w:p>
        </w:tc>
      </w:tr>
      <w:tr w:rsidR="00300092" w:rsidRPr="0045645A" w:rsidTr="00300092">
        <w:tc>
          <w:tcPr>
            <w:tcW w:w="821" w:type="dxa"/>
          </w:tcPr>
          <w:p w:rsidR="00300092" w:rsidRPr="007D4A8A" w:rsidRDefault="00300092" w:rsidP="00300092">
            <w:pPr>
              <w:pStyle w:val="BodyText20"/>
              <w:rPr>
                <w:rFonts w:ascii="Arial" w:hAnsi="Arial" w:cs="Arial"/>
                <w:b/>
                <w:bCs/>
                <w:sz w:val="18"/>
                <w:szCs w:val="18"/>
              </w:rPr>
            </w:pPr>
            <w:r w:rsidRPr="007D4A8A">
              <w:rPr>
                <w:rFonts w:ascii="Arial" w:hAnsi="Arial" w:cs="Arial"/>
                <w:bCs/>
                <w:sz w:val="18"/>
                <w:szCs w:val="18"/>
              </w:rPr>
              <w:t>EV</w:t>
            </w:r>
          </w:p>
        </w:tc>
        <w:tc>
          <w:tcPr>
            <w:tcW w:w="857" w:type="dxa"/>
            <w:tcBorders>
              <w:left w:val="single" w:sz="8" w:space="0" w:color="4F81BD"/>
              <w:right w:val="single" w:sz="8" w:space="0" w:color="4F81BD"/>
            </w:tcBorders>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18</w:t>
            </w:r>
          </w:p>
        </w:tc>
        <w:tc>
          <w:tcPr>
            <w:tcW w:w="962" w:type="dxa"/>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N/A</w:t>
            </w:r>
          </w:p>
        </w:tc>
        <w:tc>
          <w:tcPr>
            <w:tcW w:w="864" w:type="dxa"/>
            <w:tcBorders>
              <w:left w:val="single" w:sz="8" w:space="0" w:color="4F81BD"/>
              <w:right w:val="single" w:sz="8" w:space="0" w:color="4F81BD"/>
            </w:tcBorders>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N/A</w:t>
            </w:r>
          </w:p>
        </w:tc>
        <w:tc>
          <w:tcPr>
            <w:tcW w:w="849" w:type="dxa"/>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18</w:t>
            </w:r>
          </w:p>
        </w:tc>
        <w:tc>
          <w:tcPr>
            <w:tcW w:w="962" w:type="dxa"/>
            <w:tcBorders>
              <w:left w:val="single" w:sz="8" w:space="0" w:color="4F81BD"/>
              <w:right w:val="single" w:sz="8" w:space="0" w:color="4F81BD"/>
            </w:tcBorders>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N/A</w:t>
            </w:r>
          </w:p>
        </w:tc>
        <w:tc>
          <w:tcPr>
            <w:tcW w:w="855" w:type="dxa"/>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N/A</w:t>
            </w:r>
          </w:p>
        </w:tc>
        <w:tc>
          <w:tcPr>
            <w:tcW w:w="851" w:type="dxa"/>
            <w:tcBorders>
              <w:left w:val="single" w:sz="8" w:space="0" w:color="4F81BD"/>
              <w:right w:val="single" w:sz="8" w:space="0" w:color="4F81BD"/>
            </w:tcBorders>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73</w:t>
            </w:r>
          </w:p>
        </w:tc>
        <w:tc>
          <w:tcPr>
            <w:tcW w:w="850" w:type="dxa"/>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N/A</w:t>
            </w:r>
          </w:p>
        </w:tc>
        <w:tc>
          <w:tcPr>
            <w:tcW w:w="842" w:type="dxa"/>
            <w:tcBorders>
              <w:left w:val="single" w:sz="8" w:space="0" w:color="4F81BD"/>
            </w:tcBorders>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204</w:t>
            </w:r>
          </w:p>
        </w:tc>
      </w:tr>
      <w:tr w:rsidR="00300092" w:rsidRPr="0045645A" w:rsidTr="00300092">
        <w:tc>
          <w:tcPr>
            <w:tcW w:w="821" w:type="dxa"/>
            <w:tcBorders>
              <w:top w:val="single" w:sz="8" w:space="0" w:color="4F81BD"/>
              <w:bottom w:val="single" w:sz="8" w:space="0" w:color="4F81BD"/>
            </w:tcBorders>
          </w:tcPr>
          <w:p w:rsidR="00300092" w:rsidRPr="007D4A8A" w:rsidRDefault="00300092" w:rsidP="00300092">
            <w:pPr>
              <w:pStyle w:val="BodyText20"/>
              <w:rPr>
                <w:rFonts w:ascii="Arial" w:hAnsi="Arial" w:cs="Arial"/>
                <w:b/>
                <w:bCs/>
                <w:sz w:val="18"/>
                <w:szCs w:val="18"/>
              </w:rPr>
            </w:pPr>
            <w:r w:rsidRPr="007D4A8A">
              <w:rPr>
                <w:rFonts w:ascii="Arial" w:hAnsi="Arial" w:cs="Arial"/>
                <w:bCs/>
                <w:sz w:val="18"/>
                <w:szCs w:val="18"/>
              </w:rPr>
              <w:t>FCV</w:t>
            </w:r>
          </w:p>
        </w:tc>
        <w:tc>
          <w:tcPr>
            <w:tcW w:w="857"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22</w:t>
            </w:r>
          </w:p>
        </w:tc>
        <w:tc>
          <w:tcPr>
            <w:tcW w:w="962" w:type="dxa"/>
            <w:tcBorders>
              <w:top w:val="single" w:sz="8" w:space="0" w:color="4F81BD"/>
              <w:bottom w:val="single" w:sz="8" w:space="0" w:color="4F81BD"/>
            </w:tcBorders>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40</w:t>
            </w:r>
          </w:p>
        </w:tc>
        <w:tc>
          <w:tcPr>
            <w:tcW w:w="864"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50</w:t>
            </w:r>
          </w:p>
        </w:tc>
        <w:tc>
          <w:tcPr>
            <w:tcW w:w="849" w:type="dxa"/>
            <w:tcBorders>
              <w:top w:val="single" w:sz="8" w:space="0" w:color="4F81BD"/>
              <w:bottom w:val="single" w:sz="8" w:space="0" w:color="4F81BD"/>
            </w:tcBorders>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22</w:t>
            </w:r>
          </w:p>
        </w:tc>
        <w:tc>
          <w:tcPr>
            <w:tcW w:w="962"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40</w:t>
            </w:r>
          </w:p>
        </w:tc>
        <w:tc>
          <w:tcPr>
            <w:tcW w:w="855" w:type="dxa"/>
            <w:tcBorders>
              <w:top w:val="single" w:sz="8" w:space="0" w:color="4F81BD"/>
              <w:bottom w:val="single" w:sz="8" w:space="0" w:color="4F81BD"/>
            </w:tcBorders>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50</w:t>
            </w:r>
          </w:p>
        </w:tc>
        <w:tc>
          <w:tcPr>
            <w:tcW w:w="851"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98</w:t>
            </w:r>
          </w:p>
        </w:tc>
        <w:tc>
          <w:tcPr>
            <w:tcW w:w="850" w:type="dxa"/>
            <w:tcBorders>
              <w:top w:val="single" w:sz="8" w:space="0" w:color="4F81BD"/>
              <w:bottom w:val="single" w:sz="8" w:space="0" w:color="4F81BD"/>
            </w:tcBorders>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N/A</w:t>
            </w:r>
          </w:p>
        </w:tc>
        <w:tc>
          <w:tcPr>
            <w:tcW w:w="842" w:type="dxa"/>
            <w:tcBorders>
              <w:top w:val="single" w:sz="8" w:space="0" w:color="4F81BD"/>
              <w:left w:val="single" w:sz="8" w:space="0" w:color="4F81BD"/>
              <w:bottom w:val="single" w:sz="8" w:space="0" w:color="4F81BD"/>
            </w:tcBorders>
          </w:tcPr>
          <w:p w:rsidR="00300092" w:rsidRPr="007D4A8A" w:rsidRDefault="00300092" w:rsidP="00300092">
            <w:pPr>
              <w:pStyle w:val="BodyText20"/>
              <w:rPr>
                <w:rFonts w:ascii="Arial" w:hAnsi="Arial" w:cs="Arial"/>
                <w:sz w:val="18"/>
                <w:szCs w:val="18"/>
              </w:rPr>
            </w:pPr>
            <w:r w:rsidRPr="007D4A8A">
              <w:rPr>
                <w:rFonts w:ascii="Arial" w:hAnsi="Arial" w:cs="Arial"/>
                <w:sz w:val="18"/>
                <w:szCs w:val="18"/>
              </w:rPr>
              <w:t>288</w:t>
            </w:r>
          </w:p>
        </w:tc>
      </w:tr>
    </w:tbl>
    <w:p w:rsidR="00300092" w:rsidRDefault="00300092" w:rsidP="00300092">
      <w:pPr>
        <w:pStyle w:val="BodyText20"/>
        <w:rPr>
          <w:rFonts w:ascii="Arial" w:hAnsi="Arial" w:cs="Arial"/>
          <w:sz w:val="18"/>
          <w:szCs w:val="18"/>
        </w:rPr>
      </w:pPr>
      <w:r w:rsidRPr="00A64CBC">
        <w:rPr>
          <w:rFonts w:ascii="Arial" w:hAnsi="Arial" w:cs="Arial"/>
          <w:sz w:val="18"/>
          <w:szCs w:val="18"/>
        </w:rPr>
        <w:t>* The standard internal combustion engine (ICE) vehicle is considered to be a representative base vehicle for the category and weight class given.</w:t>
      </w:r>
    </w:p>
    <w:p w:rsidR="00300092" w:rsidRPr="008F415E" w:rsidRDefault="00300092" w:rsidP="00300092">
      <w:pPr>
        <w:rPr>
          <w:rFonts w:ascii="Arial" w:hAnsi="Arial" w:cs="Arial"/>
          <w:sz w:val="18"/>
          <w:szCs w:val="18"/>
        </w:rPr>
      </w:pPr>
      <w:r w:rsidRPr="008F415E">
        <w:rPr>
          <w:rFonts w:ascii="Arial" w:hAnsi="Arial" w:cs="Arial"/>
          <w:sz w:val="18"/>
          <w:szCs w:val="18"/>
        </w:rPr>
        <w:t>Sources: NRMA</w:t>
      </w:r>
      <w:r>
        <w:rPr>
          <w:rFonts w:ascii="Arial" w:hAnsi="Arial" w:cs="Arial"/>
          <w:sz w:val="18"/>
          <w:szCs w:val="18"/>
        </w:rPr>
        <w:t xml:space="preserve"> (2011)</w:t>
      </w:r>
      <w:r w:rsidRPr="008F415E">
        <w:rPr>
          <w:rFonts w:ascii="Arial" w:hAnsi="Arial" w:cs="Arial"/>
          <w:sz w:val="18"/>
          <w:szCs w:val="18"/>
        </w:rPr>
        <w:t>; IEA (2009); Electrification Coalition (2009); ANL (2009).</w:t>
      </w:r>
    </w:p>
    <w:p w:rsidR="00300092" w:rsidRDefault="00300092" w:rsidP="00E96318">
      <w:pPr>
        <w:pStyle w:val="AppendixHeading2"/>
      </w:pPr>
      <w:bookmarkStart w:id="192" w:name="_Toc308600734"/>
      <w:r>
        <w:lastRenderedPageBreak/>
        <w:t>Road fuel costs</w:t>
      </w:r>
      <w:bookmarkEnd w:id="192"/>
    </w:p>
    <w:p w:rsidR="00300092" w:rsidRDefault="00300092" w:rsidP="00300092">
      <w:pPr>
        <w:pStyle w:val="BodyText"/>
      </w:pPr>
      <w:r>
        <w:t>The oil and natural gas price</w:t>
      </w:r>
      <w:r w:rsidRPr="00FD00DA">
        <w:t xml:space="preserve"> </w:t>
      </w:r>
      <w:r>
        <w:t xml:space="preserve">assumed in each scenario determines the </w:t>
      </w:r>
      <w:r w:rsidRPr="00FD00DA">
        <w:t>change</w:t>
      </w:r>
      <w:r>
        <w:t>s</w:t>
      </w:r>
      <w:r w:rsidRPr="00FD00DA">
        <w:t xml:space="preserve"> in retail prices for the fossil fuel categories</w:t>
      </w:r>
      <w:r>
        <w:t xml:space="preserve"> (petrol, diesel, LPG) with some differences according to </w:t>
      </w:r>
      <w:r w:rsidRPr="00FD00DA">
        <w:t>relative energy content.</w:t>
      </w:r>
    </w:p>
    <w:p w:rsidR="00300092" w:rsidRPr="00C7567A" w:rsidRDefault="00300092" w:rsidP="00300092">
      <w:pPr>
        <w:pStyle w:val="BodyText"/>
      </w:pPr>
      <w:r>
        <w:t>The electricity price is also set externally by an electricity model which forms part of the modelling framework.</w:t>
      </w:r>
    </w:p>
    <w:p w:rsidR="00300092" w:rsidRDefault="00300092" w:rsidP="00E96318">
      <w:pPr>
        <w:pStyle w:val="AppendixHeading3"/>
      </w:pPr>
      <w:bookmarkStart w:id="193" w:name="_Toc308600735"/>
      <w:r>
        <w:t>Synthetic fuels</w:t>
      </w:r>
      <w:bookmarkEnd w:id="193"/>
    </w:p>
    <w:p w:rsidR="006F2A4C" w:rsidRDefault="00300092">
      <w:pPr>
        <w:rPr>
          <w:rFonts w:cs="Arial"/>
          <w:sz w:val="20"/>
          <w:szCs w:val="20"/>
        </w:rPr>
      </w:pPr>
      <w:r>
        <w:t xml:space="preserve">The IEA (2008) estimates the production cost of coal to liquids (CTL) and gas to liquids (GTL) liquid fuels in the range of $US60-110/bbl and $US40-110/bbl, respectively. Shale to oil (STL) production costs are assumed to lie within a similar range. </w:t>
      </w:r>
      <w:r w:rsidRPr="00FD00DA">
        <w:t>The cost of CO</w:t>
      </w:r>
      <w:r w:rsidRPr="00FD00DA">
        <w:rPr>
          <w:vertAlign w:val="subscript"/>
        </w:rPr>
        <w:t>2</w:t>
      </w:r>
      <w:r w:rsidRPr="00FD00DA">
        <w:t xml:space="preserve"> capture and storage for </w:t>
      </w:r>
      <w:r>
        <w:t>CTL</w:t>
      </w:r>
      <w:r w:rsidRPr="00FD00DA">
        <w:t xml:space="preserve"> </w:t>
      </w:r>
      <w:r>
        <w:t xml:space="preserve">and STL </w:t>
      </w:r>
      <w:r w:rsidRPr="00FD00DA">
        <w:t>diesel is assumed to be $20/tCO</w:t>
      </w:r>
      <w:r w:rsidRPr="00FD00DA">
        <w:rPr>
          <w:vertAlign w:val="subscript"/>
        </w:rPr>
        <w:t>2</w:t>
      </w:r>
      <w:r w:rsidRPr="00FD00DA">
        <w:t>e.</w:t>
      </w:r>
      <w:r>
        <w:t xml:space="preserve"> STL,</w:t>
      </w:r>
      <w:r w:rsidRPr="00FD00DA">
        <w:t xml:space="preserve"> </w:t>
      </w:r>
      <w:r>
        <w:t>CTL</w:t>
      </w:r>
      <w:r w:rsidRPr="00FD00DA">
        <w:t xml:space="preserve"> diesel and </w:t>
      </w:r>
      <w:r>
        <w:t>GTL</w:t>
      </w:r>
      <w:r w:rsidRPr="00FD00DA">
        <w:t xml:space="preserve"> diesel are assumed to be available only after 2020.</w:t>
      </w:r>
    </w:p>
    <w:p w:rsidR="00300092" w:rsidRDefault="00300092" w:rsidP="00E96318">
      <w:pPr>
        <w:pStyle w:val="AppendixHeading3"/>
      </w:pPr>
      <w:bookmarkStart w:id="194" w:name="_Toc308600736"/>
      <w:r>
        <w:t>First generation road biofuels</w:t>
      </w:r>
      <w:bookmarkEnd w:id="194"/>
    </w:p>
    <w:p w:rsidR="006F2A4C" w:rsidRDefault="00300092">
      <w:r>
        <w:t xml:space="preserve">For first generation </w:t>
      </w:r>
      <w:r w:rsidRPr="00FD00DA">
        <w:t xml:space="preserve">biofuels, biodiesel and ethanol, the cost </w:t>
      </w:r>
      <w:r>
        <w:t>is</w:t>
      </w:r>
      <w:r w:rsidRPr="00FD00DA">
        <w:t xml:space="preserve"> based on the volume of demand as per the cost-quantity curves in </w:t>
      </w:r>
      <w:fldSimple w:instr=" REF _Ref304807145 \h  \* MERGEFORMAT ">
        <w:r w:rsidR="003E0F65" w:rsidRPr="00FD00DA">
          <w:t xml:space="preserve">Figure </w:t>
        </w:r>
        <w:r w:rsidR="003E0F65">
          <w:rPr>
            <w:noProof/>
          </w:rPr>
          <w:t>A-2</w:t>
        </w:r>
      </w:fldSimple>
      <w:r>
        <w:t xml:space="preserve"> and </w:t>
      </w:r>
      <w:fldSimple w:instr=" REF _Ref304807113 \h  \* MERGEFORMAT ">
        <w:r w:rsidR="003E0F65" w:rsidRPr="00FD00DA">
          <w:t xml:space="preserve">Figure </w:t>
        </w:r>
        <w:r w:rsidR="003E0F65">
          <w:rPr>
            <w:noProof/>
          </w:rPr>
          <w:t>A-3</w:t>
        </w:r>
      </w:fldSimple>
      <w:r w:rsidRPr="00FD00DA">
        <w:t xml:space="preserve">. These curves are derived from O’Connell et al. (2007) and have been </w:t>
      </w:r>
      <w:r>
        <w:t xml:space="preserve">since </w:t>
      </w:r>
      <w:r w:rsidRPr="00FD00DA">
        <w:t>updated to take account of recent price movements. Due to competition with the food production industry, it is assumed that only 5 per</w:t>
      </w:r>
      <w:r>
        <w:t xml:space="preserve"> </w:t>
      </w:r>
      <w:r w:rsidRPr="00FD00DA">
        <w:t xml:space="preserve">cent of this volume is available </w:t>
      </w:r>
      <w:r>
        <w:t>over</w:t>
      </w:r>
      <w:r w:rsidRPr="00FD00DA">
        <w:t xml:space="preserve"> the next decade</w:t>
      </w:r>
      <w:r>
        <w:t xml:space="preserve"> for most food feedstocks</w:t>
      </w:r>
      <w:r w:rsidRPr="00FD00DA">
        <w:t xml:space="preserve">. The </w:t>
      </w:r>
      <w:r>
        <w:t>restriction to 5% availability</w:t>
      </w:r>
      <w:r w:rsidRPr="00FD00DA">
        <w:t xml:space="preserve"> </w:t>
      </w:r>
      <w:r>
        <w:t xml:space="preserve">excludes </w:t>
      </w:r>
      <w:r w:rsidRPr="00FD00DA">
        <w:t>used cooking oil and tallow not exported</w:t>
      </w:r>
      <w:r>
        <w:t>, all of which</w:t>
      </w:r>
      <w:r w:rsidRPr="00FD00DA">
        <w:t xml:space="preserve"> is assumed to be available for biodiesel.</w:t>
      </w:r>
    </w:p>
    <w:p w:rsidR="00300092" w:rsidRDefault="00C14EF7" w:rsidP="00300092">
      <w:pPr>
        <w:pStyle w:val="BodyText"/>
      </w:pPr>
      <w:r>
        <w:pict>
          <v:group id="_x0000_s1034" editas="canvas" style="width:450pt;height:270pt;mso-position-horizontal-relative:char;mso-position-vertical-relative:line" coordorigin="2204,704" coordsize="7200,4320">
            <o:lock v:ext="edit" aspectratio="t"/>
            <v:shape id="_x0000_s1035" type="#_x0000_t75" style="position:absolute;left:2204;top:704;width:7200;height:4320" o:preferrelative="f">
              <v:fill o:detectmouseclick="t"/>
              <v:path o:extrusionok="t" o:connecttype="none"/>
              <o:lock v:ext="edit" text="t"/>
            </v:shape>
            <v:shape id="_x0000_s1036" type="#_x0000_t202" style="position:absolute;left:2204;top:704;width:7200;height:4320" stroked="f">
              <v:textbox style="mso-next-textbox:#_x0000_s1036">
                <w:txbxContent>
                  <w:p w:rsidR="00957B8A" w:rsidRPr="007B118C" w:rsidRDefault="00957B8A" w:rsidP="00300092">
                    <w:r>
                      <w:rPr>
                        <w:noProof/>
                      </w:rPr>
                      <w:drawing>
                        <wp:inline distT="0" distB="0" distL="0" distR="0">
                          <wp:extent cx="5400675" cy="3209925"/>
                          <wp:effectExtent l="0" t="0" r="0" b="0"/>
                          <wp:docPr id="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5"/>
                                  <a:srcRect/>
                                  <a:stretch>
                                    <a:fillRect/>
                                  </a:stretch>
                                </pic:blipFill>
                                <pic:spPr bwMode="auto">
                                  <a:xfrm>
                                    <a:off x="0" y="0"/>
                                    <a:ext cx="5400675" cy="3209925"/>
                                  </a:xfrm>
                                  <a:prstGeom prst="rect">
                                    <a:avLst/>
                                  </a:prstGeom>
                                  <a:noFill/>
                                  <a:ln w="9525">
                                    <a:noFill/>
                                    <a:miter lim="800000"/>
                                    <a:headEnd/>
                                    <a:tailEnd/>
                                  </a:ln>
                                </pic:spPr>
                              </pic:pic>
                            </a:graphicData>
                          </a:graphic>
                        </wp:inline>
                      </w:drawing>
                    </w:r>
                  </w:p>
                </w:txbxContent>
              </v:textbox>
            </v:shape>
            <w10:wrap type="none"/>
            <w10:anchorlock/>
          </v:group>
        </w:pict>
      </w:r>
    </w:p>
    <w:p w:rsidR="00300092" w:rsidRDefault="00300092" w:rsidP="00300092">
      <w:pPr>
        <w:pStyle w:val="Caption"/>
      </w:pPr>
      <w:bookmarkStart w:id="195" w:name="_Ref304807145"/>
      <w:bookmarkStart w:id="196" w:name="_Toc308443477"/>
      <w:r w:rsidRPr="00FD00DA">
        <w:lastRenderedPageBreak/>
        <w:t xml:space="preserve">Figure </w:t>
      </w:r>
      <w:r w:rsidR="006B4FE4">
        <w:t>A-2</w:t>
      </w:r>
      <w:bookmarkEnd w:id="195"/>
      <w:r w:rsidRPr="00FD00DA">
        <w:t xml:space="preserve">: </w:t>
      </w:r>
      <w:r>
        <w:t>First generation biodiesel</w:t>
      </w:r>
      <w:r w:rsidRPr="00FD00DA">
        <w:t xml:space="preserve"> cost-quantity curve</w:t>
      </w:r>
      <w:bookmarkEnd w:id="196"/>
      <w:r w:rsidRPr="00FD00DA">
        <w:t xml:space="preserve"> </w:t>
      </w:r>
    </w:p>
    <w:p w:rsidR="00300092" w:rsidRDefault="00C14EF7" w:rsidP="00300092">
      <w:pPr>
        <w:pStyle w:val="BodyText"/>
      </w:pPr>
      <w:r>
        <w:pict>
          <v:group id="_x0000_s1032" editas="canvas" style="width:450pt;height:270pt;mso-position-horizontal-relative:char;mso-position-vertical-relative:line" coordorigin="2204,5302" coordsize="7200,4320">
            <o:lock v:ext="edit" aspectratio="t"/>
            <v:shape id="_x0000_s1033" type="#_x0000_t75" style="position:absolute;left:2204;top:5302;width:7200;height:4320" o:preferrelative="f">
              <v:fill o:detectmouseclick="t"/>
              <v:path o:extrusionok="t" o:connecttype="none"/>
              <o:lock v:ext="edit" text="t"/>
            </v:shape>
            <w10:wrap type="none"/>
            <w10:anchorlock/>
          </v:group>
        </w:pict>
      </w:r>
      <w:r>
        <w:rPr>
          <w:noProof/>
        </w:rPr>
        <w:pict>
          <v:shape id="_x0000_s1086" type="#_x0000_t202" style="position:absolute;margin-left:0;margin-top:8.95pt;width:450pt;height:270pt;z-index:251742208;mso-position-horizontal-relative:text;mso-position-vertical-relative:text" stroked="f">
            <v:textbox style="mso-next-textbox:#_x0000_s1086">
              <w:txbxContent>
                <w:p w:rsidR="00957B8A" w:rsidRPr="007B118C" w:rsidRDefault="00957B8A" w:rsidP="00300092">
                  <w:r>
                    <w:rPr>
                      <w:noProof/>
                    </w:rPr>
                    <w:drawing>
                      <wp:inline distT="0" distB="0" distL="0" distR="0">
                        <wp:extent cx="5400675" cy="3209925"/>
                        <wp:effectExtent l="0" t="0" r="0" b="0"/>
                        <wp:docPr id="13"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6"/>
                                <a:srcRect/>
                                <a:stretch>
                                  <a:fillRect/>
                                </a:stretch>
                              </pic:blipFill>
                              <pic:spPr bwMode="auto">
                                <a:xfrm>
                                  <a:off x="0" y="0"/>
                                  <a:ext cx="5400675" cy="3209925"/>
                                </a:xfrm>
                                <a:prstGeom prst="rect">
                                  <a:avLst/>
                                </a:prstGeom>
                                <a:noFill/>
                                <a:ln w="9525">
                                  <a:noFill/>
                                  <a:miter lim="800000"/>
                                  <a:headEnd/>
                                  <a:tailEnd/>
                                </a:ln>
                              </pic:spPr>
                            </pic:pic>
                          </a:graphicData>
                        </a:graphic>
                      </wp:inline>
                    </w:drawing>
                  </w:r>
                </w:p>
              </w:txbxContent>
            </v:textbox>
          </v:shape>
        </w:pict>
      </w:r>
    </w:p>
    <w:p w:rsidR="00300092" w:rsidRDefault="00300092" w:rsidP="00300092">
      <w:pPr>
        <w:pStyle w:val="Caption"/>
      </w:pPr>
      <w:bookmarkStart w:id="197" w:name="_Ref304807113"/>
      <w:bookmarkStart w:id="198" w:name="_Toc308443478"/>
      <w:r w:rsidRPr="00FD00DA">
        <w:t xml:space="preserve">Figure </w:t>
      </w:r>
      <w:r w:rsidR="006B4FE4">
        <w:t>A-3</w:t>
      </w:r>
      <w:bookmarkEnd w:id="197"/>
      <w:r w:rsidRPr="00FD00DA">
        <w:t xml:space="preserve">: </w:t>
      </w:r>
      <w:r>
        <w:t>First generation ethanol</w:t>
      </w:r>
      <w:r w:rsidRPr="00FD00DA">
        <w:t xml:space="preserve"> cost-quantity curve</w:t>
      </w:r>
      <w:bookmarkEnd w:id="198"/>
    </w:p>
    <w:p w:rsidR="00300092" w:rsidRDefault="00300092" w:rsidP="00E96318">
      <w:pPr>
        <w:pStyle w:val="AppendixHeading3"/>
      </w:pPr>
      <w:bookmarkStart w:id="199" w:name="_Toc308600737"/>
      <w:r>
        <w:t>Advanced generation road biofuels</w:t>
      </w:r>
      <w:bookmarkEnd w:id="199"/>
    </w:p>
    <w:p w:rsidR="00300092" w:rsidRDefault="00C14EF7" w:rsidP="00300092">
      <w:pPr>
        <w:pStyle w:val="BodyText"/>
      </w:pPr>
      <w:r>
        <w:fldChar w:fldCharType="begin"/>
      </w:r>
      <w:r w:rsidR="00300092">
        <w:instrText xml:space="preserve"> REF _Ref304807202 \h </w:instrText>
      </w:r>
      <w:r>
        <w:fldChar w:fldCharType="separate"/>
      </w:r>
      <w:r w:rsidR="003E0F65">
        <w:t>Figure A-4</w:t>
      </w:r>
      <w:r>
        <w:fldChar w:fldCharType="end"/>
      </w:r>
      <w:r w:rsidR="00300092">
        <w:t xml:space="preserve"> and </w:t>
      </w:r>
      <w:r>
        <w:fldChar w:fldCharType="begin"/>
      </w:r>
      <w:r w:rsidR="00300092">
        <w:instrText xml:space="preserve"> REF _Ref304807192 \h </w:instrText>
      </w:r>
      <w:r>
        <w:fldChar w:fldCharType="separate"/>
      </w:r>
      <w:r w:rsidR="003E0F65">
        <w:t>Figure A-5</w:t>
      </w:r>
      <w:r>
        <w:fldChar w:fldCharType="end"/>
      </w:r>
      <w:r w:rsidR="00300092">
        <w:t xml:space="preserve"> </w:t>
      </w:r>
      <w:proofErr w:type="gramStart"/>
      <w:r w:rsidR="00300092">
        <w:t>shows</w:t>
      </w:r>
      <w:proofErr w:type="gramEnd"/>
      <w:r w:rsidR="00300092">
        <w:t xml:space="preserve"> the cost curve as a function of biomass availability and component costs for the production of advanced generation road biofuels respectively. </w:t>
      </w:r>
      <w:bookmarkStart w:id="200" w:name="OLE_LINK1"/>
      <w:bookmarkStart w:id="201" w:name="OLE_LINK2"/>
      <w:r w:rsidR="00300092">
        <w:t xml:space="preserve">The charts use advanced generation biofuel supply data based on detailed feedstock assessment </w:t>
      </w:r>
      <w:bookmarkEnd w:id="200"/>
      <w:bookmarkEnd w:id="201"/>
      <w:r w:rsidR="00300092">
        <w:t>(Farine et al., 2011).</w:t>
      </w:r>
    </w:p>
    <w:p w:rsidR="00300092" w:rsidRDefault="00300092" w:rsidP="00300092">
      <w:pPr>
        <w:pStyle w:val="BodyText"/>
      </w:pPr>
      <w:r>
        <w:t>It should be noted that the timing of the availability of advanced generation biofuel is subject to considerable uncertainty.</w:t>
      </w:r>
    </w:p>
    <w:p w:rsidR="00300092" w:rsidRPr="00B636A9" w:rsidRDefault="00300092" w:rsidP="00300092">
      <w:pPr>
        <w:pStyle w:val="BodyText20"/>
      </w:pPr>
    </w:p>
    <w:p w:rsidR="00300092" w:rsidRDefault="00C14EF7" w:rsidP="00300092">
      <w:pPr>
        <w:pStyle w:val="BodyText"/>
      </w:pPr>
      <w:r>
        <w:pict>
          <v:group id="_x0000_s1029" editas="canvas" style="width:423.5pt;height:252pt;mso-position-horizontal-relative:char;mso-position-vertical-relative:line" coordorigin="2285,8535" coordsize="7150,4320">
            <o:lock v:ext="edit" aspectratio="t"/>
            <v:shape id="_x0000_s1030" type="#_x0000_t75" style="position:absolute;left:2285;top:8535;width:7150;height:4320" o:preferrelative="f">
              <v:fill o:detectmouseclick="t"/>
              <v:path o:extrusionok="t" o:connecttype="none"/>
              <o:lock v:ext="edit" text="t"/>
            </v:shape>
            <v:shape id="_x0000_s1031" type="#_x0000_t202" style="position:absolute;left:2285;top:8535;width:7150;height:4320" stroked="f">
              <v:textbox style="mso-next-textbox:#_x0000_s1031">
                <w:txbxContent>
                  <w:p w:rsidR="00957B8A" w:rsidRPr="00322E8B" w:rsidRDefault="00957B8A" w:rsidP="00300092">
                    <w:r>
                      <w:rPr>
                        <w:noProof/>
                      </w:rPr>
                      <w:drawing>
                        <wp:inline distT="0" distB="0" distL="0" distR="0">
                          <wp:extent cx="5048250" cy="3019425"/>
                          <wp:effectExtent l="0" t="0" r="0" b="0"/>
                          <wp:docPr id="14"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7"/>
                                  <a:srcRect/>
                                  <a:stretch>
                                    <a:fillRect/>
                                  </a:stretch>
                                </pic:blipFill>
                                <pic:spPr bwMode="auto">
                                  <a:xfrm>
                                    <a:off x="0" y="0"/>
                                    <a:ext cx="5048250" cy="3019425"/>
                                  </a:xfrm>
                                  <a:prstGeom prst="rect">
                                    <a:avLst/>
                                  </a:prstGeom>
                                  <a:noFill/>
                                  <a:ln w="9525">
                                    <a:noFill/>
                                    <a:miter lim="800000"/>
                                    <a:headEnd/>
                                    <a:tailEnd/>
                                  </a:ln>
                                </pic:spPr>
                              </pic:pic>
                            </a:graphicData>
                          </a:graphic>
                        </wp:inline>
                      </w:drawing>
                    </w:r>
                  </w:p>
                </w:txbxContent>
              </v:textbox>
            </v:shape>
            <w10:wrap type="none"/>
            <w10:anchorlock/>
          </v:group>
        </w:pict>
      </w:r>
    </w:p>
    <w:p w:rsidR="00300092" w:rsidRDefault="00300092" w:rsidP="00300092">
      <w:pPr>
        <w:pStyle w:val="Caption"/>
      </w:pPr>
      <w:bookmarkStart w:id="202" w:name="_Ref304807202"/>
      <w:bookmarkStart w:id="203" w:name="_Toc308443479"/>
      <w:r>
        <w:t xml:space="preserve">Figure </w:t>
      </w:r>
      <w:r w:rsidR="006B4FE4">
        <w:t>A-4</w:t>
      </w:r>
      <w:bookmarkEnd w:id="202"/>
      <w:r>
        <w:t>: Cost curve for advanced generation road biofuels</w:t>
      </w:r>
      <w:bookmarkEnd w:id="203"/>
    </w:p>
    <w:p w:rsidR="00300092" w:rsidRPr="00CB23BF" w:rsidRDefault="00C14EF7" w:rsidP="00300092">
      <w:pPr>
        <w:pStyle w:val="BodyText"/>
      </w:pPr>
      <w:r>
        <w:pict>
          <v:group id="_x0000_s1026" editas="canvas" style="width:423.5pt;height:252pt;mso-position-horizontal-relative:char;mso-position-vertical-relative:line" coordorigin="2378,903" coordsize="7150,4320">
            <o:lock v:ext="edit" aspectratio="t"/>
            <v:shape id="_x0000_s1027" type="#_x0000_t75" style="position:absolute;left:2378;top:903;width:7150;height:4320" o:preferrelative="f">
              <v:fill o:detectmouseclick="t"/>
              <v:path o:extrusionok="t" o:connecttype="none"/>
              <o:lock v:ext="edit" text="t"/>
            </v:shape>
            <v:shape id="_x0000_s1028" type="#_x0000_t202" style="position:absolute;left:2378;top:903;width:7150;height:4320" stroked="f">
              <v:textbox style="mso-next-textbox:#_x0000_s1028">
                <w:txbxContent>
                  <w:p w:rsidR="00957B8A" w:rsidRPr="009267BF" w:rsidRDefault="00957B8A" w:rsidP="00300092">
                    <w:r>
                      <w:rPr>
                        <w:noProof/>
                      </w:rPr>
                      <w:drawing>
                        <wp:inline distT="0" distB="0" distL="0" distR="0">
                          <wp:extent cx="5105400" cy="3019425"/>
                          <wp:effectExtent l="0" t="0" r="0" b="0"/>
                          <wp:docPr id="64"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8"/>
                                  <a:srcRect/>
                                  <a:stretch>
                                    <a:fillRect/>
                                  </a:stretch>
                                </pic:blipFill>
                                <pic:spPr bwMode="auto">
                                  <a:xfrm>
                                    <a:off x="0" y="0"/>
                                    <a:ext cx="5105400" cy="3019425"/>
                                  </a:xfrm>
                                  <a:prstGeom prst="rect">
                                    <a:avLst/>
                                  </a:prstGeom>
                                  <a:noFill/>
                                  <a:ln w="9525">
                                    <a:noFill/>
                                    <a:miter lim="800000"/>
                                    <a:headEnd/>
                                    <a:tailEnd/>
                                  </a:ln>
                                </pic:spPr>
                              </pic:pic>
                            </a:graphicData>
                          </a:graphic>
                        </wp:inline>
                      </w:drawing>
                    </w:r>
                  </w:p>
                </w:txbxContent>
              </v:textbox>
            </v:shape>
            <w10:wrap type="none"/>
            <w10:anchorlock/>
          </v:group>
        </w:pict>
      </w:r>
    </w:p>
    <w:p w:rsidR="00300092" w:rsidRDefault="00300092" w:rsidP="00300092">
      <w:pPr>
        <w:pStyle w:val="Caption"/>
      </w:pPr>
      <w:bookmarkStart w:id="204" w:name="_Ref304807192"/>
      <w:bookmarkStart w:id="205" w:name="_Toc308443480"/>
      <w:r>
        <w:t xml:space="preserve">Figure </w:t>
      </w:r>
      <w:r w:rsidR="006B4FE4">
        <w:t>A-5</w:t>
      </w:r>
      <w:bookmarkEnd w:id="204"/>
      <w:r>
        <w:t>: Component costs for advanced generation production of ethanol and biodiesel</w:t>
      </w:r>
      <w:bookmarkEnd w:id="205"/>
    </w:p>
    <w:p w:rsidR="00300092" w:rsidRDefault="00300092" w:rsidP="00E96318">
      <w:pPr>
        <w:pStyle w:val="AppendixHeading2"/>
      </w:pPr>
      <w:bookmarkStart w:id="206" w:name="_Toc308600738"/>
      <w:r>
        <w:t>Road fuel efficiency</w:t>
      </w:r>
      <w:bookmarkEnd w:id="206"/>
    </w:p>
    <w:p w:rsidR="00300092" w:rsidRDefault="00300092" w:rsidP="00300092">
      <w:pPr>
        <w:pStyle w:val="BodyText"/>
      </w:pPr>
      <w:r w:rsidRPr="00FD00DA">
        <w:t xml:space="preserve">The efficiencies of fuels not currently in use and therefore not reported in ABS (2007) were calculated based on the relative energy content which is </w:t>
      </w:r>
      <w:r>
        <w:t xml:space="preserve">shown in </w:t>
      </w:r>
      <w:r w:rsidR="00C14EF7">
        <w:fldChar w:fldCharType="begin"/>
      </w:r>
      <w:r>
        <w:instrText xml:space="preserve"> REF _Ref304807242 \h </w:instrText>
      </w:r>
      <w:r w:rsidR="00C14EF7">
        <w:fldChar w:fldCharType="separate"/>
      </w:r>
      <w:r w:rsidR="003E0F65">
        <w:t>Table A</w:t>
      </w:r>
      <w:r w:rsidR="003E0F65">
        <w:noBreakHyphen/>
      </w:r>
      <w:r w:rsidR="003E0F65">
        <w:rPr>
          <w:noProof/>
        </w:rPr>
        <w:t>6</w:t>
      </w:r>
      <w:r w:rsidR="00C14EF7">
        <w:fldChar w:fldCharType="end"/>
      </w:r>
      <w:r>
        <w:t xml:space="preserve">. In some cases there </w:t>
      </w:r>
      <w:r w:rsidRPr="00FD00DA">
        <w:t>is considerable uncertainty since energy content can vary</w:t>
      </w:r>
      <w:r w:rsidRPr="00036525">
        <w:t xml:space="preserve"> </w:t>
      </w:r>
      <w:r w:rsidRPr="00FD00DA">
        <w:t xml:space="preserve">due to different feedstocks, particularly for biofuels. </w:t>
      </w:r>
    </w:p>
    <w:p w:rsidR="00300092" w:rsidRPr="00995CC6" w:rsidRDefault="00300092" w:rsidP="00300092">
      <w:pPr>
        <w:pStyle w:val="Caption"/>
      </w:pPr>
      <w:r>
        <w:br w:type="page"/>
      </w:r>
      <w:bookmarkStart w:id="207" w:name="_Ref304807242"/>
      <w:bookmarkStart w:id="208" w:name="_Toc308443509"/>
      <w:bookmarkStart w:id="209" w:name="_Toc366227392"/>
      <w:r>
        <w:lastRenderedPageBreak/>
        <w:t xml:space="preserve">Table </w:t>
      </w:r>
      <w:r w:rsidR="006B4FE4">
        <w:t>A</w:t>
      </w:r>
      <w:r>
        <w:noBreakHyphen/>
      </w:r>
      <w:r w:rsidR="00C14EF7">
        <w:fldChar w:fldCharType="begin"/>
      </w:r>
      <w:r>
        <w:instrText xml:space="preserve"> SEQ Table \* ARABIC \s 1 </w:instrText>
      </w:r>
      <w:r w:rsidR="00C14EF7">
        <w:fldChar w:fldCharType="separate"/>
      </w:r>
      <w:r w:rsidR="003E0F65">
        <w:rPr>
          <w:noProof/>
        </w:rPr>
        <w:t>6</w:t>
      </w:r>
      <w:r w:rsidR="00C14EF7">
        <w:fldChar w:fldCharType="end"/>
      </w:r>
      <w:bookmarkEnd w:id="207"/>
      <w:r>
        <w:t>: Properties of selected fuels (/L, or /m</w:t>
      </w:r>
      <w:r w:rsidRPr="00995CC6">
        <w:rPr>
          <w:vertAlign w:val="superscript"/>
        </w:rPr>
        <w:t>3</w:t>
      </w:r>
      <w:r>
        <w:t xml:space="preserve"> for CNG and H</w:t>
      </w:r>
      <w:r w:rsidRPr="00995CC6">
        <w:rPr>
          <w:vertAlign w:val="subscript"/>
        </w:rPr>
        <w:t>2</w:t>
      </w:r>
      <w:r>
        <w:t>)</w:t>
      </w:r>
      <w:bookmarkEnd w:id="208"/>
      <w:bookmarkEnd w:id="209"/>
    </w:p>
    <w:tbl>
      <w:tblPr>
        <w:tblW w:w="0" w:type="auto"/>
        <w:tblBorders>
          <w:top w:val="single" w:sz="8" w:space="0" w:color="4F81BD"/>
          <w:left w:val="single" w:sz="8" w:space="0" w:color="4F81BD"/>
          <w:bottom w:val="single" w:sz="8" w:space="0" w:color="4F81BD"/>
          <w:right w:val="single" w:sz="8" w:space="0" w:color="4F81BD"/>
        </w:tblBorders>
        <w:tblLook w:val="00A0"/>
      </w:tblPr>
      <w:tblGrid>
        <w:gridCol w:w="2178"/>
        <w:gridCol w:w="2178"/>
        <w:gridCol w:w="2178"/>
        <w:gridCol w:w="2179"/>
      </w:tblGrid>
      <w:tr w:rsidR="00300092" w:rsidRPr="0063038B" w:rsidTr="00300092">
        <w:tc>
          <w:tcPr>
            <w:tcW w:w="2178" w:type="dxa"/>
            <w:tcBorders>
              <w:top w:val="single" w:sz="8" w:space="0" w:color="4F81BD"/>
            </w:tcBorders>
            <w:shd w:val="clear" w:color="auto" w:fill="4F81BD"/>
          </w:tcPr>
          <w:p w:rsidR="00300092" w:rsidRPr="007D4A8A" w:rsidRDefault="00300092" w:rsidP="00300092">
            <w:pPr>
              <w:pStyle w:val="BodyText"/>
              <w:rPr>
                <w:rFonts w:ascii="Arial" w:hAnsi="Arial"/>
                <w:b/>
                <w:bCs/>
                <w:color w:val="FFFFFF"/>
                <w:sz w:val="18"/>
                <w:szCs w:val="18"/>
              </w:rPr>
            </w:pPr>
          </w:p>
        </w:tc>
        <w:tc>
          <w:tcPr>
            <w:tcW w:w="2178" w:type="dxa"/>
            <w:tcBorders>
              <w:top w:val="single" w:sz="8" w:space="0" w:color="4F81BD"/>
              <w:left w:val="single" w:sz="8" w:space="0" w:color="4F81BD"/>
              <w:right w:val="single" w:sz="8" w:space="0" w:color="4F81BD"/>
            </w:tcBorders>
            <w:shd w:val="clear" w:color="auto" w:fill="4F81BD"/>
          </w:tcPr>
          <w:p w:rsidR="00300092" w:rsidRPr="007D4A8A" w:rsidRDefault="00300092" w:rsidP="00300092">
            <w:pPr>
              <w:pStyle w:val="BodyText"/>
              <w:rPr>
                <w:rFonts w:ascii="Arial" w:hAnsi="Arial"/>
                <w:b/>
                <w:bCs/>
                <w:color w:val="FFFFFF"/>
                <w:sz w:val="18"/>
                <w:szCs w:val="18"/>
              </w:rPr>
            </w:pPr>
            <w:r w:rsidRPr="007D4A8A">
              <w:rPr>
                <w:rFonts w:ascii="Arial" w:hAnsi="Arial"/>
                <w:bCs/>
                <w:color w:val="FFFFFF"/>
                <w:sz w:val="18"/>
                <w:szCs w:val="18"/>
              </w:rPr>
              <w:t>LHV (MJ/kg)</w:t>
            </w:r>
          </w:p>
        </w:tc>
        <w:tc>
          <w:tcPr>
            <w:tcW w:w="2178" w:type="dxa"/>
            <w:tcBorders>
              <w:top w:val="single" w:sz="8" w:space="0" w:color="4F81BD"/>
            </w:tcBorders>
            <w:shd w:val="clear" w:color="auto" w:fill="4F81BD"/>
          </w:tcPr>
          <w:p w:rsidR="00300092" w:rsidRPr="007D4A8A" w:rsidRDefault="00300092" w:rsidP="00300092">
            <w:pPr>
              <w:pStyle w:val="BodyText"/>
              <w:rPr>
                <w:rFonts w:ascii="Arial" w:hAnsi="Arial"/>
                <w:b/>
                <w:bCs/>
                <w:color w:val="FFFFFF"/>
                <w:sz w:val="18"/>
                <w:szCs w:val="18"/>
              </w:rPr>
            </w:pPr>
            <w:r w:rsidRPr="007D4A8A">
              <w:rPr>
                <w:rFonts w:ascii="Arial" w:hAnsi="Arial"/>
                <w:bCs/>
                <w:color w:val="FFFFFF"/>
                <w:sz w:val="18"/>
                <w:szCs w:val="18"/>
              </w:rPr>
              <w:t>Density (kg/L or kg/m</w:t>
            </w:r>
            <w:r w:rsidRPr="007D4A8A">
              <w:rPr>
                <w:rFonts w:ascii="Arial" w:hAnsi="Arial"/>
                <w:bCs/>
                <w:color w:val="FFFFFF"/>
                <w:sz w:val="18"/>
                <w:szCs w:val="18"/>
                <w:vertAlign w:val="superscript"/>
              </w:rPr>
              <w:t>3</w:t>
            </w:r>
            <w:r w:rsidRPr="007D4A8A">
              <w:rPr>
                <w:rFonts w:ascii="Arial" w:hAnsi="Arial"/>
                <w:bCs/>
                <w:color w:val="FFFFFF"/>
                <w:sz w:val="18"/>
                <w:szCs w:val="18"/>
              </w:rPr>
              <w:t>)</w:t>
            </w:r>
          </w:p>
        </w:tc>
        <w:tc>
          <w:tcPr>
            <w:tcW w:w="2179" w:type="dxa"/>
            <w:tcBorders>
              <w:top w:val="single" w:sz="8" w:space="0" w:color="4F81BD"/>
              <w:left w:val="single" w:sz="8" w:space="0" w:color="4F81BD"/>
            </w:tcBorders>
            <w:shd w:val="clear" w:color="auto" w:fill="4F81BD"/>
          </w:tcPr>
          <w:p w:rsidR="00300092" w:rsidRPr="007D4A8A" w:rsidRDefault="00300092" w:rsidP="00300092">
            <w:pPr>
              <w:pStyle w:val="BodyText"/>
              <w:rPr>
                <w:rFonts w:ascii="Arial" w:hAnsi="Arial"/>
                <w:b/>
                <w:bCs/>
                <w:color w:val="FFFFFF"/>
                <w:sz w:val="18"/>
                <w:szCs w:val="18"/>
              </w:rPr>
            </w:pPr>
            <w:r w:rsidRPr="007D4A8A">
              <w:rPr>
                <w:rFonts w:ascii="Arial" w:hAnsi="Arial"/>
                <w:bCs/>
                <w:color w:val="FFFFFF"/>
                <w:sz w:val="18"/>
                <w:szCs w:val="18"/>
              </w:rPr>
              <w:t>LHV (MJ/L or MJ/m</w:t>
            </w:r>
            <w:r w:rsidRPr="007D4A8A">
              <w:rPr>
                <w:rFonts w:ascii="Arial" w:hAnsi="Arial"/>
                <w:bCs/>
                <w:color w:val="FFFFFF"/>
                <w:sz w:val="18"/>
                <w:szCs w:val="18"/>
                <w:vertAlign w:val="superscript"/>
              </w:rPr>
              <w:t>3</w:t>
            </w:r>
            <w:r w:rsidRPr="007D4A8A">
              <w:rPr>
                <w:rFonts w:ascii="Arial" w:hAnsi="Arial"/>
                <w:bCs/>
                <w:color w:val="FFFFFF"/>
                <w:sz w:val="18"/>
                <w:szCs w:val="18"/>
              </w:rPr>
              <w:t>)</w:t>
            </w:r>
          </w:p>
        </w:tc>
      </w:tr>
      <w:tr w:rsidR="00300092" w:rsidRPr="0063038B" w:rsidTr="00300092">
        <w:tc>
          <w:tcPr>
            <w:tcW w:w="2178" w:type="dxa"/>
            <w:tcBorders>
              <w:top w:val="single" w:sz="8" w:space="0" w:color="4F81BD"/>
              <w:bottom w:val="single" w:sz="8" w:space="0" w:color="4F81BD"/>
            </w:tcBorders>
          </w:tcPr>
          <w:p w:rsidR="00300092" w:rsidRPr="007D4A8A" w:rsidRDefault="00300092" w:rsidP="00300092">
            <w:pPr>
              <w:pStyle w:val="BodyText"/>
              <w:rPr>
                <w:rFonts w:ascii="Arial" w:hAnsi="Arial"/>
                <w:b/>
                <w:bCs/>
                <w:sz w:val="18"/>
                <w:szCs w:val="18"/>
              </w:rPr>
            </w:pPr>
            <w:r w:rsidRPr="007D4A8A">
              <w:rPr>
                <w:rFonts w:ascii="Arial" w:hAnsi="Arial"/>
                <w:bCs/>
                <w:sz w:val="18"/>
                <w:szCs w:val="18"/>
              </w:rPr>
              <w:t>Petrol</w:t>
            </w:r>
          </w:p>
        </w:tc>
        <w:tc>
          <w:tcPr>
            <w:tcW w:w="2178"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
              <w:rPr>
                <w:rFonts w:ascii="Arial" w:hAnsi="Arial"/>
                <w:sz w:val="18"/>
                <w:szCs w:val="18"/>
              </w:rPr>
            </w:pPr>
            <w:r w:rsidRPr="007D4A8A">
              <w:rPr>
                <w:rFonts w:ascii="Arial" w:hAnsi="Arial"/>
                <w:sz w:val="18"/>
                <w:szCs w:val="18"/>
              </w:rPr>
              <w:t>42.7</w:t>
            </w:r>
          </w:p>
        </w:tc>
        <w:tc>
          <w:tcPr>
            <w:tcW w:w="2178" w:type="dxa"/>
            <w:tcBorders>
              <w:top w:val="single" w:sz="8" w:space="0" w:color="4F81BD"/>
              <w:bottom w:val="single" w:sz="8" w:space="0" w:color="4F81BD"/>
            </w:tcBorders>
          </w:tcPr>
          <w:p w:rsidR="00300092" w:rsidRPr="007D4A8A" w:rsidRDefault="00300092" w:rsidP="00300092">
            <w:pPr>
              <w:pStyle w:val="BodyText"/>
              <w:rPr>
                <w:rFonts w:ascii="Arial" w:hAnsi="Arial"/>
                <w:sz w:val="18"/>
                <w:szCs w:val="18"/>
              </w:rPr>
            </w:pPr>
            <w:r w:rsidRPr="007D4A8A">
              <w:rPr>
                <w:rFonts w:ascii="Arial" w:hAnsi="Arial"/>
                <w:sz w:val="18"/>
                <w:szCs w:val="18"/>
              </w:rPr>
              <w:t>0.75</w:t>
            </w:r>
          </w:p>
        </w:tc>
        <w:tc>
          <w:tcPr>
            <w:tcW w:w="2179" w:type="dxa"/>
            <w:tcBorders>
              <w:top w:val="single" w:sz="8" w:space="0" w:color="4F81BD"/>
              <w:left w:val="single" w:sz="8" w:space="0" w:color="4F81BD"/>
              <w:bottom w:val="single" w:sz="8" w:space="0" w:color="4F81BD"/>
            </w:tcBorders>
          </w:tcPr>
          <w:p w:rsidR="00300092" w:rsidRPr="007D4A8A" w:rsidRDefault="00300092" w:rsidP="00300092">
            <w:pPr>
              <w:pStyle w:val="BodyText"/>
              <w:rPr>
                <w:rFonts w:ascii="Arial" w:hAnsi="Arial"/>
                <w:sz w:val="18"/>
                <w:szCs w:val="18"/>
              </w:rPr>
            </w:pPr>
            <w:r w:rsidRPr="007D4A8A">
              <w:rPr>
                <w:rFonts w:ascii="Arial" w:hAnsi="Arial"/>
                <w:sz w:val="18"/>
                <w:szCs w:val="18"/>
              </w:rPr>
              <w:t>32.0</w:t>
            </w:r>
          </w:p>
        </w:tc>
      </w:tr>
      <w:tr w:rsidR="00300092" w:rsidRPr="0063038B" w:rsidTr="00300092">
        <w:tc>
          <w:tcPr>
            <w:tcW w:w="2178" w:type="dxa"/>
          </w:tcPr>
          <w:p w:rsidR="00300092" w:rsidRPr="007D4A8A" w:rsidRDefault="00300092" w:rsidP="00300092">
            <w:pPr>
              <w:pStyle w:val="BodyText"/>
              <w:rPr>
                <w:rFonts w:ascii="Arial" w:hAnsi="Arial"/>
                <w:b/>
                <w:bCs/>
                <w:sz w:val="18"/>
                <w:szCs w:val="18"/>
              </w:rPr>
            </w:pPr>
            <w:r w:rsidRPr="007D4A8A">
              <w:rPr>
                <w:rFonts w:ascii="Arial" w:hAnsi="Arial"/>
                <w:bCs/>
                <w:sz w:val="18"/>
                <w:szCs w:val="18"/>
              </w:rPr>
              <w:t>Diesel</w:t>
            </w:r>
          </w:p>
        </w:tc>
        <w:tc>
          <w:tcPr>
            <w:tcW w:w="2178" w:type="dxa"/>
            <w:tcBorders>
              <w:left w:val="single" w:sz="8" w:space="0" w:color="4F81BD"/>
              <w:right w:val="single" w:sz="8" w:space="0" w:color="4F81BD"/>
            </w:tcBorders>
          </w:tcPr>
          <w:p w:rsidR="00300092" w:rsidRPr="007D4A8A" w:rsidRDefault="00300092" w:rsidP="00300092">
            <w:pPr>
              <w:pStyle w:val="BodyText"/>
              <w:rPr>
                <w:rFonts w:ascii="Arial" w:hAnsi="Arial"/>
                <w:sz w:val="18"/>
                <w:szCs w:val="18"/>
              </w:rPr>
            </w:pPr>
            <w:r w:rsidRPr="007D4A8A">
              <w:rPr>
                <w:rFonts w:ascii="Arial" w:hAnsi="Arial"/>
                <w:sz w:val="18"/>
                <w:szCs w:val="18"/>
              </w:rPr>
              <w:t>42.5</w:t>
            </w:r>
          </w:p>
        </w:tc>
        <w:tc>
          <w:tcPr>
            <w:tcW w:w="2178" w:type="dxa"/>
          </w:tcPr>
          <w:p w:rsidR="00300092" w:rsidRPr="007D4A8A" w:rsidRDefault="00300092" w:rsidP="00300092">
            <w:pPr>
              <w:pStyle w:val="BodyText"/>
              <w:rPr>
                <w:rFonts w:ascii="Arial" w:hAnsi="Arial"/>
                <w:sz w:val="18"/>
                <w:szCs w:val="18"/>
              </w:rPr>
            </w:pPr>
            <w:r w:rsidRPr="007D4A8A">
              <w:rPr>
                <w:rFonts w:ascii="Arial" w:hAnsi="Arial"/>
                <w:sz w:val="18"/>
                <w:szCs w:val="18"/>
              </w:rPr>
              <w:t>0.84</w:t>
            </w:r>
          </w:p>
        </w:tc>
        <w:tc>
          <w:tcPr>
            <w:tcW w:w="2179" w:type="dxa"/>
            <w:tcBorders>
              <w:left w:val="single" w:sz="8" w:space="0" w:color="4F81BD"/>
            </w:tcBorders>
          </w:tcPr>
          <w:p w:rsidR="00300092" w:rsidRPr="007D4A8A" w:rsidRDefault="00300092" w:rsidP="00300092">
            <w:pPr>
              <w:pStyle w:val="BodyText"/>
              <w:rPr>
                <w:rFonts w:ascii="Arial" w:hAnsi="Arial"/>
                <w:sz w:val="18"/>
                <w:szCs w:val="18"/>
              </w:rPr>
            </w:pPr>
            <w:r w:rsidRPr="007D4A8A">
              <w:rPr>
                <w:rFonts w:ascii="Arial" w:hAnsi="Arial"/>
                <w:sz w:val="18"/>
                <w:szCs w:val="18"/>
              </w:rPr>
              <w:t>35.7</w:t>
            </w:r>
          </w:p>
        </w:tc>
      </w:tr>
      <w:tr w:rsidR="00300092" w:rsidRPr="0063038B" w:rsidTr="00300092">
        <w:tc>
          <w:tcPr>
            <w:tcW w:w="2178" w:type="dxa"/>
            <w:tcBorders>
              <w:top w:val="single" w:sz="8" w:space="0" w:color="4F81BD"/>
              <w:bottom w:val="single" w:sz="8" w:space="0" w:color="4F81BD"/>
            </w:tcBorders>
          </w:tcPr>
          <w:p w:rsidR="00300092" w:rsidRPr="007D4A8A" w:rsidRDefault="00300092" w:rsidP="00300092">
            <w:pPr>
              <w:pStyle w:val="BodyText"/>
              <w:rPr>
                <w:rFonts w:ascii="Arial" w:hAnsi="Arial"/>
                <w:b/>
                <w:bCs/>
                <w:sz w:val="18"/>
                <w:szCs w:val="18"/>
              </w:rPr>
            </w:pPr>
            <w:r w:rsidRPr="007D4A8A">
              <w:rPr>
                <w:rFonts w:ascii="Arial" w:hAnsi="Arial"/>
                <w:bCs/>
                <w:sz w:val="18"/>
                <w:szCs w:val="18"/>
              </w:rPr>
              <w:t>LPG</w:t>
            </w:r>
          </w:p>
        </w:tc>
        <w:tc>
          <w:tcPr>
            <w:tcW w:w="2178"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
              <w:rPr>
                <w:rFonts w:ascii="Arial" w:hAnsi="Arial"/>
                <w:sz w:val="18"/>
                <w:szCs w:val="18"/>
              </w:rPr>
            </w:pPr>
            <w:r w:rsidRPr="007D4A8A">
              <w:rPr>
                <w:rFonts w:ascii="Arial" w:hAnsi="Arial"/>
                <w:sz w:val="18"/>
                <w:szCs w:val="18"/>
              </w:rPr>
              <w:t>46.1</w:t>
            </w:r>
          </w:p>
        </w:tc>
        <w:tc>
          <w:tcPr>
            <w:tcW w:w="2178" w:type="dxa"/>
            <w:tcBorders>
              <w:top w:val="single" w:sz="8" w:space="0" w:color="4F81BD"/>
              <w:bottom w:val="single" w:sz="8" w:space="0" w:color="4F81BD"/>
            </w:tcBorders>
          </w:tcPr>
          <w:p w:rsidR="00300092" w:rsidRPr="007D4A8A" w:rsidRDefault="00300092" w:rsidP="00300092">
            <w:pPr>
              <w:pStyle w:val="BodyText"/>
              <w:rPr>
                <w:rFonts w:ascii="Arial" w:hAnsi="Arial"/>
                <w:sz w:val="18"/>
                <w:szCs w:val="18"/>
              </w:rPr>
            </w:pPr>
            <w:r w:rsidRPr="007D4A8A">
              <w:rPr>
                <w:rFonts w:ascii="Arial" w:hAnsi="Arial"/>
                <w:sz w:val="18"/>
                <w:szCs w:val="18"/>
              </w:rPr>
              <w:t>0.53</w:t>
            </w:r>
          </w:p>
        </w:tc>
        <w:tc>
          <w:tcPr>
            <w:tcW w:w="2179" w:type="dxa"/>
            <w:tcBorders>
              <w:top w:val="single" w:sz="8" w:space="0" w:color="4F81BD"/>
              <w:left w:val="single" w:sz="8" w:space="0" w:color="4F81BD"/>
              <w:bottom w:val="single" w:sz="8" w:space="0" w:color="4F81BD"/>
            </w:tcBorders>
          </w:tcPr>
          <w:p w:rsidR="00300092" w:rsidRPr="007D4A8A" w:rsidRDefault="00300092" w:rsidP="00300092">
            <w:pPr>
              <w:pStyle w:val="BodyText"/>
              <w:rPr>
                <w:rFonts w:ascii="Arial" w:hAnsi="Arial"/>
                <w:sz w:val="18"/>
                <w:szCs w:val="18"/>
              </w:rPr>
            </w:pPr>
            <w:r w:rsidRPr="007D4A8A">
              <w:rPr>
                <w:rFonts w:ascii="Arial" w:hAnsi="Arial"/>
                <w:sz w:val="18"/>
                <w:szCs w:val="18"/>
              </w:rPr>
              <w:t>24.4</w:t>
            </w:r>
          </w:p>
        </w:tc>
      </w:tr>
      <w:tr w:rsidR="00300092" w:rsidRPr="0063038B" w:rsidTr="00300092">
        <w:tc>
          <w:tcPr>
            <w:tcW w:w="2178" w:type="dxa"/>
          </w:tcPr>
          <w:p w:rsidR="00300092" w:rsidRPr="007D4A8A" w:rsidRDefault="00300092" w:rsidP="00300092">
            <w:pPr>
              <w:pStyle w:val="BodyText"/>
              <w:rPr>
                <w:rFonts w:ascii="Arial" w:hAnsi="Arial"/>
                <w:b/>
                <w:bCs/>
                <w:sz w:val="18"/>
                <w:szCs w:val="18"/>
              </w:rPr>
            </w:pPr>
            <w:r w:rsidRPr="007D4A8A">
              <w:rPr>
                <w:rFonts w:ascii="Arial" w:hAnsi="Arial"/>
                <w:bCs/>
                <w:sz w:val="18"/>
                <w:szCs w:val="18"/>
              </w:rPr>
              <w:t>CNG</w:t>
            </w:r>
          </w:p>
        </w:tc>
        <w:tc>
          <w:tcPr>
            <w:tcW w:w="2178" w:type="dxa"/>
            <w:tcBorders>
              <w:left w:val="single" w:sz="8" w:space="0" w:color="4F81BD"/>
              <w:right w:val="single" w:sz="8" w:space="0" w:color="4F81BD"/>
            </w:tcBorders>
          </w:tcPr>
          <w:p w:rsidR="00300092" w:rsidRPr="007D4A8A" w:rsidRDefault="00300092" w:rsidP="00300092">
            <w:pPr>
              <w:pStyle w:val="BodyText"/>
              <w:rPr>
                <w:rFonts w:ascii="Arial" w:hAnsi="Arial"/>
                <w:sz w:val="18"/>
                <w:szCs w:val="18"/>
              </w:rPr>
            </w:pPr>
            <w:r w:rsidRPr="007D4A8A">
              <w:rPr>
                <w:rFonts w:ascii="Arial" w:hAnsi="Arial"/>
                <w:sz w:val="18"/>
                <w:szCs w:val="18"/>
              </w:rPr>
              <w:t>45.1</w:t>
            </w:r>
          </w:p>
        </w:tc>
        <w:tc>
          <w:tcPr>
            <w:tcW w:w="2178" w:type="dxa"/>
          </w:tcPr>
          <w:p w:rsidR="00300092" w:rsidRPr="007D4A8A" w:rsidRDefault="00300092" w:rsidP="00300092">
            <w:pPr>
              <w:pStyle w:val="BodyText"/>
              <w:rPr>
                <w:rFonts w:ascii="Arial" w:hAnsi="Arial"/>
                <w:sz w:val="18"/>
                <w:szCs w:val="18"/>
              </w:rPr>
            </w:pPr>
            <w:r w:rsidRPr="007D4A8A">
              <w:rPr>
                <w:rFonts w:ascii="Arial" w:hAnsi="Arial"/>
                <w:sz w:val="18"/>
                <w:szCs w:val="18"/>
              </w:rPr>
              <w:t>0.78</w:t>
            </w:r>
          </w:p>
        </w:tc>
        <w:tc>
          <w:tcPr>
            <w:tcW w:w="2179" w:type="dxa"/>
            <w:tcBorders>
              <w:left w:val="single" w:sz="8" w:space="0" w:color="4F81BD"/>
            </w:tcBorders>
          </w:tcPr>
          <w:p w:rsidR="00300092" w:rsidRPr="007D4A8A" w:rsidRDefault="00300092" w:rsidP="00300092">
            <w:pPr>
              <w:pStyle w:val="BodyText"/>
              <w:rPr>
                <w:rFonts w:ascii="Arial" w:hAnsi="Arial"/>
                <w:sz w:val="18"/>
                <w:szCs w:val="18"/>
              </w:rPr>
            </w:pPr>
            <w:r w:rsidRPr="007D4A8A">
              <w:rPr>
                <w:rFonts w:ascii="Arial" w:hAnsi="Arial"/>
                <w:sz w:val="18"/>
                <w:szCs w:val="18"/>
              </w:rPr>
              <w:t>35.2</w:t>
            </w:r>
          </w:p>
        </w:tc>
      </w:tr>
      <w:tr w:rsidR="00300092" w:rsidRPr="0063038B" w:rsidTr="00300092">
        <w:tc>
          <w:tcPr>
            <w:tcW w:w="2178" w:type="dxa"/>
            <w:tcBorders>
              <w:top w:val="single" w:sz="8" w:space="0" w:color="4F81BD"/>
              <w:bottom w:val="single" w:sz="8" w:space="0" w:color="4F81BD"/>
            </w:tcBorders>
          </w:tcPr>
          <w:p w:rsidR="00300092" w:rsidRPr="007D4A8A" w:rsidRDefault="00300092" w:rsidP="00300092">
            <w:pPr>
              <w:pStyle w:val="BodyText"/>
              <w:rPr>
                <w:rFonts w:ascii="Arial" w:hAnsi="Arial"/>
                <w:b/>
                <w:bCs/>
                <w:sz w:val="18"/>
                <w:szCs w:val="18"/>
              </w:rPr>
            </w:pPr>
            <w:r w:rsidRPr="007D4A8A">
              <w:rPr>
                <w:rFonts w:ascii="Arial" w:hAnsi="Arial"/>
                <w:bCs/>
                <w:sz w:val="18"/>
                <w:szCs w:val="18"/>
              </w:rPr>
              <w:t>LNG</w:t>
            </w:r>
          </w:p>
        </w:tc>
        <w:tc>
          <w:tcPr>
            <w:tcW w:w="2178"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
              <w:rPr>
                <w:rFonts w:ascii="Arial" w:hAnsi="Arial"/>
                <w:sz w:val="18"/>
                <w:szCs w:val="18"/>
              </w:rPr>
            </w:pPr>
            <w:r w:rsidRPr="007D4A8A">
              <w:rPr>
                <w:rFonts w:ascii="Arial" w:hAnsi="Arial"/>
                <w:sz w:val="18"/>
                <w:szCs w:val="18"/>
              </w:rPr>
              <w:t>49.3</w:t>
            </w:r>
          </w:p>
        </w:tc>
        <w:tc>
          <w:tcPr>
            <w:tcW w:w="2178" w:type="dxa"/>
            <w:tcBorders>
              <w:top w:val="single" w:sz="8" w:space="0" w:color="4F81BD"/>
              <w:bottom w:val="single" w:sz="8" w:space="0" w:color="4F81BD"/>
            </w:tcBorders>
          </w:tcPr>
          <w:p w:rsidR="00300092" w:rsidRPr="007D4A8A" w:rsidRDefault="00300092" w:rsidP="00300092">
            <w:pPr>
              <w:pStyle w:val="BodyText"/>
              <w:rPr>
                <w:rFonts w:ascii="Arial" w:hAnsi="Arial"/>
                <w:sz w:val="18"/>
                <w:szCs w:val="18"/>
              </w:rPr>
            </w:pPr>
            <w:r w:rsidRPr="007D4A8A">
              <w:rPr>
                <w:rFonts w:ascii="Arial" w:hAnsi="Arial"/>
                <w:sz w:val="18"/>
                <w:szCs w:val="18"/>
              </w:rPr>
              <w:t>0.42</w:t>
            </w:r>
          </w:p>
        </w:tc>
        <w:tc>
          <w:tcPr>
            <w:tcW w:w="2179" w:type="dxa"/>
            <w:tcBorders>
              <w:top w:val="single" w:sz="8" w:space="0" w:color="4F81BD"/>
              <w:left w:val="single" w:sz="8" w:space="0" w:color="4F81BD"/>
              <w:bottom w:val="single" w:sz="8" w:space="0" w:color="4F81BD"/>
            </w:tcBorders>
          </w:tcPr>
          <w:p w:rsidR="00300092" w:rsidRPr="007D4A8A" w:rsidRDefault="00300092" w:rsidP="00300092">
            <w:pPr>
              <w:pStyle w:val="BodyText"/>
              <w:rPr>
                <w:rFonts w:ascii="Arial" w:hAnsi="Arial"/>
                <w:sz w:val="18"/>
                <w:szCs w:val="18"/>
              </w:rPr>
            </w:pPr>
            <w:r w:rsidRPr="007D4A8A">
              <w:rPr>
                <w:rFonts w:ascii="Arial" w:hAnsi="Arial"/>
                <w:sz w:val="18"/>
                <w:szCs w:val="18"/>
              </w:rPr>
              <w:t>20.4</w:t>
            </w:r>
          </w:p>
        </w:tc>
      </w:tr>
      <w:tr w:rsidR="00300092" w:rsidRPr="0063038B" w:rsidTr="00300092">
        <w:tc>
          <w:tcPr>
            <w:tcW w:w="2178" w:type="dxa"/>
          </w:tcPr>
          <w:p w:rsidR="00300092" w:rsidRPr="007D4A8A" w:rsidRDefault="00300092" w:rsidP="00300092">
            <w:pPr>
              <w:pStyle w:val="BodyText"/>
              <w:rPr>
                <w:rFonts w:ascii="Arial" w:hAnsi="Arial"/>
                <w:b/>
                <w:bCs/>
                <w:sz w:val="18"/>
                <w:szCs w:val="18"/>
              </w:rPr>
            </w:pPr>
            <w:r w:rsidRPr="007D4A8A">
              <w:rPr>
                <w:rFonts w:ascii="Arial" w:hAnsi="Arial"/>
                <w:bCs/>
                <w:sz w:val="18"/>
                <w:szCs w:val="18"/>
              </w:rPr>
              <w:t>B100</w:t>
            </w:r>
          </w:p>
        </w:tc>
        <w:tc>
          <w:tcPr>
            <w:tcW w:w="2178" w:type="dxa"/>
            <w:tcBorders>
              <w:left w:val="single" w:sz="8" w:space="0" w:color="4F81BD"/>
              <w:right w:val="single" w:sz="8" w:space="0" w:color="4F81BD"/>
            </w:tcBorders>
          </w:tcPr>
          <w:p w:rsidR="00300092" w:rsidRPr="007D4A8A" w:rsidRDefault="00300092" w:rsidP="00300092">
            <w:pPr>
              <w:pStyle w:val="BodyText"/>
              <w:rPr>
                <w:rFonts w:ascii="Arial" w:hAnsi="Arial"/>
                <w:sz w:val="18"/>
                <w:szCs w:val="18"/>
              </w:rPr>
            </w:pPr>
            <w:r w:rsidRPr="007D4A8A">
              <w:rPr>
                <w:rFonts w:ascii="Arial" w:hAnsi="Arial"/>
                <w:sz w:val="18"/>
                <w:szCs w:val="18"/>
              </w:rPr>
              <w:t>40.2</w:t>
            </w:r>
          </w:p>
        </w:tc>
        <w:tc>
          <w:tcPr>
            <w:tcW w:w="2178" w:type="dxa"/>
          </w:tcPr>
          <w:p w:rsidR="00300092" w:rsidRPr="007D4A8A" w:rsidRDefault="00300092" w:rsidP="00300092">
            <w:pPr>
              <w:pStyle w:val="BodyText"/>
              <w:rPr>
                <w:rFonts w:ascii="Arial" w:hAnsi="Arial"/>
                <w:sz w:val="18"/>
                <w:szCs w:val="18"/>
              </w:rPr>
            </w:pPr>
            <w:r w:rsidRPr="007D4A8A">
              <w:rPr>
                <w:rFonts w:ascii="Arial" w:hAnsi="Arial"/>
                <w:sz w:val="18"/>
                <w:szCs w:val="18"/>
              </w:rPr>
              <w:t>0.84</w:t>
            </w:r>
          </w:p>
        </w:tc>
        <w:tc>
          <w:tcPr>
            <w:tcW w:w="2179" w:type="dxa"/>
            <w:tcBorders>
              <w:left w:val="single" w:sz="8" w:space="0" w:color="4F81BD"/>
            </w:tcBorders>
          </w:tcPr>
          <w:p w:rsidR="00300092" w:rsidRPr="007D4A8A" w:rsidRDefault="00300092" w:rsidP="00300092">
            <w:pPr>
              <w:pStyle w:val="BodyText"/>
              <w:rPr>
                <w:rFonts w:ascii="Arial" w:hAnsi="Arial"/>
                <w:sz w:val="18"/>
                <w:szCs w:val="18"/>
              </w:rPr>
            </w:pPr>
            <w:r w:rsidRPr="007D4A8A">
              <w:rPr>
                <w:rFonts w:ascii="Arial" w:hAnsi="Arial"/>
                <w:sz w:val="18"/>
                <w:szCs w:val="18"/>
              </w:rPr>
              <w:t>35.3</w:t>
            </w:r>
          </w:p>
        </w:tc>
      </w:tr>
      <w:tr w:rsidR="00300092" w:rsidRPr="0063038B" w:rsidTr="00300092">
        <w:tc>
          <w:tcPr>
            <w:tcW w:w="2178" w:type="dxa"/>
            <w:tcBorders>
              <w:top w:val="single" w:sz="8" w:space="0" w:color="4F81BD"/>
              <w:bottom w:val="single" w:sz="8" w:space="0" w:color="4F81BD"/>
            </w:tcBorders>
          </w:tcPr>
          <w:p w:rsidR="00300092" w:rsidRPr="007D4A8A" w:rsidRDefault="00300092" w:rsidP="00300092">
            <w:pPr>
              <w:pStyle w:val="BodyText"/>
              <w:rPr>
                <w:rFonts w:ascii="Arial" w:hAnsi="Arial"/>
                <w:b/>
                <w:bCs/>
                <w:sz w:val="18"/>
                <w:szCs w:val="18"/>
              </w:rPr>
            </w:pPr>
            <w:r w:rsidRPr="007D4A8A">
              <w:rPr>
                <w:rFonts w:ascii="Arial" w:hAnsi="Arial"/>
                <w:bCs/>
                <w:sz w:val="18"/>
                <w:szCs w:val="18"/>
              </w:rPr>
              <w:t>B20</w:t>
            </w:r>
          </w:p>
        </w:tc>
        <w:tc>
          <w:tcPr>
            <w:tcW w:w="2178"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
              <w:rPr>
                <w:rFonts w:ascii="Arial" w:hAnsi="Arial"/>
                <w:sz w:val="18"/>
                <w:szCs w:val="18"/>
              </w:rPr>
            </w:pPr>
            <w:r w:rsidRPr="007D4A8A">
              <w:rPr>
                <w:rFonts w:ascii="Arial" w:hAnsi="Arial"/>
                <w:sz w:val="18"/>
                <w:szCs w:val="18"/>
              </w:rPr>
              <w:t>42.0</w:t>
            </w:r>
          </w:p>
        </w:tc>
        <w:tc>
          <w:tcPr>
            <w:tcW w:w="2178" w:type="dxa"/>
            <w:tcBorders>
              <w:top w:val="single" w:sz="8" w:space="0" w:color="4F81BD"/>
              <w:bottom w:val="single" w:sz="8" w:space="0" w:color="4F81BD"/>
            </w:tcBorders>
          </w:tcPr>
          <w:p w:rsidR="00300092" w:rsidRPr="007D4A8A" w:rsidRDefault="00300092" w:rsidP="00300092">
            <w:pPr>
              <w:pStyle w:val="BodyText"/>
              <w:rPr>
                <w:rFonts w:ascii="Arial" w:hAnsi="Arial"/>
                <w:sz w:val="18"/>
                <w:szCs w:val="18"/>
              </w:rPr>
            </w:pPr>
            <w:r w:rsidRPr="007D4A8A">
              <w:rPr>
                <w:rFonts w:ascii="Arial" w:hAnsi="Arial"/>
                <w:sz w:val="18"/>
                <w:szCs w:val="18"/>
              </w:rPr>
              <w:t>0.84</w:t>
            </w:r>
          </w:p>
        </w:tc>
        <w:tc>
          <w:tcPr>
            <w:tcW w:w="2179" w:type="dxa"/>
            <w:tcBorders>
              <w:top w:val="single" w:sz="8" w:space="0" w:color="4F81BD"/>
              <w:left w:val="single" w:sz="8" w:space="0" w:color="4F81BD"/>
              <w:bottom w:val="single" w:sz="8" w:space="0" w:color="4F81BD"/>
            </w:tcBorders>
          </w:tcPr>
          <w:p w:rsidR="00300092" w:rsidRPr="007D4A8A" w:rsidRDefault="00300092" w:rsidP="00300092">
            <w:pPr>
              <w:pStyle w:val="BodyText"/>
              <w:rPr>
                <w:rFonts w:ascii="Arial" w:hAnsi="Arial"/>
                <w:sz w:val="18"/>
                <w:szCs w:val="18"/>
              </w:rPr>
            </w:pPr>
            <w:r w:rsidRPr="007D4A8A">
              <w:rPr>
                <w:rFonts w:ascii="Arial" w:hAnsi="Arial"/>
                <w:sz w:val="18"/>
                <w:szCs w:val="18"/>
              </w:rPr>
              <w:t>35.3</w:t>
            </w:r>
          </w:p>
        </w:tc>
      </w:tr>
      <w:tr w:rsidR="00300092" w:rsidRPr="0063038B" w:rsidTr="00300092">
        <w:tc>
          <w:tcPr>
            <w:tcW w:w="2178" w:type="dxa"/>
          </w:tcPr>
          <w:p w:rsidR="00300092" w:rsidRPr="007D4A8A" w:rsidRDefault="00300092" w:rsidP="00300092">
            <w:pPr>
              <w:pStyle w:val="BodyText"/>
              <w:rPr>
                <w:rFonts w:ascii="Arial" w:hAnsi="Arial"/>
                <w:b/>
                <w:bCs/>
                <w:sz w:val="18"/>
                <w:szCs w:val="18"/>
              </w:rPr>
            </w:pPr>
            <w:r w:rsidRPr="007D4A8A">
              <w:rPr>
                <w:rFonts w:ascii="Arial" w:hAnsi="Arial"/>
                <w:bCs/>
                <w:sz w:val="18"/>
                <w:szCs w:val="18"/>
              </w:rPr>
              <w:t>E85</w:t>
            </w:r>
          </w:p>
        </w:tc>
        <w:tc>
          <w:tcPr>
            <w:tcW w:w="2178" w:type="dxa"/>
            <w:tcBorders>
              <w:left w:val="single" w:sz="8" w:space="0" w:color="4F81BD"/>
              <w:right w:val="single" w:sz="8" w:space="0" w:color="4F81BD"/>
            </w:tcBorders>
          </w:tcPr>
          <w:p w:rsidR="00300092" w:rsidRPr="007D4A8A" w:rsidRDefault="00300092" w:rsidP="00300092">
            <w:pPr>
              <w:pStyle w:val="BodyText"/>
              <w:rPr>
                <w:rFonts w:ascii="Arial" w:hAnsi="Arial"/>
                <w:sz w:val="18"/>
                <w:szCs w:val="18"/>
              </w:rPr>
            </w:pPr>
            <w:r w:rsidRPr="007D4A8A">
              <w:rPr>
                <w:rFonts w:ascii="Arial" w:hAnsi="Arial"/>
                <w:sz w:val="18"/>
                <w:szCs w:val="18"/>
              </w:rPr>
              <w:t>29.2</w:t>
            </w:r>
          </w:p>
        </w:tc>
        <w:tc>
          <w:tcPr>
            <w:tcW w:w="2178" w:type="dxa"/>
          </w:tcPr>
          <w:p w:rsidR="00300092" w:rsidRPr="007D4A8A" w:rsidRDefault="00300092" w:rsidP="00300092">
            <w:pPr>
              <w:pStyle w:val="BodyText"/>
              <w:rPr>
                <w:rFonts w:ascii="Arial" w:hAnsi="Arial"/>
                <w:sz w:val="18"/>
                <w:szCs w:val="18"/>
              </w:rPr>
            </w:pPr>
            <w:r w:rsidRPr="007D4A8A">
              <w:rPr>
                <w:rFonts w:ascii="Arial" w:hAnsi="Arial"/>
                <w:sz w:val="18"/>
                <w:szCs w:val="18"/>
              </w:rPr>
              <w:t>0.78</w:t>
            </w:r>
          </w:p>
        </w:tc>
        <w:tc>
          <w:tcPr>
            <w:tcW w:w="2179" w:type="dxa"/>
            <w:tcBorders>
              <w:left w:val="single" w:sz="8" w:space="0" w:color="4F81BD"/>
            </w:tcBorders>
          </w:tcPr>
          <w:p w:rsidR="00300092" w:rsidRPr="007D4A8A" w:rsidRDefault="00300092" w:rsidP="00300092">
            <w:pPr>
              <w:pStyle w:val="BodyText"/>
              <w:rPr>
                <w:rFonts w:ascii="Arial" w:hAnsi="Arial"/>
                <w:sz w:val="18"/>
                <w:szCs w:val="18"/>
              </w:rPr>
            </w:pPr>
            <w:r w:rsidRPr="007D4A8A">
              <w:rPr>
                <w:rFonts w:ascii="Arial" w:hAnsi="Arial"/>
                <w:sz w:val="18"/>
                <w:szCs w:val="18"/>
              </w:rPr>
              <w:t>22.8</w:t>
            </w:r>
          </w:p>
        </w:tc>
      </w:tr>
      <w:tr w:rsidR="00300092" w:rsidRPr="0063038B" w:rsidTr="00300092">
        <w:tc>
          <w:tcPr>
            <w:tcW w:w="2178" w:type="dxa"/>
            <w:tcBorders>
              <w:top w:val="single" w:sz="8" w:space="0" w:color="4F81BD"/>
              <w:bottom w:val="single" w:sz="8" w:space="0" w:color="4F81BD"/>
            </w:tcBorders>
          </w:tcPr>
          <w:p w:rsidR="00300092" w:rsidRPr="007D4A8A" w:rsidRDefault="00300092" w:rsidP="00300092">
            <w:pPr>
              <w:pStyle w:val="BodyText"/>
              <w:rPr>
                <w:rFonts w:ascii="Arial" w:hAnsi="Arial"/>
                <w:b/>
                <w:bCs/>
                <w:sz w:val="18"/>
                <w:szCs w:val="18"/>
              </w:rPr>
            </w:pPr>
            <w:r w:rsidRPr="007D4A8A">
              <w:rPr>
                <w:rFonts w:ascii="Arial" w:hAnsi="Arial"/>
                <w:bCs/>
                <w:sz w:val="18"/>
                <w:szCs w:val="18"/>
              </w:rPr>
              <w:t>E10</w:t>
            </w:r>
          </w:p>
        </w:tc>
        <w:tc>
          <w:tcPr>
            <w:tcW w:w="2178"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
              <w:rPr>
                <w:rFonts w:ascii="Arial" w:hAnsi="Arial"/>
                <w:sz w:val="18"/>
                <w:szCs w:val="18"/>
              </w:rPr>
            </w:pPr>
            <w:r w:rsidRPr="007D4A8A">
              <w:rPr>
                <w:rFonts w:ascii="Arial" w:hAnsi="Arial"/>
                <w:sz w:val="18"/>
                <w:szCs w:val="18"/>
              </w:rPr>
              <w:t>41.1</w:t>
            </w:r>
          </w:p>
        </w:tc>
        <w:tc>
          <w:tcPr>
            <w:tcW w:w="2178" w:type="dxa"/>
            <w:tcBorders>
              <w:top w:val="single" w:sz="8" w:space="0" w:color="4F81BD"/>
              <w:bottom w:val="single" w:sz="8" w:space="0" w:color="4F81BD"/>
            </w:tcBorders>
          </w:tcPr>
          <w:p w:rsidR="00300092" w:rsidRPr="007D4A8A" w:rsidRDefault="00300092" w:rsidP="00300092">
            <w:pPr>
              <w:pStyle w:val="BodyText"/>
              <w:rPr>
                <w:rFonts w:ascii="Arial" w:hAnsi="Arial"/>
                <w:sz w:val="18"/>
                <w:szCs w:val="18"/>
              </w:rPr>
            </w:pPr>
            <w:r w:rsidRPr="007D4A8A">
              <w:rPr>
                <w:rFonts w:ascii="Arial" w:hAnsi="Arial"/>
                <w:sz w:val="18"/>
                <w:szCs w:val="18"/>
              </w:rPr>
              <w:t>0.75</w:t>
            </w:r>
          </w:p>
        </w:tc>
        <w:tc>
          <w:tcPr>
            <w:tcW w:w="2179" w:type="dxa"/>
            <w:tcBorders>
              <w:top w:val="single" w:sz="8" w:space="0" w:color="4F81BD"/>
              <w:left w:val="single" w:sz="8" w:space="0" w:color="4F81BD"/>
              <w:bottom w:val="single" w:sz="8" w:space="0" w:color="4F81BD"/>
            </w:tcBorders>
          </w:tcPr>
          <w:p w:rsidR="00300092" w:rsidRPr="007D4A8A" w:rsidRDefault="00300092" w:rsidP="00300092">
            <w:pPr>
              <w:pStyle w:val="BodyText"/>
              <w:rPr>
                <w:rFonts w:ascii="Arial" w:hAnsi="Arial"/>
                <w:sz w:val="18"/>
                <w:szCs w:val="18"/>
              </w:rPr>
            </w:pPr>
            <w:r w:rsidRPr="007D4A8A">
              <w:rPr>
                <w:rFonts w:ascii="Arial" w:hAnsi="Arial"/>
                <w:sz w:val="18"/>
                <w:szCs w:val="18"/>
              </w:rPr>
              <w:t>30.8</w:t>
            </w:r>
          </w:p>
        </w:tc>
      </w:tr>
      <w:tr w:rsidR="00300092" w:rsidRPr="0063038B" w:rsidTr="00300092">
        <w:tc>
          <w:tcPr>
            <w:tcW w:w="2178" w:type="dxa"/>
          </w:tcPr>
          <w:p w:rsidR="00300092" w:rsidRPr="007D4A8A" w:rsidRDefault="00300092" w:rsidP="00300092">
            <w:pPr>
              <w:pStyle w:val="BodyText"/>
              <w:rPr>
                <w:rFonts w:ascii="Arial" w:hAnsi="Arial"/>
                <w:b/>
                <w:bCs/>
                <w:sz w:val="18"/>
                <w:szCs w:val="18"/>
              </w:rPr>
            </w:pPr>
            <w:r w:rsidRPr="007D4A8A">
              <w:rPr>
                <w:rFonts w:ascii="Arial" w:hAnsi="Arial"/>
                <w:bCs/>
                <w:sz w:val="18"/>
                <w:szCs w:val="18"/>
              </w:rPr>
              <w:t>H</w:t>
            </w:r>
            <w:r w:rsidRPr="007D4A8A">
              <w:rPr>
                <w:rFonts w:ascii="Arial Bold" w:hAnsi="Arial Bold"/>
                <w:bCs/>
                <w:sz w:val="18"/>
                <w:szCs w:val="18"/>
                <w:vertAlign w:val="subscript"/>
              </w:rPr>
              <w:t>2</w:t>
            </w:r>
          </w:p>
        </w:tc>
        <w:tc>
          <w:tcPr>
            <w:tcW w:w="2178" w:type="dxa"/>
            <w:tcBorders>
              <w:left w:val="single" w:sz="8" w:space="0" w:color="4F81BD"/>
              <w:right w:val="single" w:sz="8" w:space="0" w:color="4F81BD"/>
            </w:tcBorders>
          </w:tcPr>
          <w:p w:rsidR="00300092" w:rsidRPr="007D4A8A" w:rsidRDefault="00300092" w:rsidP="00300092">
            <w:pPr>
              <w:pStyle w:val="BodyText"/>
              <w:rPr>
                <w:rFonts w:ascii="Arial" w:hAnsi="Arial"/>
                <w:sz w:val="18"/>
                <w:szCs w:val="18"/>
              </w:rPr>
            </w:pPr>
            <w:r w:rsidRPr="007D4A8A">
              <w:rPr>
                <w:rFonts w:ascii="Arial" w:hAnsi="Arial"/>
                <w:sz w:val="18"/>
                <w:szCs w:val="18"/>
              </w:rPr>
              <w:t>120.0</w:t>
            </w:r>
          </w:p>
        </w:tc>
        <w:tc>
          <w:tcPr>
            <w:tcW w:w="2178" w:type="dxa"/>
          </w:tcPr>
          <w:p w:rsidR="00300092" w:rsidRPr="007D4A8A" w:rsidRDefault="00300092" w:rsidP="00300092">
            <w:pPr>
              <w:pStyle w:val="BodyText"/>
              <w:rPr>
                <w:rFonts w:ascii="Arial" w:hAnsi="Arial"/>
                <w:sz w:val="18"/>
                <w:szCs w:val="18"/>
              </w:rPr>
            </w:pPr>
            <w:r w:rsidRPr="007D4A8A">
              <w:rPr>
                <w:rFonts w:ascii="Arial" w:hAnsi="Arial"/>
                <w:sz w:val="18"/>
                <w:szCs w:val="18"/>
              </w:rPr>
              <w:t>0.09</w:t>
            </w:r>
          </w:p>
        </w:tc>
        <w:tc>
          <w:tcPr>
            <w:tcW w:w="2179" w:type="dxa"/>
            <w:tcBorders>
              <w:left w:val="single" w:sz="8" w:space="0" w:color="4F81BD"/>
            </w:tcBorders>
          </w:tcPr>
          <w:p w:rsidR="00300092" w:rsidRPr="007D4A8A" w:rsidRDefault="00300092" w:rsidP="00300092">
            <w:pPr>
              <w:pStyle w:val="BodyText"/>
              <w:rPr>
                <w:rFonts w:ascii="Arial" w:hAnsi="Arial"/>
                <w:sz w:val="18"/>
                <w:szCs w:val="18"/>
              </w:rPr>
            </w:pPr>
            <w:r w:rsidRPr="007D4A8A">
              <w:rPr>
                <w:rFonts w:ascii="Arial" w:hAnsi="Arial"/>
                <w:sz w:val="18"/>
                <w:szCs w:val="18"/>
              </w:rPr>
              <w:t>10.8</w:t>
            </w:r>
          </w:p>
        </w:tc>
      </w:tr>
      <w:tr w:rsidR="00300092" w:rsidRPr="0063038B" w:rsidTr="00300092">
        <w:tc>
          <w:tcPr>
            <w:tcW w:w="2178" w:type="dxa"/>
            <w:tcBorders>
              <w:top w:val="single" w:sz="8" w:space="0" w:color="4F81BD"/>
              <w:bottom w:val="single" w:sz="8" w:space="0" w:color="4F81BD"/>
            </w:tcBorders>
          </w:tcPr>
          <w:p w:rsidR="00300092" w:rsidRPr="007D4A8A" w:rsidRDefault="00300092" w:rsidP="00300092">
            <w:pPr>
              <w:pStyle w:val="BodyText"/>
              <w:rPr>
                <w:rFonts w:ascii="Arial" w:hAnsi="Arial"/>
                <w:b/>
                <w:bCs/>
                <w:sz w:val="18"/>
                <w:szCs w:val="18"/>
              </w:rPr>
            </w:pPr>
            <w:r w:rsidRPr="007D4A8A">
              <w:rPr>
                <w:rFonts w:ascii="Arial" w:hAnsi="Arial"/>
                <w:bCs/>
                <w:sz w:val="18"/>
                <w:szCs w:val="18"/>
              </w:rPr>
              <w:t>GTL diesel</w:t>
            </w:r>
          </w:p>
        </w:tc>
        <w:tc>
          <w:tcPr>
            <w:tcW w:w="2178"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
              <w:rPr>
                <w:rFonts w:ascii="Arial" w:hAnsi="Arial"/>
                <w:sz w:val="18"/>
                <w:szCs w:val="18"/>
              </w:rPr>
            </w:pPr>
            <w:r w:rsidRPr="007D4A8A">
              <w:rPr>
                <w:rFonts w:ascii="Arial" w:hAnsi="Arial"/>
                <w:sz w:val="18"/>
                <w:szCs w:val="18"/>
              </w:rPr>
              <w:t>40.0</w:t>
            </w:r>
          </w:p>
        </w:tc>
        <w:tc>
          <w:tcPr>
            <w:tcW w:w="2178" w:type="dxa"/>
            <w:tcBorders>
              <w:top w:val="single" w:sz="8" w:space="0" w:color="4F81BD"/>
              <w:bottom w:val="single" w:sz="8" w:space="0" w:color="4F81BD"/>
            </w:tcBorders>
          </w:tcPr>
          <w:p w:rsidR="00300092" w:rsidRPr="007D4A8A" w:rsidRDefault="00300092" w:rsidP="00300092">
            <w:pPr>
              <w:pStyle w:val="BodyText"/>
              <w:rPr>
                <w:rFonts w:ascii="Arial" w:hAnsi="Arial"/>
                <w:sz w:val="18"/>
                <w:szCs w:val="18"/>
              </w:rPr>
            </w:pPr>
            <w:r w:rsidRPr="007D4A8A">
              <w:rPr>
                <w:rFonts w:ascii="Arial" w:hAnsi="Arial"/>
                <w:sz w:val="18"/>
                <w:szCs w:val="18"/>
              </w:rPr>
              <w:t>0.84</w:t>
            </w:r>
          </w:p>
        </w:tc>
        <w:tc>
          <w:tcPr>
            <w:tcW w:w="2179" w:type="dxa"/>
            <w:tcBorders>
              <w:top w:val="single" w:sz="8" w:space="0" w:color="4F81BD"/>
              <w:left w:val="single" w:sz="8" w:space="0" w:color="4F81BD"/>
              <w:bottom w:val="single" w:sz="8" w:space="0" w:color="4F81BD"/>
            </w:tcBorders>
          </w:tcPr>
          <w:p w:rsidR="00300092" w:rsidRPr="007D4A8A" w:rsidRDefault="00300092" w:rsidP="00300092">
            <w:pPr>
              <w:pStyle w:val="BodyText"/>
              <w:rPr>
                <w:rFonts w:ascii="Arial" w:hAnsi="Arial"/>
                <w:sz w:val="18"/>
                <w:szCs w:val="18"/>
              </w:rPr>
            </w:pPr>
            <w:r w:rsidRPr="007D4A8A">
              <w:rPr>
                <w:rFonts w:ascii="Arial" w:hAnsi="Arial"/>
                <w:sz w:val="18"/>
                <w:szCs w:val="18"/>
              </w:rPr>
              <w:t>33.6</w:t>
            </w:r>
          </w:p>
        </w:tc>
      </w:tr>
      <w:tr w:rsidR="00300092" w:rsidRPr="0063038B" w:rsidTr="00300092">
        <w:tc>
          <w:tcPr>
            <w:tcW w:w="2178" w:type="dxa"/>
          </w:tcPr>
          <w:p w:rsidR="00300092" w:rsidRPr="007D4A8A" w:rsidRDefault="00300092" w:rsidP="00300092">
            <w:pPr>
              <w:pStyle w:val="BodyText"/>
              <w:rPr>
                <w:rFonts w:ascii="Arial" w:hAnsi="Arial"/>
                <w:b/>
                <w:bCs/>
                <w:sz w:val="18"/>
                <w:szCs w:val="18"/>
              </w:rPr>
            </w:pPr>
            <w:r w:rsidRPr="007D4A8A">
              <w:rPr>
                <w:rFonts w:ascii="Arial" w:hAnsi="Arial"/>
                <w:bCs/>
                <w:sz w:val="18"/>
                <w:szCs w:val="18"/>
              </w:rPr>
              <w:t>CTL diesel</w:t>
            </w:r>
          </w:p>
        </w:tc>
        <w:tc>
          <w:tcPr>
            <w:tcW w:w="2178" w:type="dxa"/>
            <w:tcBorders>
              <w:left w:val="single" w:sz="8" w:space="0" w:color="4F81BD"/>
              <w:right w:val="single" w:sz="8" w:space="0" w:color="4F81BD"/>
            </w:tcBorders>
          </w:tcPr>
          <w:p w:rsidR="00300092" w:rsidRPr="007D4A8A" w:rsidRDefault="00300092" w:rsidP="00300092">
            <w:pPr>
              <w:pStyle w:val="BodyText"/>
              <w:rPr>
                <w:rFonts w:ascii="Arial" w:hAnsi="Arial"/>
                <w:sz w:val="18"/>
                <w:szCs w:val="18"/>
              </w:rPr>
            </w:pPr>
            <w:r>
              <w:rPr>
                <w:rFonts w:ascii="Arial" w:hAnsi="Arial"/>
                <w:sz w:val="18"/>
                <w:szCs w:val="18"/>
              </w:rPr>
              <w:t>43</w:t>
            </w:r>
            <w:r w:rsidRPr="007D4A8A">
              <w:rPr>
                <w:rFonts w:ascii="Arial" w:hAnsi="Arial"/>
                <w:sz w:val="18"/>
                <w:szCs w:val="18"/>
              </w:rPr>
              <w:t>.0</w:t>
            </w:r>
          </w:p>
        </w:tc>
        <w:tc>
          <w:tcPr>
            <w:tcW w:w="2178" w:type="dxa"/>
          </w:tcPr>
          <w:p w:rsidR="00300092" w:rsidRPr="007D4A8A" w:rsidRDefault="00300092" w:rsidP="00300092">
            <w:pPr>
              <w:pStyle w:val="BodyText"/>
              <w:rPr>
                <w:rFonts w:ascii="Arial" w:hAnsi="Arial"/>
                <w:sz w:val="18"/>
                <w:szCs w:val="18"/>
              </w:rPr>
            </w:pPr>
            <w:r w:rsidRPr="007D4A8A">
              <w:rPr>
                <w:rFonts w:ascii="Arial" w:hAnsi="Arial"/>
                <w:sz w:val="18"/>
                <w:szCs w:val="18"/>
              </w:rPr>
              <w:t>0.84</w:t>
            </w:r>
          </w:p>
        </w:tc>
        <w:tc>
          <w:tcPr>
            <w:tcW w:w="2179" w:type="dxa"/>
            <w:tcBorders>
              <w:left w:val="single" w:sz="8" w:space="0" w:color="4F81BD"/>
            </w:tcBorders>
          </w:tcPr>
          <w:p w:rsidR="00300092" w:rsidRPr="007D4A8A" w:rsidRDefault="00300092" w:rsidP="00300092">
            <w:pPr>
              <w:pStyle w:val="BodyText"/>
              <w:rPr>
                <w:rFonts w:ascii="Arial" w:hAnsi="Arial"/>
                <w:sz w:val="18"/>
                <w:szCs w:val="18"/>
              </w:rPr>
            </w:pPr>
            <w:r w:rsidRPr="007D4A8A">
              <w:rPr>
                <w:rFonts w:ascii="Arial" w:hAnsi="Arial"/>
                <w:sz w:val="18"/>
                <w:szCs w:val="18"/>
              </w:rPr>
              <w:t>33.6</w:t>
            </w:r>
          </w:p>
        </w:tc>
      </w:tr>
      <w:tr w:rsidR="00300092" w:rsidRPr="0063038B" w:rsidTr="00300092">
        <w:tc>
          <w:tcPr>
            <w:tcW w:w="2178" w:type="dxa"/>
            <w:tcBorders>
              <w:top w:val="single" w:sz="8" w:space="0" w:color="4F81BD"/>
              <w:bottom w:val="single" w:sz="8" w:space="0" w:color="4F81BD"/>
            </w:tcBorders>
          </w:tcPr>
          <w:p w:rsidR="00300092" w:rsidRPr="007D4A8A" w:rsidRDefault="00300092" w:rsidP="00300092">
            <w:pPr>
              <w:pStyle w:val="BodyText"/>
              <w:rPr>
                <w:rFonts w:ascii="Arial" w:hAnsi="Arial"/>
                <w:b/>
                <w:bCs/>
                <w:sz w:val="18"/>
                <w:szCs w:val="18"/>
              </w:rPr>
            </w:pPr>
            <w:r w:rsidRPr="007D4A8A">
              <w:rPr>
                <w:rFonts w:ascii="Arial" w:hAnsi="Arial"/>
                <w:bCs/>
                <w:sz w:val="18"/>
                <w:szCs w:val="18"/>
              </w:rPr>
              <w:t>STL diesel</w:t>
            </w:r>
          </w:p>
        </w:tc>
        <w:tc>
          <w:tcPr>
            <w:tcW w:w="2178"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
              <w:rPr>
                <w:rFonts w:ascii="Arial" w:hAnsi="Arial"/>
                <w:sz w:val="18"/>
                <w:szCs w:val="18"/>
              </w:rPr>
            </w:pPr>
            <w:r>
              <w:rPr>
                <w:rFonts w:ascii="Arial" w:hAnsi="Arial"/>
                <w:sz w:val="18"/>
                <w:szCs w:val="18"/>
              </w:rPr>
              <w:t>43</w:t>
            </w:r>
            <w:r w:rsidRPr="007D4A8A">
              <w:rPr>
                <w:rFonts w:ascii="Arial" w:hAnsi="Arial"/>
                <w:sz w:val="18"/>
                <w:szCs w:val="18"/>
              </w:rPr>
              <w:t>.0</w:t>
            </w:r>
          </w:p>
        </w:tc>
        <w:tc>
          <w:tcPr>
            <w:tcW w:w="2178" w:type="dxa"/>
            <w:tcBorders>
              <w:top w:val="single" w:sz="8" w:space="0" w:color="4F81BD"/>
              <w:bottom w:val="single" w:sz="8" w:space="0" w:color="4F81BD"/>
            </w:tcBorders>
          </w:tcPr>
          <w:p w:rsidR="00300092" w:rsidRPr="007D4A8A" w:rsidRDefault="00300092" w:rsidP="00300092">
            <w:pPr>
              <w:pStyle w:val="BodyText"/>
              <w:rPr>
                <w:rFonts w:ascii="Arial" w:hAnsi="Arial"/>
                <w:sz w:val="18"/>
                <w:szCs w:val="18"/>
              </w:rPr>
            </w:pPr>
            <w:r w:rsidRPr="007D4A8A">
              <w:rPr>
                <w:rFonts w:ascii="Arial" w:hAnsi="Arial"/>
                <w:sz w:val="18"/>
                <w:szCs w:val="18"/>
              </w:rPr>
              <w:t>0.84</w:t>
            </w:r>
          </w:p>
        </w:tc>
        <w:tc>
          <w:tcPr>
            <w:tcW w:w="2179" w:type="dxa"/>
            <w:tcBorders>
              <w:top w:val="single" w:sz="8" w:space="0" w:color="4F81BD"/>
              <w:left w:val="single" w:sz="8" w:space="0" w:color="4F81BD"/>
              <w:bottom w:val="single" w:sz="8" w:space="0" w:color="4F81BD"/>
            </w:tcBorders>
          </w:tcPr>
          <w:p w:rsidR="00300092" w:rsidRPr="007D4A8A" w:rsidRDefault="00300092" w:rsidP="00300092">
            <w:pPr>
              <w:pStyle w:val="BodyText"/>
              <w:rPr>
                <w:rFonts w:ascii="Arial" w:hAnsi="Arial"/>
                <w:sz w:val="18"/>
                <w:szCs w:val="18"/>
              </w:rPr>
            </w:pPr>
            <w:r w:rsidRPr="007D4A8A">
              <w:rPr>
                <w:rFonts w:ascii="Arial" w:hAnsi="Arial"/>
                <w:sz w:val="18"/>
                <w:szCs w:val="18"/>
              </w:rPr>
              <w:t>33.6</w:t>
            </w:r>
          </w:p>
        </w:tc>
      </w:tr>
    </w:tbl>
    <w:p w:rsidR="00300092" w:rsidRPr="00753AB2" w:rsidRDefault="00300092" w:rsidP="00300092">
      <w:pPr>
        <w:rPr>
          <w:rFonts w:ascii="Arial" w:hAnsi="Arial" w:cs="Arial"/>
          <w:sz w:val="18"/>
          <w:szCs w:val="18"/>
        </w:rPr>
      </w:pPr>
      <w:r w:rsidRPr="00753AB2">
        <w:rPr>
          <w:rFonts w:ascii="Arial" w:hAnsi="Arial" w:cs="Arial"/>
          <w:sz w:val="18"/>
          <w:szCs w:val="18"/>
        </w:rPr>
        <w:t>Note: The Lower Heating Value (LHV) is used in deference to Higher Heating Value (HHV) as the latent enthalpy of vaporisation for water vapour exhaust gas is not recovered in useful work.</w:t>
      </w:r>
    </w:p>
    <w:p w:rsidR="00300092" w:rsidRPr="00995CC6" w:rsidRDefault="00300092" w:rsidP="00300092">
      <w:pPr>
        <w:pStyle w:val="BodyText"/>
        <w:rPr>
          <w:rFonts w:ascii="Arial" w:hAnsi="Arial"/>
          <w:sz w:val="18"/>
          <w:szCs w:val="18"/>
        </w:rPr>
      </w:pPr>
      <w:r>
        <w:rPr>
          <w:rFonts w:ascii="Arial" w:hAnsi="Arial"/>
          <w:sz w:val="18"/>
          <w:szCs w:val="18"/>
        </w:rPr>
        <w:t>Source: Graham et al. (2008)</w:t>
      </w:r>
    </w:p>
    <w:p w:rsidR="00300092" w:rsidRPr="00FD00DA" w:rsidRDefault="00300092" w:rsidP="00300092">
      <w:pPr>
        <w:pStyle w:val="BodyText"/>
      </w:pPr>
      <w:r w:rsidRPr="00FD00DA">
        <w:t xml:space="preserve">The energy content of reported fuels was used to determine generic energy consumptions for Spark Ignition (gasoline) or Compression Ignition (diesel) internal combustion engines. Each alternative fuel was associated with the energy consumption of either the SI or CI combustion process, and alternative fuel efficiencies were then determined according to the properties of the individual fuel. </w:t>
      </w:r>
    </w:p>
    <w:p w:rsidR="00300092" w:rsidRDefault="00300092" w:rsidP="00300092">
      <w:pPr>
        <w:pStyle w:val="BodyText"/>
      </w:pPr>
      <w:r w:rsidRPr="00FD00DA">
        <w:t>The assumed relationship between fuel type and combustion process is presented in</w:t>
      </w:r>
      <w:r>
        <w:t xml:space="preserve"> Table</w:t>
      </w:r>
      <w:r w:rsidR="006B4FE4">
        <w:t xml:space="preserve"> A</w:t>
      </w:r>
      <w:r>
        <w:t>-7</w:t>
      </w:r>
      <w:r w:rsidRPr="00FD00DA">
        <w:t>. For light duty vehicles, buses and rigid trucks, all variants of diesel fuel were assumed applicable to CI engines, the remainder to SI engines. For articulated trucks it was assumed that all fuels with the exception of gasoline and E10 were applicable to CI engines</w:t>
      </w:r>
      <w:r>
        <w:t>.</w:t>
      </w:r>
      <w:r w:rsidRPr="00FD00DA">
        <w:t xml:space="preserve"> </w:t>
      </w:r>
      <w:r>
        <w:t>This is because</w:t>
      </w:r>
      <w:r w:rsidRPr="00FD00DA">
        <w:t xml:space="preserve"> performance requirements in this sector determine that CI diesel is dominant, and alternative fuel programs accordingly </w:t>
      </w:r>
      <w:r>
        <w:t>rely on this</w:t>
      </w:r>
      <w:r w:rsidRPr="00FD00DA">
        <w:t xml:space="preserve"> architecture.</w:t>
      </w:r>
    </w:p>
    <w:p w:rsidR="00300092" w:rsidRDefault="00300092" w:rsidP="00300092">
      <w:pPr>
        <w:pStyle w:val="BodyText"/>
      </w:pPr>
    </w:p>
    <w:p w:rsidR="00300092" w:rsidRDefault="00300092" w:rsidP="00300092">
      <w:pPr>
        <w:pStyle w:val="Caption"/>
      </w:pPr>
      <w:r>
        <w:br w:type="page"/>
      </w:r>
      <w:bookmarkStart w:id="210" w:name="_Toc308443510"/>
      <w:bookmarkStart w:id="211" w:name="_Toc366227393"/>
      <w:r>
        <w:lastRenderedPageBreak/>
        <w:t xml:space="preserve">Table </w:t>
      </w:r>
      <w:r w:rsidR="006B4FE4">
        <w:t>A</w:t>
      </w:r>
      <w:r>
        <w:noBreakHyphen/>
      </w:r>
      <w:r w:rsidR="00C14EF7">
        <w:fldChar w:fldCharType="begin"/>
      </w:r>
      <w:r>
        <w:instrText xml:space="preserve"> SEQ Table \* ARABIC \s 1 </w:instrText>
      </w:r>
      <w:r w:rsidR="00C14EF7">
        <w:fldChar w:fldCharType="separate"/>
      </w:r>
      <w:r w:rsidR="003E0F65">
        <w:rPr>
          <w:noProof/>
        </w:rPr>
        <w:t>7</w:t>
      </w:r>
      <w:r w:rsidR="00C14EF7">
        <w:fldChar w:fldCharType="end"/>
      </w:r>
      <w:r>
        <w:t>: Combustion process according to fuel</w:t>
      </w:r>
      <w:bookmarkEnd w:id="210"/>
      <w:bookmarkEnd w:id="211"/>
    </w:p>
    <w:tbl>
      <w:tblPr>
        <w:tblW w:w="0" w:type="auto"/>
        <w:tblBorders>
          <w:top w:val="single" w:sz="8" w:space="0" w:color="4F81BD"/>
          <w:left w:val="single" w:sz="8" w:space="0" w:color="4F81BD"/>
          <w:bottom w:val="single" w:sz="8" w:space="0" w:color="4F81BD"/>
          <w:right w:val="single" w:sz="8" w:space="0" w:color="4F81BD"/>
        </w:tblBorders>
        <w:tblLook w:val="00A0"/>
      </w:tblPr>
      <w:tblGrid>
        <w:gridCol w:w="1122"/>
        <w:gridCol w:w="745"/>
        <w:gridCol w:w="764"/>
        <w:gridCol w:w="645"/>
        <w:gridCol w:w="672"/>
        <w:gridCol w:w="587"/>
        <w:gridCol w:w="692"/>
        <w:gridCol w:w="614"/>
        <w:gridCol w:w="610"/>
        <w:gridCol w:w="610"/>
        <w:gridCol w:w="512"/>
        <w:gridCol w:w="987"/>
      </w:tblGrid>
      <w:tr w:rsidR="00300092" w:rsidRPr="00057EFE" w:rsidTr="00300092">
        <w:tc>
          <w:tcPr>
            <w:tcW w:w="1122" w:type="dxa"/>
            <w:tcBorders>
              <w:top w:val="single" w:sz="8" w:space="0" w:color="4F81BD"/>
            </w:tcBorders>
            <w:shd w:val="clear" w:color="auto" w:fill="4F81BD"/>
          </w:tcPr>
          <w:p w:rsidR="00300092" w:rsidRPr="007D4A8A" w:rsidRDefault="00300092" w:rsidP="00300092">
            <w:pPr>
              <w:pStyle w:val="BodyText"/>
              <w:rPr>
                <w:rFonts w:ascii="Arial" w:hAnsi="Arial"/>
                <w:b/>
                <w:bCs/>
                <w:color w:val="FFFFFF"/>
                <w:sz w:val="18"/>
                <w:szCs w:val="18"/>
              </w:rPr>
            </w:pPr>
          </w:p>
        </w:tc>
        <w:tc>
          <w:tcPr>
            <w:tcW w:w="745" w:type="dxa"/>
            <w:tcBorders>
              <w:top w:val="single" w:sz="8" w:space="0" w:color="4F81BD"/>
              <w:left w:val="single" w:sz="8" w:space="0" w:color="4F81BD"/>
              <w:right w:val="single" w:sz="8" w:space="0" w:color="4F81BD"/>
            </w:tcBorders>
            <w:shd w:val="clear" w:color="auto" w:fill="4F81BD"/>
          </w:tcPr>
          <w:p w:rsidR="00300092" w:rsidRPr="007D4A8A" w:rsidRDefault="00300092" w:rsidP="00300092">
            <w:pPr>
              <w:pStyle w:val="BodyText"/>
              <w:rPr>
                <w:rFonts w:ascii="Arial" w:hAnsi="Arial"/>
                <w:b/>
                <w:bCs/>
                <w:color w:val="FFFFFF"/>
                <w:sz w:val="18"/>
                <w:szCs w:val="18"/>
              </w:rPr>
            </w:pPr>
            <w:r w:rsidRPr="007D4A8A">
              <w:rPr>
                <w:rFonts w:ascii="Arial" w:hAnsi="Arial"/>
                <w:bCs/>
                <w:color w:val="FFFFFF"/>
                <w:sz w:val="18"/>
                <w:szCs w:val="18"/>
              </w:rPr>
              <w:t>Petrol</w:t>
            </w:r>
          </w:p>
        </w:tc>
        <w:tc>
          <w:tcPr>
            <w:tcW w:w="764" w:type="dxa"/>
            <w:tcBorders>
              <w:top w:val="single" w:sz="8" w:space="0" w:color="4F81BD"/>
            </w:tcBorders>
            <w:shd w:val="clear" w:color="auto" w:fill="4F81BD"/>
          </w:tcPr>
          <w:p w:rsidR="00300092" w:rsidRPr="007D4A8A" w:rsidRDefault="00300092" w:rsidP="00300092">
            <w:pPr>
              <w:pStyle w:val="BodyText"/>
              <w:rPr>
                <w:rFonts w:ascii="Arial" w:hAnsi="Arial"/>
                <w:b/>
                <w:bCs/>
                <w:color w:val="FFFFFF"/>
                <w:sz w:val="18"/>
                <w:szCs w:val="18"/>
              </w:rPr>
            </w:pPr>
            <w:r w:rsidRPr="007D4A8A">
              <w:rPr>
                <w:rFonts w:ascii="Arial" w:hAnsi="Arial"/>
                <w:bCs/>
                <w:color w:val="FFFFFF"/>
                <w:sz w:val="18"/>
                <w:szCs w:val="18"/>
              </w:rPr>
              <w:t>Diesel</w:t>
            </w:r>
          </w:p>
        </w:tc>
        <w:tc>
          <w:tcPr>
            <w:tcW w:w="645" w:type="dxa"/>
            <w:tcBorders>
              <w:top w:val="single" w:sz="8" w:space="0" w:color="4F81BD"/>
              <w:left w:val="single" w:sz="8" w:space="0" w:color="4F81BD"/>
              <w:right w:val="single" w:sz="8" w:space="0" w:color="4F81BD"/>
            </w:tcBorders>
            <w:shd w:val="clear" w:color="auto" w:fill="4F81BD"/>
          </w:tcPr>
          <w:p w:rsidR="00300092" w:rsidRPr="007D4A8A" w:rsidRDefault="00300092" w:rsidP="00300092">
            <w:pPr>
              <w:pStyle w:val="BodyText"/>
              <w:rPr>
                <w:rFonts w:ascii="Arial" w:hAnsi="Arial"/>
                <w:b/>
                <w:bCs/>
                <w:color w:val="FFFFFF"/>
                <w:sz w:val="18"/>
                <w:szCs w:val="18"/>
              </w:rPr>
            </w:pPr>
            <w:r w:rsidRPr="007D4A8A">
              <w:rPr>
                <w:rFonts w:ascii="Arial" w:hAnsi="Arial"/>
                <w:bCs/>
                <w:color w:val="FFFFFF"/>
                <w:sz w:val="18"/>
                <w:szCs w:val="18"/>
              </w:rPr>
              <w:t>LPG</w:t>
            </w:r>
          </w:p>
        </w:tc>
        <w:tc>
          <w:tcPr>
            <w:tcW w:w="672" w:type="dxa"/>
            <w:tcBorders>
              <w:top w:val="single" w:sz="8" w:space="0" w:color="4F81BD"/>
            </w:tcBorders>
            <w:shd w:val="clear" w:color="auto" w:fill="4F81BD"/>
          </w:tcPr>
          <w:p w:rsidR="00300092" w:rsidRPr="007D4A8A" w:rsidRDefault="00300092" w:rsidP="00300092">
            <w:pPr>
              <w:pStyle w:val="BodyText"/>
              <w:rPr>
                <w:rFonts w:ascii="Arial" w:hAnsi="Arial"/>
                <w:b/>
                <w:bCs/>
                <w:color w:val="FFFFFF"/>
                <w:sz w:val="18"/>
                <w:szCs w:val="18"/>
              </w:rPr>
            </w:pPr>
            <w:r w:rsidRPr="007D4A8A">
              <w:rPr>
                <w:rFonts w:ascii="Arial" w:hAnsi="Arial"/>
                <w:bCs/>
                <w:color w:val="FFFFFF"/>
                <w:sz w:val="18"/>
                <w:szCs w:val="18"/>
              </w:rPr>
              <w:t>CNG</w:t>
            </w:r>
          </w:p>
        </w:tc>
        <w:tc>
          <w:tcPr>
            <w:tcW w:w="587" w:type="dxa"/>
            <w:tcBorders>
              <w:top w:val="single" w:sz="8" w:space="0" w:color="4F81BD"/>
              <w:left w:val="single" w:sz="8" w:space="0" w:color="4F81BD"/>
              <w:right w:val="single" w:sz="8" w:space="0" w:color="4F81BD"/>
            </w:tcBorders>
            <w:shd w:val="clear" w:color="auto" w:fill="4F81BD"/>
          </w:tcPr>
          <w:p w:rsidR="00300092" w:rsidRPr="007D4A8A" w:rsidRDefault="00300092" w:rsidP="00300092">
            <w:pPr>
              <w:pStyle w:val="BodyText"/>
              <w:rPr>
                <w:rFonts w:ascii="Arial" w:hAnsi="Arial"/>
                <w:b/>
                <w:bCs/>
                <w:color w:val="FFFFFF"/>
                <w:sz w:val="18"/>
                <w:szCs w:val="18"/>
              </w:rPr>
            </w:pPr>
            <w:r w:rsidRPr="007D4A8A">
              <w:rPr>
                <w:rFonts w:ascii="Arial" w:hAnsi="Arial"/>
                <w:bCs/>
                <w:color w:val="FFFFFF"/>
                <w:sz w:val="18"/>
                <w:szCs w:val="18"/>
              </w:rPr>
              <w:t>LNG</w:t>
            </w:r>
          </w:p>
        </w:tc>
        <w:tc>
          <w:tcPr>
            <w:tcW w:w="692" w:type="dxa"/>
            <w:tcBorders>
              <w:top w:val="single" w:sz="8" w:space="0" w:color="4F81BD"/>
            </w:tcBorders>
            <w:shd w:val="clear" w:color="auto" w:fill="4F81BD"/>
          </w:tcPr>
          <w:p w:rsidR="00300092" w:rsidRPr="007D4A8A" w:rsidRDefault="00300092" w:rsidP="00300092">
            <w:pPr>
              <w:pStyle w:val="BodyText"/>
              <w:rPr>
                <w:rFonts w:ascii="Arial" w:hAnsi="Arial"/>
                <w:b/>
                <w:bCs/>
                <w:color w:val="FFFFFF"/>
                <w:sz w:val="18"/>
                <w:szCs w:val="18"/>
              </w:rPr>
            </w:pPr>
            <w:r w:rsidRPr="007D4A8A">
              <w:rPr>
                <w:rFonts w:ascii="Arial" w:hAnsi="Arial"/>
                <w:bCs/>
                <w:color w:val="FFFFFF"/>
                <w:sz w:val="18"/>
                <w:szCs w:val="18"/>
              </w:rPr>
              <w:t>B100</w:t>
            </w:r>
          </w:p>
        </w:tc>
        <w:tc>
          <w:tcPr>
            <w:tcW w:w="614" w:type="dxa"/>
            <w:tcBorders>
              <w:top w:val="single" w:sz="8" w:space="0" w:color="4F81BD"/>
              <w:left w:val="single" w:sz="8" w:space="0" w:color="4F81BD"/>
              <w:right w:val="single" w:sz="8" w:space="0" w:color="4F81BD"/>
            </w:tcBorders>
            <w:shd w:val="clear" w:color="auto" w:fill="4F81BD"/>
          </w:tcPr>
          <w:p w:rsidR="00300092" w:rsidRPr="007D4A8A" w:rsidRDefault="00300092" w:rsidP="00300092">
            <w:pPr>
              <w:pStyle w:val="BodyText"/>
              <w:rPr>
                <w:rFonts w:ascii="Arial" w:hAnsi="Arial"/>
                <w:b/>
                <w:bCs/>
                <w:color w:val="FFFFFF"/>
                <w:sz w:val="18"/>
                <w:szCs w:val="18"/>
              </w:rPr>
            </w:pPr>
            <w:r w:rsidRPr="007D4A8A">
              <w:rPr>
                <w:rFonts w:ascii="Arial" w:hAnsi="Arial"/>
                <w:bCs/>
                <w:color w:val="FFFFFF"/>
                <w:sz w:val="18"/>
                <w:szCs w:val="18"/>
              </w:rPr>
              <w:t>B20</w:t>
            </w:r>
          </w:p>
        </w:tc>
        <w:tc>
          <w:tcPr>
            <w:tcW w:w="610" w:type="dxa"/>
            <w:tcBorders>
              <w:top w:val="single" w:sz="8" w:space="0" w:color="4F81BD"/>
            </w:tcBorders>
            <w:shd w:val="clear" w:color="auto" w:fill="4F81BD"/>
          </w:tcPr>
          <w:p w:rsidR="00300092" w:rsidRPr="007D4A8A" w:rsidRDefault="00300092" w:rsidP="00300092">
            <w:pPr>
              <w:pStyle w:val="BodyText"/>
              <w:rPr>
                <w:rFonts w:ascii="Arial" w:hAnsi="Arial"/>
                <w:b/>
                <w:bCs/>
                <w:color w:val="FFFFFF"/>
                <w:sz w:val="18"/>
                <w:szCs w:val="18"/>
              </w:rPr>
            </w:pPr>
            <w:r w:rsidRPr="007D4A8A">
              <w:rPr>
                <w:rFonts w:ascii="Arial" w:hAnsi="Arial"/>
                <w:bCs/>
                <w:color w:val="FFFFFF"/>
                <w:sz w:val="18"/>
                <w:szCs w:val="18"/>
              </w:rPr>
              <w:t>E85</w:t>
            </w:r>
          </w:p>
        </w:tc>
        <w:tc>
          <w:tcPr>
            <w:tcW w:w="610" w:type="dxa"/>
            <w:tcBorders>
              <w:top w:val="single" w:sz="8" w:space="0" w:color="4F81BD"/>
              <w:left w:val="single" w:sz="8" w:space="0" w:color="4F81BD"/>
              <w:right w:val="single" w:sz="8" w:space="0" w:color="4F81BD"/>
            </w:tcBorders>
            <w:shd w:val="clear" w:color="auto" w:fill="4F81BD"/>
          </w:tcPr>
          <w:p w:rsidR="00300092" w:rsidRPr="007D4A8A" w:rsidRDefault="00300092" w:rsidP="00300092">
            <w:pPr>
              <w:pStyle w:val="BodyText"/>
              <w:rPr>
                <w:rFonts w:ascii="Arial" w:hAnsi="Arial"/>
                <w:b/>
                <w:bCs/>
                <w:color w:val="FFFFFF"/>
                <w:sz w:val="18"/>
                <w:szCs w:val="18"/>
              </w:rPr>
            </w:pPr>
            <w:r w:rsidRPr="007D4A8A">
              <w:rPr>
                <w:rFonts w:ascii="Arial" w:hAnsi="Arial"/>
                <w:bCs/>
                <w:color w:val="FFFFFF"/>
                <w:sz w:val="18"/>
                <w:szCs w:val="18"/>
              </w:rPr>
              <w:t>E10</w:t>
            </w:r>
          </w:p>
        </w:tc>
        <w:tc>
          <w:tcPr>
            <w:tcW w:w="512" w:type="dxa"/>
            <w:tcBorders>
              <w:top w:val="single" w:sz="8" w:space="0" w:color="4F81BD"/>
            </w:tcBorders>
            <w:shd w:val="clear" w:color="auto" w:fill="4F81BD"/>
          </w:tcPr>
          <w:p w:rsidR="00300092" w:rsidRPr="007D4A8A" w:rsidRDefault="00300092" w:rsidP="00300092">
            <w:pPr>
              <w:pStyle w:val="BodyText"/>
              <w:rPr>
                <w:rFonts w:ascii="Arial" w:hAnsi="Arial"/>
                <w:b/>
                <w:bCs/>
                <w:color w:val="FFFFFF"/>
                <w:sz w:val="18"/>
                <w:szCs w:val="18"/>
              </w:rPr>
            </w:pPr>
            <w:r w:rsidRPr="007D4A8A">
              <w:rPr>
                <w:rFonts w:ascii="Arial" w:hAnsi="Arial"/>
                <w:bCs/>
                <w:color w:val="FFFFFF"/>
                <w:sz w:val="18"/>
                <w:szCs w:val="18"/>
              </w:rPr>
              <w:t>H</w:t>
            </w:r>
            <w:r w:rsidRPr="007D4A8A">
              <w:rPr>
                <w:rFonts w:ascii="Arial" w:hAnsi="Arial"/>
                <w:bCs/>
                <w:color w:val="FFFFFF"/>
                <w:sz w:val="18"/>
                <w:szCs w:val="18"/>
                <w:vertAlign w:val="subscript"/>
              </w:rPr>
              <w:t>2</w:t>
            </w:r>
          </w:p>
        </w:tc>
        <w:tc>
          <w:tcPr>
            <w:tcW w:w="575" w:type="dxa"/>
            <w:tcBorders>
              <w:top w:val="single" w:sz="8" w:space="0" w:color="4F81BD"/>
              <w:left w:val="single" w:sz="8" w:space="0" w:color="4F81BD"/>
            </w:tcBorders>
            <w:shd w:val="clear" w:color="auto" w:fill="4F81BD"/>
          </w:tcPr>
          <w:p w:rsidR="00300092" w:rsidRPr="007D4A8A" w:rsidRDefault="00300092" w:rsidP="00300092">
            <w:pPr>
              <w:pStyle w:val="BodyText"/>
              <w:rPr>
                <w:rFonts w:ascii="Arial" w:hAnsi="Arial"/>
                <w:b/>
                <w:bCs/>
                <w:color w:val="FFFFFF"/>
                <w:sz w:val="18"/>
                <w:szCs w:val="18"/>
              </w:rPr>
            </w:pPr>
            <w:r w:rsidRPr="007D4A8A">
              <w:rPr>
                <w:rFonts w:ascii="Arial" w:hAnsi="Arial"/>
                <w:bCs/>
                <w:color w:val="FFFFFF"/>
                <w:sz w:val="18"/>
                <w:szCs w:val="18"/>
              </w:rPr>
              <w:t>S,C&amp;GTL</w:t>
            </w:r>
          </w:p>
        </w:tc>
      </w:tr>
      <w:tr w:rsidR="00300092" w:rsidRPr="00057EFE" w:rsidTr="00300092">
        <w:trPr>
          <w:trHeight w:hRule="exact" w:val="567"/>
        </w:trPr>
        <w:tc>
          <w:tcPr>
            <w:tcW w:w="1122" w:type="dxa"/>
            <w:tcBorders>
              <w:top w:val="single" w:sz="8" w:space="0" w:color="4F81BD"/>
              <w:bottom w:val="single" w:sz="8" w:space="0" w:color="4F81BD"/>
            </w:tcBorders>
          </w:tcPr>
          <w:p w:rsidR="00300092" w:rsidRPr="007D4A8A" w:rsidRDefault="00300092" w:rsidP="00300092">
            <w:pPr>
              <w:pStyle w:val="BodyText"/>
              <w:rPr>
                <w:rFonts w:ascii="Arial" w:hAnsi="Arial"/>
                <w:b/>
                <w:bCs/>
                <w:sz w:val="18"/>
                <w:szCs w:val="18"/>
              </w:rPr>
            </w:pPr>
            <w:r w:rsidRPr="007D4A8A">
              <w:rPr>
                <w:rFonts w:ascii="Arial" w:hAnsi="Arial"/>
                <w:bCs/>
                <w:sz w:val="18"/>
                <w:szCs w:val="18"/>
              </w:rPr>
              <w:t>Passenger Cars</w:t>
            </w:r>
          </w:p>
        </w:tc>
        <w:tc>
          <w:tcPr>
            <w:tcW w:w="745"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
              <w:rPr>
                <w:rFonts w:ascii="Arial" w:hAnsi="Arial"/>
                <w:sz w:val="18"/>
                <w:szCs w:val="18"/>
              </w:rPr>
            </w:pPr>
          </w:p>
        </w:tc>
        <w:tc>
          <w:tcPr>
            <w:tcW w:w="764" w:type="dxa"/>
            <w:tcBorders>
              <w:top w:val="single" w:sz="8" w:space="0" w:color="4F81BD"/>
              <w:bottom w:val="single" w:sz="8" w:space="0" w:color="4F81BD"/>
            </w:tcBorders>
          </w:tcPr>
          <w:p w:rsidR="00300092" w:rsidRPr="007D4A8A" w:rsidRDefault="00300092" w:rsidP="00300092">
            <w:pPr>
              <w:pStyle w:val="BodyText"/>
              <w:rPr>
                <w:rFonts w:ascii="Arial" w:hAnsi="Arial"/>
                <w:sz w:val="18"/>
                <w:szCs w:val="18"/>
              </w:rPr>
            </w:pPr>
          </w:p>
        </w:tc>
        <w:tc>
          <w:tcPr>
            <w:tcW w:w="645"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
              <w:rPr>
                <w:rFonts w:ascii="Arial" w:hAnsi="Arial"/>
                <w:sz w:val="18"/>
                <w:szCs w:val="18"/>
              </w:rPr>
            </w:pPr>
          </w:p>
        </w:tc>
        <w:tc>
          <w:tcPr>
            <w:tcW w:w="672" w:type="dxa"/>
            <w:tcBorders>
              <w:top w:val="single" w:sz="8" w:space="0" w:color="4F81BD"/>
              <w:bottom w:val="single" w:sz="8" w:space="0" w:color="4F81BD"/>
            </w:tcBorders>
          </w:tcPr>
          <w:p w:rsidR="00300092" w:rsidRPr="007D4A8A" w:rsidRDefault="00300092" w:rsidP="00300092">
            <w:pPr>
              <w:pStyle w:val="BodyText"/>
              <w:rPr>
                <w:rFonts w:ascii="Arial" w:hAnsi="Arial"/>
                <w:sz w:val="18"/>
                <w:szCs w:val="18"/>
              </w:rPr>
            </w:pPr>
          </w:p>
        </w:tc>
        <w:tc>
          <w:tcPr>
            <w:tcW w:w="587"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
              <w:rPr>
                <w:rFonts w:ascii="Arial" w:hAnsi="Arial"/>
                <w:sz w:val="18"/>
                <w:szCs w:val="18"/>
              </w:rPr>
            </w:pPr>
          </w:p>
        </w:tc>
        <w:tc>
          <w:tcPr>
            <w:tcW w:w="692" w:type="dxa"/>
            <w:tcBorders>
              <w:top w:val="single" w:sz="8" w:space="0" w:color="4F81BD"/>
              <w:bottom w:val="single" w:sz="8" w:space="0" w:color="4F81BD"/>
            </w:tcBorders>
          </w:tcPr>
          <w:p w:rsidR="00300092" w:rsidRPr="007D4A8A" w:rsidRDefault="00300092" w:rsidP="00300092">
            <w:pPr>
              <w:pStyle w:val="BodyText"/>
              <w:rPr>
                <w:rFonts w:ascii="Arial" w:hAnsi="Arial"/>
                <w:sz w:val="18"/>
                <w:szCs w:val="18"/>
              </w:rPr>
            </w:pPr>
          </w:p>
        </w:tc>
        <w:tc>
          <w:tcPr>
            <w:tcW w:w="614"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
              <w:rPr>
                <w:rFonts w:ascii="Arial" w:hAnsi="Arial"/>
                <w:sz w:val="18"/>
                <w:szCs w:val="18"/>
              </w:rPr>
            </w:pPr>
          </w:p>
        </w:tc>
        <w:tc>
          <w:tcPr>
            <w:tcW w:w="610" w:type="dxa"/>
            <w:tcBorders>
              <w:top w:val="single" w:sz="8" w:space="0" w:color="4F81BD"/>
              <w:bottom w:val="single" w:sz="8" w:space="0" w:color="4F81BD"/>
            </w:tcBorders>
          </w:tcPr>
          <w:p w:rsidR="00300092" w:rsidRPr="007D4A8A" w:rsidRDefault="00300092" w:rsidP="00300092">
            <w:pPr>
              <w:pStyle w:val="BodyText"/>
              <w:rPr>
                <w:rFonts w:ascii="Arial" w:hAnsi="Arial"/>
                <w:sz w:val="18"/>
                <w:szCs w:val="18"/>
              </w:rPr>
            </w:pPr>
          </w:p>
        </w:tc>
        <w:tc>
          <w:tcPr>
            <w:tcW w:w="610"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
              <w:rPr>
                <w:rFonts w:ascii="Arial" w:hAnsi="Arial"/>
                <w:sz w:val="18"/>
                <w:szCs w:val="18"/>
              </w:rPr>
            </w:pPr>
          </w:p>
        </w:tc>
        <w:tc>
          <w:tcPr>
            <w:tcW w:w="512" w:type="dxa"/>
            <w:tcBorders>
              <w:top w:val="single" w:sz="8" w:space="0" w:color="4F81BD"/>
              <w:bottom w:val="single" w:sz="8" w:space="0" w:color="4F81BD"/>
            </w:tcBorders>
          </w:tcPr>
          <w:p w:rsidR="00300092" w:rsidRPr="007D4A8A" w:rsidRDefault="00300092" w:rsidP="00300092">
            <w:pPr>
              <w:pStyle w:val="BodyText"/>
              <w:rPr>
                <w:rFonts w:ascii="Arial" w:hAnsi="Arial"/>
                <w:sz w:val="18"/>
                <w:szCs w:val="18"/>
              </w:rPr>
            </w:pPr>
          </w:p>
        </w:tc>
        <w:tc>
          <w:tcPr>
            <w:tcW w:w="575" w:type="dxa"/>
            <w:tcBorders>
              <w:top w:val="single" w:sz="8" w:space="0" w:color="4F81BD"/>
              <w:left w:val="single" w:sz="8" w:space="0" w:color="4F81BD"/>
              <w:bottom w:val="single" w:sz="8" w:space="0" w:color="4F81BD"/>
            </w:tcBorders>
          </w:tcPr>
          <w:p w:rsidR="00300092" w:rsidRPr="007D4A8A" w:rsidRDefault="00300092" w:rsidP="00300092">
            <w:pPr>
              <w:pStyle w:val="BodyText"/>
              <w:rPr>
                <w:rFonts w:ascii="Arial" w:hAnsi="Arial"/>
                <w:sz w:val="18"/>
                <w:szCs w:val="18"/>
              </w:rPr>
            </w:pPr>
          </w:p>
        </w:tc>
      </w:tr>
      <w:tr w:rsidR="00300092" w:rsidRPr="00057EFE" w:rsidTr="00300092">
        <w:trPr>
          <w:trHeight w:hRule="exact" w:val="397"/>
        </w:trPr>
        <w:tc>
          <w:tcPr>
            <w:tcW w:w="1122" w:type="dxa"/>
          </w:tcPr>
          <w:p w:rsidR="00300092" w:rsidRPr="007D4A8A" w:rsidRDefault="00300092" w:rsidP="00300092">
            <w:pPr>
              <w:pStyle w:val="BodyText"/>
              <w:rPr>
                <w:rFonts w:ascii="Arial" w:hAnsi="Arial"/>
                <w:b/>
                <w:bCs/>
                <w:sz w:val="18"/>
                <w:szCs w:val="18"/>
              </w:rPr>
            </w:pPr>
            <w:r w:rsidRPr="007D4A8A">
              <w:rPr>
                <w:rFonts w:ascii="Arial" w:hAnsi="Arial"/>
                <w:b/>
                <w:bCs/>
                <w:sz w:val="18"/>
                <w:szCs w:val="18"/>
              </w:rPr>
              <w:t>Light</w:t>
            </w:r>
          </w:p>
        </w:tc>
        <w:tc>
          <w:tcPr>
            <w:tcW w:w="745" w:type="dxa"/>
            <w:tcBorders>
              <w:left w:val="single" w:sz="8" w:space="0" w:color="4F81BD"/>
              <w:right w:val="single" w:sz="8" w:space="0" w:color="4F81BD"/>
            </w:tcBorders>
          </w:tcPr>
          <w:p w:rsidR="00300092" w:rsidRPr="007D4A8A" w:rsidRDefault="00300092" w:rsidP="00300092">
            <w:pPr>
              <w:pStyle w:val="BodyText"/>
              <w:rPr>
                <w:rFonts w:ascii="Arial" w:hAnsi="Arial"/>
                <w:sz w:val="18"/>
                <w:szCs w:val="18"/>
              </w:rPr>
            </w:pPr>
            <w:r w:rsidRPr="007D4A8A">
              <w:rPr>
                <w:rFonts w:ascii="Arial" w:hAnsi="Arial"/>
                <w:sz w:val="18"/>
                <w:szCs w:val="18"/>
              </w:rPr>
              <w:t>SI</w:t>
            </w:r>
          </w:p>
        </w:tc>
        <w:tc>
          <w:tcPr>
            <w:tcW w:w="764" w:type="dxa"/>
          </w:tcPr>
          <w:p w:rsidR="00300092" w:rsidRPr="007D4A8A" w:rsidRDefault="00300092" w:rsidP="00300092">
            <w:pPr>
              <w:pStyle w:val="BodyText"/>
              <w:rPr>
                <w:rFonts w:ascii="Arial" w:hAnsi="Arial"/>
                <w:sz w:val="18"/>
                <w:szCs w:val="18"/>
              </w:rPr>
            </w:pPr>
            <w:r w:rsidRPr="007D4A8A">
              <w:rPr>
                <w:rFonts w:ascii="Arial" w:hAnsi="Arial"/>
                <w:sz w:val="18"/>
                <w:szCs w:val="18"/>
              </w:rPr>
              <w:t>CI</w:t>
            </w:r>
          </w:p>
        </w:tc>
        <w:tc>
          <w:tcPr>
            <w:tcW w:w="645" w:type="dxa"/>
            <w:tcBorders>
              <w:left w:val="single" w:sz="8" w:space="0" w:color="4F81BD"/>
              <w:right w:val="single" w:sz="8" w:space="0" w:color="4F81BD"/>
            </w:tcBorders>
          </w:tcPr>
          <w:p w:rsidR="00300092" w:rsidRPr="007D4A8A" w:rsidRDefault="00300092" w:rsidP="00300092">
            <w:pPr>
              <w:pStyle w:val="BodyText"/>
              <w:rPr>
                <w:rFonts w:ascii="Arial" w:hAnsi="Arial"/>
                <w:sz w:val="18"/>
                <w:szCs w:val="18"/>
              </w:rPr>
            </w:pPr>
            <w:r w:rsidRPr="007D4A8A">
              <w:rPr>
                <w:rFonts w:ascii="Arial" w:hAnsi="Arial"/>
                <w:sz w:val="18"/>
                <w:szCs w:val="18"/>
              </w:rPr>
              <w:t>SI</w:t>
            </w:r>
          </w:p>
        </w:tc>
        <w:tc>
          <w:tcPr>
            <w:tcW w:w="672" w:type="dxa"/>
          </w:tcPr>
          <w:p w:rsidR="00300092" w:rsidRPr="007D4A8A" w:rsidRDefault="00300092" w:rsidP="00300092">
            <w:pPr>
              <w:pStyle w:val="BodyText"/>
              <w:rPr>
                <w:rFonts w:ascii="Arial" w:hAnsi="Arial"/>
                <w:sz w:val="18"/>
                <w:szCs w:val="18"/>
              </w:rPr>
            </w:pPr>
            <w:r w:rsidRPr="007D4A8A">
              <w:rPr>
                <w:rFonts w:ascii="Arial" w:hAnsi="Arial"/>
                <w:sz w:val="18"/>
                <w:szCs w:val="18"/>
              </w:rPr>
              <w:t>SI</w:t>
            </w:r>
          </w:p>
        </w:tc>
        <w:tc>
          <w:tcPr>
            <w:tcW w:w="587" w:type="dxa"/>
            <w:tcBorders>
              <w:left w:val="single" w:sz="8" w:space="0" w:color="4F81BD"/>
              <w:right w:val="single" w:sz="8" w:space="0" w:color="4F81BD"/>
            </w:tcBorders>
          </w:tcPr>
          <w:p w:rsidR="00300092" w:rsidRPr="007D4A8A" w:rsidRDefault="00300092" w:rsidP="00300092">
            <w:pPr>
              <w:pStyle w:val="BodyText"/>
              <w:rPr>
                <w:rFonts w:ascii="Arial" w:hAnsi="Arial"/>
                <w:sz w:val="18"/>
                <w:szCs w:val="18"/>
              </w:rPr>
            </w:pPr>
            <w:r w:rsidRPr="007D4A8A">
              <w:rPr>
                <w:rFonts w:ascii="Arial" w:hAnsi="Arial"/>
                <w:sz w:val="18"/>
                <w:szCs w:val="18"/>
              </w:rPr>
              <w:t>NA</w:t>
            </w:r>
          </w:p>
        </w:tc>
        <w:tc>
          <w:tcPr>
            <w:tcW w:w="692" w:type="dxa"/>
          </w:tcPr>
          <w:p w:rsidR="00300092" w:rsidRPr="007D4A8A" w:rsidRDefault="00300092" w:rsidP="00300092">
            <w:pPr>
              <w:pStyle w:val="BodyText"/>
              <w:rPr>
                <w:rFonts w:ascii="Arial" w:hAnsi="Arial"/>
                <w:sz w:val="18"/>
                <w:szCs w:val="18"/>
              </w:rPr>
            </w:pPr>
            <w:r w:rsidRPr="007D4A8A">
              <w:rPr>
                <w:rFonts w:ascii="Arial" w:hAnsi="Arial"/>
                <w:sz w:val="18"/>
                <w:szCs w:val="18"/>
              </w:rPr>
              <w:t>CI</w:t>
            </w:r>
          </w:p>
        </w:tc>
        <w:tc>
          <w:tcPr>
            <w:tcW w:w="614" w:type="dxa"/>
            <w:tcBorders>
              <w:left w:val="single" w:sz="8" w:space="0" w:color="4F81BD"/>
              <w:right w:val="single" w:sz="8" w:space="0" w:color="4F81BD"/>
            </w:tcBorders>
          </w:tcPr>
          <w:p w:rsidR="00300092" w:rsidRPr="007D4A8A" w:rsidRDefault="00300092" w:rsidP="00300092">
            <w:pPr>
              <w:pStyle w:val="BodyText"/>
              <w:rPr>
                <w:rFonts w:ascii="Arial" w:hAnsi="Arial"/>
                <w:sz w:val="18"/>
                <w:szCs w:val="18"/>
              </w:rPr>
            </w:pPr>
            <w:r w:rsidRPr="007D4A8A">
              <w:rPr>
                <w:rFonts w:ascii="Arial" w:hAnsi="Arial"/>
                <w:sz w:val="18"/>
                <w:szCs w:val="18"/>
              </w:rPr>
              <w:t>CI</w:t>
            </w:r>
          </w:p>
        </w:tc>
        <w:tc>
          <w:tcPr>
            <w:tcW w:w="610" w:type="dxa"/>
          </w:tcPr>
          <w:p w:rsidR="00300092" w:rsidRPr="007D4A8A" w:rsidRDefault="00300092" w:rsidP="00300092">
            <w:pPr>
              <w:pStyle w:val="BodyText"/>
              <w:rPr>
                <w:rFonts w:ascii="Arial" w:hAnsi="Arial"/>
                <w:sz w:val="18"/>
                <w:szCs w:val="18"/>
              </w:rPr>
            </w:pPr>
            <w:r w:rsidRPr="007D4A8A">
              <w:rPr>
                <w:rFonts w:ascii="Arial" w:hAnsi="Arial"/>
                <w:sz w:val="18"/>
                <w:szCs w:val="18"/>
              </w:rPr>
              <w:t>SI</w:t>
            </w:r>
          </w:p>
        </w:tc>
        <w:tc>
          <w:tcPr>
            <w:tcW w:w="610" w:type="dxa"/>
            <w:tcBorders>
              <w:left w:val="single" w:sz="8" w:space="0" w:color="4F81BD"/>
              <w:right w:val="single" w:sz="8" w:space="0" w:color="4F81BD"/>
            </w:tcBorders>
          </w:tcPr>
          <w:p w:rsidR="00300092" w:rsidRPr="007D4A8A" w:rsidRDefault="00300092" w:rsidP="00300092">
            <w:pPr>
              <w:pStyle w:val="BodyText"/>
              <w:rPr>
                <w:rFonts w:ascii="Arial" w:hAnsi="Arial"/>
                <w:sz w:val="18"/>
                <w:szCs w:val="18"/>
              </w:rPr>
            </w:pPr>
            <w:r w:rsidRPr="007D4A8A">
              <w:rPr>
                <w:rFonts w:ascii="Arial" w:hAnsi="Arial"/>
                <w:sz w:val="18"/>
                <w:szCs w:val="18"/>
              </w:rPr>
              <w:t>SI</w:t>
            </w:r>
          </w:p>
        </w:tc>
        <w:tc>
          <w:tcPr>
            <w:tcW w:w="512" w:type="dxa"/>
          </w:tcPr>
          <w:p w:rsidR="00300092" w:rsidRPr="007D4A8A" w:rsidRDefault="00300092" w:rsidP="00300092">
            <w:pPr>
              <w:pStyle w:val="BodyText"/>
              <w:rPr>
                <w:rFonts w:ascii="Arial" w:hAnsi="Arial"/>
                <w:sz w:val="18"/>
                <w:szCs w:val="18"/>
              </w:rPr>
            </w:pPr>
            <w:r w:rsidRPr="007D4A8A">
              <w:rPr>
                <w:rFonts w:ascii="Arial" w:hAnsi="Arial"/>
                <w:sz w:val="18"/>
                <w:szCs w:val="18"/>
              </w:rPr>
              <w:t>SI</w:t>
            </w:r>
          </w:p>
        </w:tc>
        <w:tc>
          <w:tcPr>
            <w:tcW w:w="575" w:type="dxa"/>
            <w:tcBorders>
              <w:left w:val="single" w:sz="8" w:space="0" w:color="4F81BD"/>
            </w:tcBorders>
          </w:tcPr>
          <w:p w:rsidR="00300092" w:rsidRPr="007D4A8A" w:rsidRDefault="00300092" w:rsidP="00300092">
            <w:pPr>
              <w:pStyle w:val="BodyText"/>
              <w:rPr>
                <w:rFonts w:ascii="Arial" w:hAnsi="Arial"/>
                <w:sz w:val="18"/>
                <w:szCs w:val="18"/>
              </w:rPr>
            </w:pPr>
            <w:r w:rsidRPr="007D4A8A">
              <w:rPr>
                <w:rFonts w:ascii="Arial" w:hAnsi="Arial"/>
                <w:sz w:val="18"/>
                <w:szCs w:val="18"/>
              </w:rPr>
              <w:t>CI</w:t>
            </w:r>
          </w:p>
        </w:tc>
      </w:tr>
      <w:tr w:rsidR="00300092" w:rsidRPr="00057EFE" w:rsidTr="00300092">
        <w:trPr>
          <w:trHeight w:hRule="exact" w:val="397"/>
        </w:trPr>
        <w:tc>
          <w:tcPr>
            <w:tcW w:w="1122" w:type="dxa"/>
            <w:tcBorders>
              <w:top w:val="single" w:sz="8" w:space="0" w:color="4F81BD"/>
              <w:bottom w:val="single" w:sz="8" w:space="0" w:color="4F81BD"/>
            </w:tcBorders>
          </w:tcPr>
          <w:p w:rsidR="00300092" w:rsidRPr="007D4A8A" w:rsidRDefault="00300092" w:rsidP="00300092">
            <w:pPr>
              <w:pStyle w:val="BodyText"/>
              <w:rPr>
                <w:rFonts w:ascii="Arial" w:hAnsi="Arial"/>
                <w:b/>
                <w:bCs/>
                <w:sz w:val="18"/>
                <w:szCs w:val="18"/>
              </w:rPr>
            </w:pPr>
            <w:r w:rsidRPr="007D4A8A">
              <w:rPr>
                <w:rFonts w:ascii="Arial" w:hAnsi="Arial"/>
                <w:b/>
                <w:bCs/>
                <w:sz w:val="18"/>
                <w:szCs w:val="18"/>
              </w:rPr>
              <w:t>Medium</w:t>
            </w:r>
          </w:p>
        </w:tc>
        <w:tc>
          <w:tcPr>
            <w:tcW w:w="745"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
              <w:rPr>
                <w:rFonts w:ascii="Arial" w:hAnsi="Arial"/>
                <w:sz w:val="18"/>
                <w:szCs w:val="18"/>
              </w:rPr>
            </w:pPr>
            <w:r w:rsidRPr="007D4A8A">
              <w:rPr>
                <w:rFonts w:ascii="Arial" w:hAnsi="Arial"/>
                <w:sz w:val="18"/>
                <w:szCs w:val="18"/>
              </w:rPr>
              <w:t>SI</w:t>
            </w:r>
          </w:p>
        </w:tc>
        <w:tc>
          <w:tcPr>
            <w:tcW w:w="764" w:type="dxa"/>
            <w:tcBorders>
              <w:top w:val="single" w:sz="8" w:space="0" w:color="4F81BD"/>
              <w:bottom w:val="single" w:sz="8" w:space="0" w:color="4F81BD"/>
            </w:tcBorders>
          </w:tcPr>
          <w:p w:rsidR="00300092" w:rsidRPr="007D4A8A" w:rsidRDefault="00300092" w:rsidP="00300092">
            <w:pPr>
              <w:pStyle w:val="BodyText"/>
              <w:rPr>
                <w:rFonts w:ascii="Arial" w:hAnsi="Arial"/>
                <w:sz w:val="18"/>
                <w:szCs w:val="18"/>
              </w:rPr>
            </w:pPr>
            <w:r w:rsidRPr="007D4A8A">
              <w:rPr>
                <w:rFonts w:ascii="Arial" w:hAnsi="Arial"/>
                <w:sz w:val="18"/>
                <w:szCs w:val="18"/>
              </w:rPr>
              <w:t>CI</w:t>
            </w:r>
          </w:p>
        </w:tc>
        <w:tc>
          <w:tcPr>
            <w:tcW w:w="645"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
              <w:rPr>
                <w:rFonts w:ascii="Arial" w:hAnsi="Arial"/>
                <w:sz w:val="18"/>
                <w:szCs w:val="18"/>
              </w:rPr>
            </w:pPr>
            <w:r w:rsidRPr="007D4A8A">
              <w:rPr>
                <w:rFonts w:ascii="Arial" w:hAnsi="Arial"/>
                <w:sz w:val="18"/>
                <w:szCs w:val="18"/>
              </w:rPr>
              <w:t>SI</w:t>
            </w:r>
          </w:p>
        </w:tc>
        <w:tc>
          <w:tcPr>
            <w:tcW w:w="672" w:type="dxa"/>
            <w:tcBorders>
              <w:top w:val="single" w:sz="8" w:space="0" w:color="4F81BD"/>
              <w:bottom w:val="single" w:sz="8" w:space="0" w:color="4F81BD"/>
            </w:tcBorders>
          </w:tcPr>
          <w:p w:rsidR="00300092" w:rsidRPr="007D4A8A" w:rsidRDefault="00300092" w:rsidP="00300092">
            <w:pPr>
              <w:pStyle w:val="BodyText"/>
              <w:rPr>
                <w:rFonts w:ascii="Arial" w:hAnsi="Arial"/>
                <w:sz w:val="18"/>
                <w:szCs w:val="18"/>
              </w:rPr>
            </w:pPr>
            <w:r w:rsidRPr="007D4A8A">
              <w:rPr>
                <w:rFonts w:ascii="Arial" w:hAnsi="Arial"/>
                <w:sz w:val="18"/>
                <w:szCs w:val="18"/>
              </w:rPr>
              <w:t>SI</w:t>
            </w:r>
          </w:p>
        </w:tc>
        <w:tc>
          <w:tcPr>
            <w:tcW w:w="587"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
              <w:rPr>
                <w:rFonts w:ascii="Arial" w:hAnsi="Arial"/>
                <w:sz w:val="18"/>
                <w:szCs w:val="18"/>
              </w:rPr>
            </w:pPr>
            <w:r w:rsidRPr="007D4A8A">
              <w:rPr>
                <w:rFonts w:ascii="Arial" w:hAnsi="Arial"/>
                <w:sz w:val="18"/>
                <w:szCs w:val="18"/>
              </w:rPr>
              <w:t>NA</w:t>
            </w:r>
          </w:p>
        </w:tc>
        <w:tc>
          <w:tcPr>
            <w:tcW w:w="692" w:type="dxa"/>
            <w:tcBorders>
              <w:top w:val="single" w:sz="8" w:space="0" w:color="4F81BD"/>
              <w:bottom w:val="single" w:sz="8" w:space="0" w:color="4F81BD"/>
            </w:tcBorders>
          </w:tcPr>
          <w:p w:rsidR="00300092" w:rsidRPr="007D4A8A" w:rsidRDefault="00300092" w:rsidP="00300092">
            <w:pPr>
              <w:pStyle w:val="BodyText"/>
              <w:rPr>
                <w:rFonts w:ascii="Arial" w:hAnsi="Arial"/>
                <w:sz w:val="18"/>
                <w:szCs w:val="18"/>
              </w:rPr>
            </w:pPr>
            <w:r w:rsidRPr="007D4A8A">
              <w:rPr>
                <w:rFonts w:ascii="Arial" w:hAnsi="Arial"/>
                <w:sz w:val="18"/>
                <w:szCs w:val="18"/>
              </w:rPr>
              <w:t>CI</w:t>
            </w:r>
          </w:p>
        </w:tc>
        <w:tc>
          <w:tcPr>
            <w:tcW w:w="614"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
              <w:rPr>
                <w:rFonts w:ascii="Arial" w:hAnsi="Arial"/>
                <w:sz w:val="18"/>
                <w:szCs w:val="18"/>
              </w:rPr>
            </w:pPr>
            <w:r w:rsidRPr="007D4A8A">
              <w:rPr>
                <w:rFonts w:ascii="Arial" w:hAnsi="Arial"/>
                <w:sz w:val="18"/>
                <w:szCs w:val="18"/>
              </w:rPr>
              <w:t>CI</w:t>
            </w:r>
          </w:p>
        </w:tc>
        <w:tc>
          <w:tcPr>
            <w:tcW w:w="610" w:type="dxa"/>
            <w:tcBorders>
              <w:top w:val="single" w:sz="8" w:space="0" w:color="4F81BD"/>
              <w:bottom w:val="single" w:sz="8" w:space="0" w:color="4F81BD"/>
            </w:tcBorders>
          </w:tcPr>
          <w:p w:rsidR="00300092" w:rsidRPr="007D4A8A" w:rsidRDefault="00300092" w:rsidP="00300092">
            <w:pPr>
              <w:pStyle w:val="BodyText"/>
              <w:rPr>
                <w:rFonts w:ascii="Arial" w:hAnsi="Arial"/>
                <w:sz w:val="18"/>
                <w:szCs w:val="18"/>
              </w:rPr>
            </w:pPr>
            <w:r w:rsidRPr="007D4A8A">
              <w:rPr>
                <w:rFonts w:ascii="Arial" w:hAnsi="Arial"/>
                <w:sz w:val="18"/>
                <w:szCs w:val="18"/>
              </w:rPr>
              <w:t>SI</w:t>
            </w:r>
          </w:p>
        </w:tc>
        <w:tc>
          <w:tcPr>
            <w:tcW w:w="610"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
              <w:rPr>
                <w:rFonts w:ascii="Arial" w:hAnsi="Arial"/>
                <w:sz w:val="18"/>
                <w:szCs w:val="18"/>
              </w:rPr>
            </w:pPr>
            <w:r w:rsidRPr="007D4A8A">
              <w:rPr>
                <w:rFonts w:ascii="Arial" w:hAnsi="Arial"/>
                <w:sz w:val="18"/>
                <w:szCs w:val="18"/>
              </w:rPr>
              <w:t>SI</w:t>
            </w:r>
          </w:p>
        </w:tc>
        <w:tc>
          <w:tcPr>
            <w:tcW w:w="512" w:type="dxa"/>
            <w:tcBorders>
              <w:top w:val="single" w:sz="8" w:space="0" w:color="4F81BD"/>
              <w:bottom w:val="single" w:sz="8" w:space="0" w:color="4F81BD"/>
            </w:tcBorders>
          </w:tcPr>
          <w:p w:rsidR="00300092" w:rsidRPr="007D4A8A" w:rsidRDefault="00300092" w:rsidP="00300092">
            <w:pPr>
              <w:pStyle w:val="BodyText"/>
              <w:rPr>
                <w:rFonts w:ascii="Arial" w:hAnsi="Arial"/>
                <w:sz w:val="18"/>
                <w:szCs w:val="18"/>
              </w:rPr>
            </w:pPr>
            <w:r w:rsidRPr="007D4A8A">
              <w:rPr>
                <w:rFonts w:ascii="Arial" w:hAnsi="Arial"/>
                <w:sz w:val="18"/>
                <w:szCs w:val="18"/>
              </w:rPr>
              <w:t>SI</w:t>
            </w:r>
          </w:p>
        </w:tc>
        <w:tc>
          <w:tcPr>
            <w:tcW w:w="575" w:type="dxa"/>
            <w:tcBorders>
              <w:top w:val="single" w:sz="8" w:space="0" w:color="4F81BD"/>
              <w:left w:val="single" w:sz="8" w:space="0" w:color="4F81BD"/>
              <w:bottom w:val="single" w:sz="8" w:space="0" w:color="4F81BD"/>
            </w:tcBorders>
          </w:tcPr>
          <w:p w:rsidR="00300092" w:rsidRPr="007D4A8A" w:rsidRDefault="00300092" w:rsidP="00300092">
            <w:pPr>
              <w:pStyle w:val="BodyText"/>
              <w:rPr>
                <w:rFonts w:ascii="Arial" w:hAnsi="Arial"/>
                <w:sz w:val="18"/>
                <w:szCs w:val="18"/>
              </w:rPr>
            </w:pPr>
            <w:r w:rsidRPr="007D4A8A">
              <w:rPr>
                <w:rFonts w:ascii="Arial" w:hAnsi="Arial"/>
                <w:sz w:val="18"/>
                <w:szCs w:val="18"/>
              </w:rPr>
              <w:t>CI</w:t>
            </w:r>
          </w:p>
        </w:tc>
      </w:tr>
      <w:tr w:rsidR="00300092" w:rsidRPr="00057EFE" w:rsidTr="00300092">
        <w:trPr>
          <w:trHeight w:hRule="exact" w:val="397"/>
        </w:trPr>
        <w:tc>
          <w:tcPr>
            <w:tcW w:w="1122" w:type="dxa"/>
          </w:tcPr>
          <w:p w:rsidR="00300092" w:rsidRPr="007D4A8A" w:rsidRDefault="00300092" w:rsidP="00300092">
            <w:pPr>
              <w:pStyle w:val="BodyText"/>
              <w:rPr>
                <w:rFonts w:ascii="Arial" w:hAnsi="Arial"/>
                <w:b/>
                <w:bCs/>
                <w:sz w:val="18"/>
                <w:szCs w:val="18"/>
              </w:rPr>
            </w:pPr>
            <w:r w:rsidRPr="007D4A8A">
              <w:rPr>
                <w:rFonts w:ascii="Arial" w:hAnsi="Arial"/>
                <w:b/>
                <w:bCs/>
                <w:sz w:val="18"/>
                <w:szCs w:val="18"/>
              </w:rPr>
              <w:t>Heavy</w:t>
            </w:r>
          </w:p>
        </w:tc>
        <w:tc>
          <w:tcPr>
            <w:tcW w:w="745" w:type="dxa"/>
            <w:tcBorders>
              <w:left w:val="single" w:sz="8" w:space="0" w:color="4F81BD"/>
              <w:right w:val="single" w:sz="8" w:space="0" w:color="4F81BD"/>
            </w:tcBorders>
          </w:tcPr>
          <w:p w:rsidR="00300092" w:rsidRPr="007D4A8A" w:rsidRDefault="00300092" w:rsidP="00300092">
            <w:pPr>
              <w:pStyle w:val="BodyText"/>
              <w:rPr>
                <w:rFonts w:ascii="Arial" w:hAnsi="Arial"/>
                <w:sz w:val="18"/>
                <w:szCs w:val="18"/>
              </w:rPr>
            </w:pPr>
            <w:r w:rsidRPr="007D4A8A">
              <w:rPr>
                <w:rFonts w:ascii="Arial" w:hAnsi="Arial"/>
                <w:sz w:val="18"/>
                <w:szCs w:val="18"/>
              </w:rPr>
              <w:t>SI</w:t>
            </w:r>
          </w:p>
        </w:tc>
        <w:tc>
          <w:tcPr>
            <w:tcW w:w="764" w:type="dxa"/>
          </w:tcPr>
          <w:p w:rsidR="00300092" w:rsidRPr="007D4A8A" w:rsidRDefault="00300092" w:rsidP="00300092">
            <w:pPr>
              <w:pStyle w:val="BodyText"/>
              <w:rPr>
                <w:rFonts w:ascii="Arial" w:hAnsi="Arial"/>
                <w:sz w:val="18"/>
                <w:szCs w:val="18"/>
              </w:rPr>
            </w:pPr>
            <w:r w:rsidRPr="007D4A8A">
              <w:rPr>
                <w:rFonts w:ascii="Arial" w:hAnsi="Arial"/>
                <w:sz w:val="18"/>
                <w:szCs w:val="18"/>
              </w:rPr>
              <w:t>CI</w:t>
            </w:r>
          </w:p>
        </w:tc>
        <w:tc>
          <w:tcPr>
            <w:tcW w:w="645" w:type="dxa"/>
            <w:tcBorders>
              <w:left w:val="single" w:sz="8" w:space="0" w:color="4F81BD"/>
              <w:right w:val="single" w:sz="8" w:space="0" w:color="4F81BD"/>
            </w:tcBorders>
          </w:tcPr>
          <w:p w:rsidR="00300092" w:rsidRPr="007D4A8A" w:rsidRDefault="00300092" w:rsidP="00300092">
            <w:pPr>
              <w:pStyle w:val="BodyText"/>
              <w:rPr>
                <w:rFonts w:ascii="Arial" w:hAnsi="Arial"/>
                <w:sz w:val="18"/>
                <w:szCs w:val="18"/>
              </w:rPr>
            </w:pPr>
            <w:r w:rsidRPr="007D4A8A">
              <w:rPr>
                <w:rFonts w:ascii="Arial" w:hAnsi="Arial"/>
                <w:sz w:val="18"/>
                <w:szCs w:val="18"/>
              </w:rPr>
              <w:t>SI</w:t>
            </w:r>
          </w:p>
        </w:tc>
        <w:tc>
          <w:tcPr>
            <w:tcW w:w="672" w:type="dxa"/>
          </w:tcPr>
          <w:p w:rsidR="00300092" w:rsidRPr="007D4A8A" w:rsidRDefault="00300092" w:rsidP="00300092">
            <w:pPr>
              <w:pStyle w:val="BodyText"/>
              <w:rPr>
                <w:rFonts w:ascii="Arial" w:hAnsi="Arial"/>
                <w:sz w:val="18"/>
                <w:szCs w:val="18"/>
              </w:rPr>
            </w:pPr>
            <w:r w:rsidRPr="007D4A8A">
              <w:rPr>
                <w:rFonts w:ascii="Arial" w:hAnsi="Arial"/>
                <w:sz w:val="18"/>
                <w:szCs w:val="18"/>
              </w:rPr>
              <w:t>SI</w:t>
            </w:r>
          </w:p>
        </w:tc>
        <w:tc>
          <w:tcPr>
            <w:tcW w:w="587" w:type="dxa"/>
            <w:tcBorders>
              <w:left w:val="single" w:sz="8" w:space="0" w:color="4F81BD"/>
              <w:right w:val="single" w:sz="8" w:space="0" w:color="4F81BD"/>
            </w:tcBorders>
          </w:tcPr>
          <w:p w:rsidR="00300092" w:rsidRPr="007D4A8A" w:rsidRDefault="00300092" w:rsidP="00300092">
            <w:pPr>
              <w:pStyle w:val="BodyText"/>
              <w:rPr>
                <w:rFonts w:ascii="Arial" w:hAnsi="Arial"/>
                <w:sz w:val="18"/>
                <w:szCs w:val="18"/>
              </w:rPr>
            </w:pPr>
            <w:r w:rsidRPr="007D4A8A">
              <w:rPr>
                <w:rFonts w:ascii="Arial" w:hAnsi="Arial"/>
                <w:sz w:val="18"/>
                <w:szCs w:val="18"/>
              </w:rPr>
              <w:t>NA</w:t>
            </w:r>
          </w:p>
        </w:tc>
        <w:tc>
          <w:tcPr>
            <w:tcW w:w="692" w:type="dxa"/>
          </w:tcPr>
          <w:p w:rsidR="00300092" w:rsidRPr="007D4A8A" w:rsidRDefault="00300092" w:rsidP="00300092">
            <w:pPr>
              <w:pStyle w:val="BodyText"/>
              <w:rPr>
                <w:rFonts w:ascii="Arial" w:hAnsi="Arial"/>
                <w:sz w:val="18"/>
                <w:szCs w:val="18"/>
              </w:rPr>
            </w:pPr>
            <w:r w:rsidRPr="007D4A8A">
              <w:rPr>
                <w:rFonts w:ascii="Arial" w:hAnsi="Arial"/>
                <w:sz w:val="18"/>
                <w:szCs w:val="18"/>
              </w:rPr>
              <w:t>CI</w:t>
            </w:r>
          </w:p>
        </w:tc>
        <w:tc>
          <w:tcPr>
            <w:tcW w:w="614" w:type="dxa"/>
            <w:tcBorders>
              <w:left w:val="single" w:sz="8" w:space="0" w:color="4F81BD"/>
              <w:right w:val="single" w:sz="8" w:space="0" w:color="4F81BD"/>
            </w:tcBorders>
          </w:tcPr>
          <w:p w:rsidR="00300092" w:rsidRPr="007D4A8A" w:rsidRDefault="00300092" w:rsidP="00300092">
            <w:pPr>
              <w:pStyle w:val="BodyText"/>
              <w:rPr>
                <w:rFonts w:ascii="Arial" w:hAnsi="Arial"/>
                <w:sz w:val="18"/>
                <w:szCs w:val="18"/>
              </w:rPr>
            </w:pPr>
            <w:r w:rsidRPr="007D4A8A">
              <w:rPr>
                <w:rFonts w:ascii="Arial" w:hAnsi="Arial"/>
                <w:sz w:val="18"/>
                <w:szCs w:val="18"/>
              </w:rPr>
              <w:t>CI</w:t>
            </w:r>
          </w:p>
        </w:tc>
        <w:tc>
          <w:tcPr>
            <w:tcW w:w="610" w:type="dxa"/>
          </w:tcPr>
          <w:p w:rsidR="00300092" w:rsidRPr="007D4A8A" w:rsidRDefault="00300092" w:rsidP="00300092">
            <w:pPr>
              <w:pStyle w:val="BodyText"/>
              <w:rPr>
                <w:rFonts w:ascii="Arial" w:hAnsi="Arial"/>
                <w:sz w:val="18"/>
                <w:szCs w:val="18"/>
              </w:rPr>
            </w:pPr>
            <w:r w:rsidRPr="007D4A8A">
              <w:rPr>
                <w:rFonts w:ascii="Arial" w:hAnsi="Arial"/>
                <w:sz w:val="18"/>
                <w:szCs w:val="18"/>
              </w:rPr>
              <w:t>SI</w:t>
            </w:r>
          </w:p>
        </w:tc>
        <w:tc>
          <w:tcPr>
            <w:tcW w:w="610" w:type="dxa"/>
            <w:tcBorders>
              <w:left w:val="single" w:sz="8" w:space="0" w:color="4F81BD"/>
              <w:right w:val="single" w:sz="8" w:space="0" w:color="4F81BD"/>
            </w:tcBorders>
          </w:tcPr>
          <w:p w:rsidR="00300092" w:rsidRPr="007D4A8A" w:rsidRDefault="00300092" w:rsidP="00300092">
            <w:pPr>
              <w:pStyle w:val="BodyText"/>
              <w:rPr>
                <w:rFonts w:ascii="Arial" w:hAnsi="Arial"/>
                <w:sz w:val="18"/>
                <w:szCs w:val="18"/>
              </w:rPr>
            </w:pPr>
            <w:r w:rsidRPr="007D4A8A">
              <w:rPr>
                <w:rFonts w:ascii="Arial" w:hAnsi="Arial"/>
                <w:sz w:val="18"/>
                <w:szCs w:val="18"/>
              </w:rPr>
              <w:t>SI</w:t>
            </w:r>
          </w:p>
        </w:tc>
        <w:tc>
          <w:tcPr>
            <w:tcW w:w="512" w:type="dxa"/>
          </w:tcPr>
          <w:p w:rsidR="00300092" w:rsidRPr="007D4A8A" w:rsidRDefault="00300092" w:rsidP="00300092">
            <w:pPr>
              <w:pStyle w:val="BodyText"/>
              <w:rPr>
                <w:rFonts w:ascii="Arial" w:hAnsi="Arial"/>
                <w:sz w:val="18"/>
                <w:szCs w:val="18"/>
              </w:rPr>
            </w:pPr>
            <w:r w:rsidRPr="007D4A8A">
              <w:rPr>
                <w:rFonts w:ascii="Arial" w:hAnsi="Arial"/>
                <w:sz w:val="18"/>
                <w:szCs w:val="18"/>
              </w:rPr>
              <w:t>SI</w:t>
            </w:r>
          </w:p>
        </w:tc>
        <w:tc>
          <w:tcPr>
            <w:tcW w:w="575" w:type="dxa"/>
            <w:tcBorders>
              <w:left w:val="single" w:sz="8" w:space="0" w:color="4F81BD"/>
            </w:tcBorders>
          </w:tcPr>
          <w:p w:rsidR="00300092" w:rsidRPr="007D4A8A" w:rsidRDefault="00300092" w:rsidP="00300092">
            <w:pPr>
              <w:pStyle w:val="BodyText"/>
              <w:rPr>
                <w:rFonts w:ascii="Arial" w:hAnsi="Arial"/>
                <w:sz w:val="18"/>
                <w:szCs w:val="18"/>
              </w:rPr>
            </w:pPr>
            <w:r w:rsidRPr="007D4A8A">
              <w:rPr>
                <w:rFonts w:ascii="Arial" w:hAnsi="Arial"/>
                <w:sz w:val="18"/>
                <w:szCs w:val="18"/>
              </w:rPr>
              <w:t>CI</w:t>
            </w:r>
          </w:p>
        </w:tc>
      </w:tr>
      <w:tr w:rsidR="00300092" w:rsidRPr="00057EFE" w:rsidTr="00300092">
        <w:trPr>
          <w:trHeight w:hRule="exact" w:val="397"/>
        </w:trPr>
        <w:tc>
          <w:tcPr>
            <w:tcW w:w="1122" w:type="dxa"/>
            <w:tcBorders>
              <w:top w:val="single" w:sz="8" w:space="0" w:color="4F81BD"/>
              <w:bottom w:val="single" w:sz="8" w:space="0" w:color="4F81BD"/>
            </w:tcBorders>
          </w:tcPr>
          <w:p w:rsidR="00300092" w:rsidRPr="007D4A8A" w:rsidRDefault="00300092" w:rsidP="00300092">
            <w:pPr>
              <w:pStyle w:val="BodyText"/>
              <w:rPr>
                <w:rFonts w:ascii="Arial" w:hAnsi="Arial"/>
                <w:b/>
                <w:bCs/>
                <w:sz w:val="18"/>
                <w:szCs w:val="18"/>
              </w:rPr>
            </w:pPr>
            <w:r w:rsidRPr="007D4A8A">
              <w:rPr>
                <w:rFonts w:ascii="Arial" w:hAnsi="Arial"/>
                <w:bCs/>
                <w:sz w:val="18"/>
                <w:szCs w:val="18"/>
              </w:rPr>
              <w:t>LCVs</w:t>
            </w:r>
          </w:p>
        </w:tc>
        <w:tc>
          <w:tcPr>
            <w:tcW w:w="745"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
              <w:rPr>
                <w:rFonts w:ascii="Arial" w:hAnsi="Arial"/>
                <w:sz w:val="18"/>
                <w:szCs w:val="18"/>
              </w:rPr>
            </w:pPr>
          </w:p>
        </w:tc>
        <w:tc>
          <w:tcPr>
            <w:tcW w:w="764" w:type="dxa"/>
            <w:tcBorders>
              <w:top w:val="single" w:sz="8" w:space="0" w:color="4F81BD"/>
              <w:bottom w:val="single" w:sz="8" w:space="0" w:color="4F81BD"/>
            </w:tcBorders>
          </w:tcPr>
          <w:p w:rsidR="00300092" w:rsidRPr="007D4A8A" w:rsidRDefault="00300092" w:rsidP="00300092">
            <w:pPr>
              <w:pStyle w:val="BodyText"/>
              <w:rPr>
                <w:rFonts w:ascii="Arial" w:hAnsi="Arial"/>
                <w:sz w:val="18"/>
                <w:szCs w:val="18"/>
              </w:rPr>
            </w:pPr>
          </w:p>
        </w:tc>
        <w:tc>
          <w:tcPr>
            <w:tcW w:w="645"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
              <w:rPr>
                <w:rFonts w:ascii="Arial" w:hAnsi="Arial"/>
                <w:sz w:val="18"/>
                <w:szCs w:val="18"/>
              </w:rPr>
            </w:pPr>
          </w:p>
        </w:tc>
        <w:tc>
          <w:tcPr>
            <w:tcW w:w="672" w:type="dxa"/>
            <w:tcBorders>
              <w:top w:val="single" w:sz="8" w:space="0" w:color="4F81BD"/>
              <w:bottom w:val="single" w:sz="8" w:space="0" w:color="4F81BD"/>
            </w:tcBorders>
          </w:tcPr>
          <w:p w:rsidR="00300092" w:rsidRPr="007D4A8A" w:rsidRDefault="00300092" w:rsidP="00300092">
            <w:pPr>
              <w:pStyle w:val="BodyText"/>
              <w:rPr>
                <w:rFonts w:ascii="Arial" w:hAnsi="Arial"/>
                <w:sz w:val="18"/>
                <w:szCs w:val="18"/>
              </w:rPr>
            </w:pPr>
          </w:p>
        </w:tc>
        <w:tc>
          <w:tcPr>
            <w:tcW w:w="587"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
              <w:rPr>
                <w:rFonts w:ascii="Arial" w:hAnsi="Arial"/>
                <w:sz w:val="18"/>
                <w:szCs w:val="18"/>
              </w:rPr>
            </w:pPr>
          </w:p>
        </w:tc>
        <w:tc>
          <w:tcPr>
            <w:tcW w:w="692" w:type="dxa"/>
            <w:tcBorders>
              <w:top w:val="single" w:sz="8" w:space="0" w:color="4F81BD"/>
              <w:bottom w:val="single" w:sz="8" w:space="0" w:color="4F81BD"/>
            </w:tcBorders>
          </w:tcPr>
          <w:p w:rsidR="00300092" w:rsidRPr="007D4A8A" w:rsidRDefault="00300092" w:rsidP="00300092">
            <w:pPr>
              <w:pStyle w:val="BodyText"/>
              <w:rPr>
                <w:rFonts w:ascii="Arial" w:hAnsi="Arial"/>
                <w:sz w:val="18"/>
                <w:szCs w:val="18"/>
              </w:rPr>
            </w:pPr>
          </w:p>
        </w:tc>
        <w:tc>
          <w:tcPr>
            <w:tcW w:w="614"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
              <w:rPr>
                <w:rFonts w:ascii="Arial" w:hAnsi="Arial"/>
                <w:sz w:val="18"/>
                <w:szCs w:val="18"/>
              </w:rPr>
            </w:pPr>
          </w:p>
        </w:tc>
        <w:tc>
          <w:tcPr>
            <w:tcW w:w="610" w:type="dxa"/>
            <w:tcBorders>
              <w:top w:val="single" w:sz="8" w:space="0" w:color="4F81BD"/>
              <w:bottom w:val="single" w:sz="8" w:space="0" w:color="4F81BD"/>
            </w:tcBorders>
          </w:tcPr>
          <w:p w:rsidR="00300092" w:rsidRPr="007D4A8A" w:rsidRDefault="00300092" w:rsidP="00300092">
            <w:pPr>
              <w:pStyle w:val="BodyText"/>
              <w:rPr>
                <w:rFonts w:ascii="Arial" w:hAnsi="Arial"/>
                <w:sz w:val="18"/>
                <w:szCs w:val="18"/>
              </w:rPr>
            </w:pPr>
          </w:p>
        </w:tc>
        <w:tc>
          <w:tcPr>
            <w:tcW w:w="610"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
              <w:rPr>
                <w:rFonts w:ascii="Arial" w:hAnsi="Arial"/>
                <w:sz w:val="18"/>
                <w:szCs w:val="18"/>
              </w:rPr>
            </w:pPr>
          </w:p>
        </w:tc>
        <w:tc>
          <w:tcPr>
            <w:tcW w:w="512" w:type="dxa"/>
            <w:tcBorders>
              <w:top w:val="single" w:sz="8" w:space="0" w:color="4F81BD"/>
              <w:bottom w:val="single" w:sz="8" w:space="0" w:color="4F81BD"/>
            </w:tcBorders>
          </w:tcPr>
          <w:p w:rsidR="00300092" w:rsidRPr="007D4A8A" w:rsidRDefault="00300092" w:rsidP="00300092">
            <w:pPr>
              <w:pStyle w:val="BodyText"/>
              <w:rPr>
                <w:rFonts w:ascii="Arial" w:hAnsi="Arial"/>
                <w:sz w:val="18"/>
                <w:szCs w:val="18"/>
              </w:rPr>
            </w:pPr>
          </w:p>
        </w:tc>
        <w:tc>
          <w:tcPr>
            <w:tcW w:w="575" w:type="dxa"/>
            <w:tcBorders>
              <w:top w:val="single" w:sz="8" w:space="0" w:color="4F81BD"/>
              <w:left w:val="single" w:sz="8" w:space="0" w:color="4F81BD"/>
              <w:bottom w:val="single" w:sz="8" w:space="0" w:color="4F81BD"/>
            </w:tcBorders>
          </w:tcPr>
          <w:p w:rsidR="00300092" w:rsidRPr="007D4A8A" w:rsidRDefault="00300092" w:rsidP="00300092">
            <w:pPr>
              <w:pStyle w:val="BodyText"/>
              <w:rPr>
                <w:rFonts w:ascii="Arial" w:hAnsi="Arial"/>
                <w:sz w:val="18"/>
                <w:szCs w:val="18"/>
              </w:rPr>
            </w:pPr>
          </w:p>
        </w:tc>
      </w:tr>
      <w:tr w:rsidR="00300092" w:rsidRPr="00057EFE" w:rsidTr="00300092">
        <w:trPr>
          <w:trHeight w:hRule="exact" w:val="397"/>
        </w:trPr>
        <w:tc>
          <w:tcPr>
            <w:tcW w:w="1122" w:type="dxa"/>
          </w:tcPr>
          <w:p w:rsidR="00300092" w:rsidRPr="007D4A8A" w:rsidRDefault="00300092" w:rsidP="00300092">
            <w:pPr>
              <w:pStyle w:val="BodyText"/>
              <w:rPr>
                <w:rFonts w:ascii="Arial" w:hAnsi="Arial"/>
                <w:b/>
                <w:bCs/>
                <w:sz w:val="18"/>
                <w:szCs w:val="18"/>
              </w:rPr>
            </w:pPr>
            <w:r w:rsidRPr="007D4A8A">
              <w:rPr>
                <w:rFonts w:ascii="Arial" w:hAnsi="Arial"/>
                <w:b/>
                <w:bCs/>
                <w:sz w:val="18"/>
                <w:szCs w:val="18"/>
              </w:rPr>
              <w:t>Light</w:t>
            </w:r>
          </w:p>
        </w:tc>
        <w:tc>
          <w:tcPr>
            <w:tcW w:w="745" w:type="dxa"/>
            <w:tcBorders>
              <w:left w:val="single" w:sz="8" w:space="0" w:color="4F81BD"/>
              <w:right w:val="single" w:sz="8" w:space="0" w:color="4F81BD"/>
            </w:tcBorders>
          </w:tcPr>
          <w:p w:rsidR="00300092" w:rsidRPr="007D4A8A" w:rsidRDefault="00300092" w:rsidP="00300092">
            <w:pPr>
              <w:pStyle w:val="BodyText"/>
              <w:rPr>
                <w:rFonts w:ascii="Arial" w:hAnsi="Arial"/>
                <w:sz w:val="18"/>
                <w:szCs w:val="18"/>
              </w:rPr>
            </w:pPr>
            <w:r w:rsidRPr="007D4A8A">
              <w:rPr>
                <w:rFonts w:ascii="Arial" w:hAnsi="Arial"/>
                <w:sz w:val="18"/>
                <w:szCs w:val="18"/>
              </w:rPr>
              <w:t>SI</w:t>
            </w:r>
          </w:p>
        </w:tc>
        <w:tc>
          <w:tcPr>
            <w:tcW w:w="764" w:type="dxa"/>
          </w:tcPr>
          <w:p w:rsidR="00300092" w:rsidRPr="007D4A8A" w:rsidRDefault="00300092" w:rsidP="00300092">
            <w:pPr>
              <w:pStyle w:val="BodyText"/>
              <w:rPr>
                <w:rFonts w:ascii="Arial" w:hAnsi="Arial"/>
                <w:sz w:val="18"/>
                <w:szCs w:val="18"/>
              </w:rPr>
            </w:pPr>
            <w:r w:rsidRPr="007D4A8A">
              <w:rPr>
                <w:rFonts w:ascii="Arial" w:hAnsi="Arial"/>
                <w:sz w:val="18"/>
                <w:szCs w:val="18"/>
              </w:rPr>
              <w:t>CI</w:t>
            </w:r>
          </w:p>
        </w:tc>
        <w:tc>
          <w:tcPr>
            <w:tcW w:w="645" w:type="dxa"/>
            <w:tcBorders>
              <w:left w:val="single" w:sz="8" w:space="0" w:color="4F81BD"/>
              <w:right w:val="single" w:sz="8" w:space="0" w:color="4F81BD"/>
            </w:tcBorders>
          </w:tcPr>
          <w:p w:rsidR="00300092" w:rsidRPr="007D4A8A" w:rsidRDefault="00300092" w:rsidP="00300092">
            <w:pPr>
              <w:pStyle w:val="BodyText"/>
              <w:rPr>
                <w:rFonts w:ascii="Arial" w:hAnsi="Arial"/>
                <w:sz w:val="18"/>
                <w:szCs w:val="18"/>
              </w:rPr>
            </w:pPr>
            <w:r w:rsidRPr="007D4A8A">
              <w:rPr>
                <w:rFonts w:ascii="Arial" w:hAnsi="Arial"/>
                <w:sz w:val="18"/>
                <w:szCs w:val="18"/>
              </w:rPr>
              <w:t>SI</w:t>
            </w:r>
          </w:p>
        </w:tc>
        <w:tc>
          <w:tcPr>
            <w:tcW w:w="672" w:type="dxa"/>
          </w:tcPr>
          <w:p w:rsidR="00300092" w:rsidRPr="007D4A8A" w:rsidRDefault="00300092" w:rsidP="00300092">
            <w:pPr>
              <w:pStyle w:val="BodyText"/>
              <w:rPr>
                <w:rFonts w:ascii="Arial" w:hAnsi="Arial"/>
                <w:sz w:val="18"/>
                <w:szCs w:val="18"/>
              </w:rPr>
            </w:pPr>
            <w:r w:rsidRPr="007D4A8A">
              <w:rPr>
                <w:rFonts w:ascii="Arial" w:hAnsi="Arial"/>
                <w:sz w:val="18"/>
                <w:szCs w:val="18"/>
              </w:rPr>
              <w:t>SI</w:t>
            </w:r>
          </w:p>
        </w:tc>
        <w:tc>
          <w:tcPr>
            <w:tcW w:w="587" w:type="dxa"/>
            <w:tcBorders>
              <w:left w:val="single" w:sz="8" w:space="0" w:color="4F81BD"/>
              <w:right w:val="single" w:sz="8" w:space="0" w:color="4F81BD"/>
            </w:tcBorders>
          </w:tcPr>
          <w:p w:rsidR="00300092" w:rsidRPr="007D4A8A" w:rsidRDefault="00300092" w:rsidP="00300092">
            <w:pPr>
              <w:pStyle w:val="BodyText"/>
              <w:rPr>
                <w:rFonts w:ascii="Arial" w:hAnsi="Arial"/>
                <w:sz w:val="18"/>
                <w:szCs w:val="18"/>
              </w:rPr>
            </w:pPr>
            <w:r w:rsidRPr="007D4A8A">
              <w:rPr>
                <w:rFonts w:ascii="Arial" w:hAnsi="Arial"/>
                <w:sz w:val="18"/>
                <w:szCs w:val="18"/>
              </w:rPr>
              <w:t>NA</w:t>
            </w:r>
          </w:p>
        </w:tc>
        <w:tc>
          <w:tcPr>
            <w:tcW w:w="692" w:type="dxa"/>
          </w:tcPr>
          <w:p w:rsidR="00300092" w:rsidRPr="007D4A8A" w:rsidRDefault="00300092" w:rsidP="00300092">
            <w:pPr>
              <w:pStyle w:val="BodyText"/>
              <w:rPr>
                <w:rFonts w:ascii="Arial" w:hAnsi="Arial"/>
                <w:sz w:val="18"/>
                <w:szCs w:val="18"/>
              </w:rPr>
            </w:pPr>
            <w:r w:rsidRPr="007D4A8A">
              <w:rPr>
                <w:rFonts w:ascii="Arial" w:hAnsi="Arial"/>
                <w:sz w:val="18"/>
                <w:szCs w:val="18"/>
              </w:rPr>
              <w:t>CI</w:t>
            </w:r>
          </w:p>
        </w:tc>
        <w:tc>
          <w:tcPr>
            <w:tcW w:w="614" w:type="dxa"/>
            <w:tcBorders>
              <w:left w:val="single" w:sz="8" w:space="0" w:color="4F81BD"/>
              <w:right w:val="single" w:sz="8" w:space="0" w:color="4F81BD"/>
            </w:tcBorders>
          </w:tcPr>
          <w:p w:rsidR="00300092" w:rsidRPr="007D4A8A" w:rsidRDefault="00300092" w:rsidP="00300092">
            <w:pPr>
              <w:pStyle w:val="BodyText"/>
              <w:rPr>
                <w:rFonts w:ascii="Arial" w:hAnsi="Arial"/>
                <w:sz w:val="18"/>
                <w:szCs w:val="18"/>
              </w:rPr>
            </w:pPr>
            <w:r w:rsidRPr="007D4A8A">
              <w:rPr>
                <w:rFonts w:ascii="Arial" w:hAnsi="Arial"/>
                <w:sz w:val="18"/>
                <w:szCs w:val="18"/>
              </w:rPr>
              <w:t>CI</w:t>
            </w:r>
          </w:p>
        </w:tc>
        <w:tc>
          <w:tcPr>
            <w:tcW w:w="610" w:type="dxa"/>
          </w:tcPr>
          <w:p w:rsidR="00300092" w:rsidRPr="007D4A8A" w:rsidRDefault="00300092" w:rsidP="00300092">
            <w:pPr>
              <w:pStyle w:val="BodyText"/>
              <w:rPr>
                <w:rFonts w:ascii="Arial" w:hAnsi="Arial"/>
                <w:sz w:val="18"/>
                <w:szCs w:val="18"/>
              </w:rPr>
            </w:pPr>
            <w:r w:rsidRPr="007D4A8A">
              <w:rPr>
                <w:rFonts w:ascii="Arial" w:hAnsi="Arial"/>
                <w:sz w:val="18"/>
                <w:szCs w:val="18"/>
              </w:rPr>
              <w:t>SI</w:t>
            </w:r>
          </w:p>
        </w:tc>
        <w:tc>
          <w:tcPr>
            <w:tcW w:w="610" w:type="dxa"/>
            <w:tcBorders>
              <w:left w:val="single" w:sz="8" w:space="0" w:color="4F81BD"/>
              <w:right w:val="single" w:sz="8" w:space="0" w:color="4F81BD"/>
            </w:tcBorders>
          </w:tcPr>
          <w:p w:rsidR="00300092" w:rsidRPr="007D4A8A" w:rsidRDefault="00300092" w:rsidP="00300092">
            <w:pPr>
              <w:pStyle w:val="BodyText"/>
              <w:rPr>
                <w:rFonts w:ascii="Arial" w:hAnsi="Arial"/>
                <w:sz w:val="18"/>
                <w:szCs w:val="18"/>
              </w:rPr>
            </w:pPr>
            <w:r w:rsidRPr="007D4A8A">
              <w:rPr>
                <w:rFonts w:ascii="Arial" w:hAnsi="Arial"/>
                <w:sz w:val="18"/>
                <w:szCs w:val="18"/>
              </w:rPr>
              <w:t>SI</w:t>
            </w:r>
          </w:p>
        </w:tc>
        <w:tc>
          <w:tcPr>
            <w:tcW w:w="512" w:type="dxa"/>
          </w:tcPr>
          <w:p w:rsidR="00300092" w:rsidRPr="007D4A8A" w:rsidRDefault="00300092" w:rsidP="00300092">
            <w:pPr>
              <w:pStyle w:val="BodyText"/>
              <w:rPr>
                <w:rFonts w:ascii="Arial" w:hAnsi="Arial"/>
                <w:sz w:val="18"/>
                <w:szCs w:val="18"/>
              </w:rPr>
            </w:pPr>
            <w:r w:rsidRPr="007D4A8A">
              <w:rPr>
                <w:rFonts w:ascii="Arial" w:hAnsi="Arial"/>
                <w:sz w:val="18"/>
                <w:szCs w:val="18"/>
              </w:rPr>
              <w:t>SI</w:t>
            </w:r>
          </w:p>
        </w:tc>
        <w:tc>
          <w:tcPr>
            <w:tcW w:w="575" w:type="dxa"/>
            <w:tcBorders>
              <w:left w:val="single" w:sz="8" w:space="0" w:color="4F81BD"/>
            </w:tcBorders>
          </w:tcPr>
          <w:p w:rsidR="00300092" w:rsidRPr="007D4A8A" w:rsidRDefault="00300092" w:rsidP="00300092">
            <w:pPr>
              <w:pStyle w:val="BodyText"/>
              <w:rPr>
                <w:rFonts w:ascii="Arial" w:hAnsi="Arial"/>
                <w:sz w:val="18"/>
                <w:szCs w:val="18"/>
              </w:rPr>
            </w:pPr>
            <w:r w:rsidRPr="007D4A8A">
              <w:rPr>
                <w:rFonts w:ascii="Arial" w:hAnsi="Arial"/>
                <w:sz w:val="18"/>
                <w:szCs w:val="18"/>
              </w:rPr>
              <w:t>CI</w:t>
            </w:r>
          </w:p>
        </w:tc>
      </w:tr>
      <w:tr w:rsidR="00300092" w:rsidRPr="00057EFE" w:rsidTr="00300092">
        <w:trPr>
          <w:trHeight w:hRule="exact" w:val="397"/>
        </w:trPr>
        <w:tc>
          <w:tcPr>
            <w:tcW w:w="1122" w:type="dxa"/>
            <w:tcBorders>
              <w:top w:val="single" w:sz="8" w:space="0" w:color="4F81BD"/>
              <w:bottom w:val="single" w:sz="8" w:space="0" w:color="4F81BD"/>
            </w:tcBorders>
          </w:tcPr>
          <w:p w:rsidR="00300092" w:rsidRPr="007D4A8A" w:rsidRDefault="00300092" w:rsidP="00300092">
            <w:pPr>
              <w:pStyle w:val="BodyText"/>
              <w:rPr>
                <w:rFonts w:ascii="Arial" w:hAnsi="Arial"/>
                <w:b/>
                <w:bCs/>
                <w:sz w:val="18"/>
                <w:szCs w:val="18"/>
              </w:rPr>
            </w:pPr>
            <w:r w:rsidRPr="007D4A8A">
              <w:rPr>
                <w:rFonts w:ascii="Arial" w:hAnsi="Arial"/>
                <w:b/>
                <w:bCs/>
                <w:sz w:val="18"/>
                <w:szCs w:val="18"/>
              </w:rPr>
              <w:t>Medium</w:t>
            </w:r>
          </w:p>
        </w:tc>
        <w:tc>
          <w:tcPr>
            <w:tcW w:w="745"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
              <w:rPr>
                <w:rFonts w:ascii="Arial" w:hAnsi="Arial"/>
                <w:sz w:val="18"/>
                <w:szCs w:val="18"/>
              </w:rPr>
            </w:pPr>
            <w:r w:rsidRPr="007D4A8A">
              <w:rPr>
                <w:rFonts w:ascii="Arial" w:hAnsi="Arial"/>
                <w:sz w:val="18"/>
                <w:szCs w:val="18"/>
              </w:rPr>
              <w:t>SI</w:t>
            </w:r>
          </w:p>
        </w:tc>
        <w:tc>
          <w:tcPr>
            <w:tcW w:w="764" w:type="dxa"/>
            <w:tcBorders>
              <w:top w:val="single" w:sz="8" w:space="0" w:color="4F81BD"/>
              <w:bottom w:val="single" w:sz="8" w:space="0" w:color="4F81BD"/>
            </w:tcBorders>
          </w:tcPr>
          <w:p w:rsidR="00300092" w:rsidRPr="007D4A8A" w:rsidRDefault="00300092" w:rsidP="00300092">
            <w:pPr>
              <w:pStyle w:val="BodyText"/>
              <w:rPr>
                <w:rFonts w:ascii="Arial" w:hAnsi="Arial"/>
                <w:sz w:val="18"/>
                <w:szCs w:val="18"/>
              </w:rPr>
            </w:pPr>
            <w:r w:rsidRPr="007D4A8A">
              <w:rPr>
                <w:rFonts w:ascii="Arial" w:hAnsi="Arial"/>
                <w:sz w:val="18"/>
                <w:szCs w:val="18"/>
              </w:rPr>
              <w:t>CI</w:t>
            </w:r>
          </w:p>
        </w:tc>
        <w:tc>
          <w:tcPr>
            <w:tcW w:w="645"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
              <w:rPr>
                <w:rFonts w:ascii="Arial" w:hAnsi="Arial"/>
                <w:sz w:val="18"/>
                <w:szCs w:val="18"/>
              </w:rPr>
            </w:pPr>
            <w:r w:rsidRPr="007D4A8A">
              <w:rPr>
                <w:rFonts w:ascii="Arial" w:hAnsi="Arial"/>
                <w:sz w:val="18"/>
                <w:szCs w:val="18"/>
              </w:rPr>
              <w:t>SI</w:t>
            </w:r>
          </w:p>
        </w:tc>
        <w:tc>
          <w:tcPr>
            <w:tcW w:w="672" w:type="dxa"/>
            <w:tcBorders>
              <w:top w:val="single" w:sz="8" w:space="0" w:color="4F81BD"/>
              <w:bottom w:val="single" w:sz="8" w:space="0" w:color="4F81BD"/>
            </w:tcBorders>
          </w:tcPr>
          <w:p w:rsidR="00300092" w:rsidRPr="007D4A8A" w:rsidRDefault="00300092" w:rsidP="00300092">
            <w:pPr>
              <w:pStyle w:val="BodyText"/>
              <w:rPr>
                <w:rFonts w:ascii="Arial" w:hAnsi="Arial"/>
                <w:sz w:val="18"/>
                <w:szCs w:val="18"/>
              </w:rPr>
            </w:pPr>
            <w:r w:rsidRPr="007D4A8A">
              <w:rPr>
                <w:rFonts w:ascii="Arial" w:hAnsi="Arial"/>
                <w:sz w:val="18"/>
                <w:szCs w:val="18"/>
              </w:rPr>
              <w:t>SI</w:t>
            </w:r>
          </w:p>
        </w:tc>
        <w:tc>
          <w:tcPr>
            <w:tcW w:w="587"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
              <w:rPr>
                <w:rFonts w:ascii="Arial" w:hAnsi="Arial"/>
                <w:sz w:val="18"/>
                <w:szCs w:val="18"/>
              </w:rPr>
            </w:pPr>
            <w:r w:rsidRPr="007D4A8A">
              <w:rPr>
                <w:rFonts w:ascii="Arial" w:hAnsi="Arial"/>
                <w:sz w:val="18"/>
                <w:szCs w:val="18"/>
              </w:rPr>
              <w:t>NA</w:t>
            </w:r>
          </w:p>
        </w:tc>
        <w:tc>
          <w:tcPr>
            <w:tcW w:w="692" w:type="dxa"/>
            <w:tcBorders>
              <w:top w:val="single" w:sz="8" w:space="0" w:color="4F81BD"/>
              <w:bottom w:val="single" w:sz="8" w:space="0" w:color="4F81BD"/>
            </w:tcBorders>
          </w:tcPr>
          <w:p w:rsidR="00300092" w:rsidRPr="007D4A8A" w:rsidRDefault="00300092" w:rsidP="00300092">
            <w:pPr>
              <w:pStyle w:val="BodyText"/>
              <w:rPr>
                <w:rFonts w:ascii="Arial" w:hAnsi="Arial"/>
                <w:sz w:val="18"/>
                <w:szCs w:val="18"/>
              </w:rPr>
            </w:pPr>
            <w:r w:rsidRPr="007D4A8A">
              <w:rPr>
                <w:rFonts w:ascii="Arial" w:hAnsi="Arial"/>
                <w:sz w:val="18"/>
                <w:szCs w:val="18"/>
              </w:rPr>
              <w:t>CI</w:t>
            </w:r>
          </w:p>
        </w:tc>
        <w:tc>
          <w:tcPr>
            <w:tcW w:w="614"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
              <w:rPr>
                <w:rFonts w:ascii="Arial" w:hAnsi="Arial"/>
                <w:sz w:val="18"/>
                <w:szCs w:val="18"/>
              </w:rPr>
            </w:pPr>
            <w:r w:rsidRPr="007D4A8A">
              <w:rPr>
                <w:rFonts w:ascii="Arial" w:hAnsi="Arial"/>
                <w:sz w:val="18"/>
                <w:szCs w:val="18"/>
              </w:rPr>
              <w:t>CI</w:t>
            </w:r>
          </w:p>
        </w:tc>
        <w:tc>
          <w:tcPr>
            <w:tcW w:w="610" w:type="dxa"/>
            <w:tcBorders>
              <w:top w:val="single" w:sz="8" w:space="0" w:color="4F81BD"/>
              <w:bottom w:val="single" w:sz="8" w:space="0" w:color="4F81BD"/>
            </w:tcBorders>
          </w:tcPr>
          <w:p w:rsidR="00300092" w:rsidRPr="007D4A8A" w:rsidRDefault="00300092" w:rsidP="00300092">
            <w:pPr>
              <w:pStyle w:val="BodyText"/>
              <w:rPr>
                <w:rFonts w:ascii="Arial" w:hAnsi="Arial"/>
                <w:sz w:val="18"/>
                <w:szCs w:val="18"/>
              </w:rPr>
            </w:pPr>
            <w:r w:rsidRPr="007D4A8A">
              <w:rPr>
                <w:rFonts w:ascii="Arial" w:hAnsi="Arial"/>
                <w:sz w:val="18"/>
                <w:szCs w:val="18"/>
              </w:rPr>
              <w:t>SI</w:t>
            </w:r>
          </w:p>
        </w:tc>
        <w:tc>
          <w:tcPr>
            <w:tcW w:w="610"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
              <w:rPr>
                <w:rFonts w:ascii="Arial" w:hAnsi="Arial"/>
                <w:sz w:val="18"/>
                <w:szCs w:val="18"/>
              </w:rPr>
            </w:pPr>
            <w:r w:rsidRPr="007D4A8A">
              <w:rPr>
                <w:rFonts w:ascii="Arial" w:hAnsi="Arial"/>
                <w:sz w:val="18"/>
                <w:szCs w:val="18"/>
              </w:rPr>
              <w:t>SI</w:t>
            </w:r>
          </w:p>
        </w:tc>
        <w:tc>
          <w:tcPr>
            <w:tcW w:w="512" w:type="dxa"/>
            <w:tcBorders>
              <w:top w:val="single" w:sz="8" w:space="0" w:color="4F81BD"/>
              <w:bottom w:val="single" w:sz="8" w:space="0" w:color="4F81BD"/>
            </w:tcBorders>
          </w:tcPr>
          <w:p w:rsidR="00300092" w:rsidRPr="007D4A8A" w:rsidRDefault="00300092" w:rsidP="00300092">
            <w:pPr>
              <w:pStyle w:val="BodyText"/>
              <w:rPr>
                <w:rFonts w:ascii="Arial" w:hAnsi="Arial"/>
                <w:sz w:val="18"/>
                <w:szCs w:val="18"/>
              </w:rPr>
            </w:pPr>
            <w:r w:rsidRPr="007D4A8A">
              <w:rPr>
                <w:rFonts w:ascii="Arial" w:hAnsi="Arial"/>
                <w:sz w:val="18"/>
                <w:szCs w:val="18"/>
              </w:rPr>
              <w:t>SI</w:t>
            </w:r>
          </w:p>
        </w:tc>
        <w:tc>
          <w:tcPr>
            <w:tcW w:w="575" w:type="dxa"/>
            <w:tcBorders>
              <w:top w:val="single" w:sz="8" w:space="0" w:color="4F81BD"/>
              <w:left w:val="single" w:sz="8" w:space="0" w:color="4F81BD"/>
              <w:bottom w:val="single" w:sz="8" w:space="0" w:color="4F81BD"/>
            </w:tcBorders>
          </w:tcPr>
          <w:p w:rsidR="00300092" w:rsidRPr="007D4A8A" w:rsidRDefault="00300092" w:rsidP="00300092">
            <w:pPr>
              <w:pStyle w:val="BodyText"/>
              <w:rPr>
                <w:rFonts w:ascii="Arial" w:hAnsi="Arial"/>
                <w:sz w:val="18"/>
                <w:szCs w:val="18"/>
              </w:rPr>
            </w:pPr>
            <w:r w:rsidRPr="007D4A8A">
              <w:rPr>
                <w:rFonts w:ascii="Arial" w:hAnsi="Arial"/>
                <w:sz w:val="18"/>
                <w:szCs w:val="18"/>
              </w:rPr>
              <w:t>CI</w:t>
            </w:r>
          </w:p>
        </w:tc>
      </w:tr>
      <w:tr w:rsidR="00300092" w:rsidRPr="00057EFE" w:rsidTr="00300092">
        <w:trPr>
          <w:trHeight w:hRule="exact" w:val="397"/>
        </w:trPr>
        <w:tc>
          <w:tcPr>
            <w:tcW w:w="1122" w:type="dxa"/>
          </w:tcPr>
          <w:p w:rsidR="00300092" w:rsidRPr="007D4A8A" w:rsidRDefault="00300092" w:rsidP="00300092">
            <w:pPr>
              <w:pStyle w:val="BodyText"/>
              <w:rPr>
                <w:rFonts w:ascii="Arial" w:hAnsi="Arial"/>
                <w:b/>
                <w:bCs/>
                <w:sz w:val="18"/>
                <w:szCs w:val="18"/>
              </w:rPr>
            </w:pPr>
            <w:r w:rsidRPr="007D4A8A">
              <w:rPr>
                <w:rFonts w:ascii="Arial" w:hAnsi="Arial"/>
                <w:b/>
                <w:bCs/>
                <w:sz w:val="18"/>
                <w:szCs w:val="18"/>
              </w:rPr>
              <w:t>Heavy</w:t>
            </w:r>
          </w:p>
        </w:tc>
        <w:tc>
          <w:tcPr>
            <w:tcW w:w="745" w:type="dxa"/>
            <w:tcBorders>
              <w:left w:val="single" w:sz="8" w:space="0" w:color="4F81BD"/>
              <w:right w:val="single" w:sz="8" w:space="0" w:color="4F81BD"/>
            </w:tcBorders>
          </w:tcPr>
          <w:p w:rsidR="00300092" w:rsidRPr="007D4A8A" w:rsidRDefault="00300092" w:rsidP="00300092">
            <w:pPr>
              <w:pStyle w:val="BodyText"/>
              <w:rPr>
                <w:rFonts w:ascii="Arial" w:hAnsi="Arial"/>
                <w:sz w:val="18"/>
                <w:szCs w:val="18"/>
              </w:rPr>
            </w:pPr>
            <w:r w:rsidRPr="007D4A8A">
              <w:rPr>
                <w:rFonts w:ascii="Arial" w:hAnsi="Arial"/>
                <w:sz w:val="18"/>
                <w:szCs w:val="18"/>
              </w:rPr>
              <w:t>SI</w:t>
            </w:r>
          </w:p>
        </w:tc>
        <w:tc>
          <w:tcPr>
            <w:tcW w:w="764" w:type="dxa"/>
          </w:tcPr>
          <w:p w:rsidR="00300092" w:rsidRPr="007D4A8A" w:rsidRDefault="00300092" w:rsidP="00300092">
            <w:pPr>
              <w:pStyle w:val="BodyText"/>
              <w:rPr>
                <w:rFonts w:ascii="Arial" w:hAnsi="Arial"/>
                <w:sz w:val="18"/>
                <w:szCs w:val="18"/>
              </w:rPr>
            </w:pPr>
            <w:r w:rsidRPr="007D4A8A">
              <w:rPr>
                <w:rFonts w:ascii="Arial" w:hAnsi="Arial"/>
                <w:sz w:val="18"/>
                <w:szCs w:val="18"/>
              </w:rPr>
              <w:t>CI</w:t>
            </w:r>
          </w:p>
        </w:tc>
        <w:tc>
          <w:tcPr>
            <w:tcW w:w="645" w:type="dxa"/>
            <w:tcBorders>
              <w:left w:val="single" w:sz="8" w:space="0" w:color="4F81BD"/>
              <w:right w:val="single" w:sz="8" w:space="0" w:color="4F81BD"/>
            </w:tcBorders>
          </w:tcPr>
          <w:p w:rsidR="00300092" w:rsidRPr="007D4A8A" w:rsidRDefault="00300092" w:rsidP="00300092">
            <w:pPr>
              <w:pStyle w:val="BodyText"/>
              <w:rPr>
                <w:rFonts w:ascii="Arial" w:hAnsi="Arial"/>
                <w:sz w:val="18"/>
                <w:szCs w:val="18"/>
              </w:rPr>
            </w:pPr>
            <w:r w:rsidRPr="007D4A8A">
              <w:rPr>
                <w:rFonts w:ascii="Arial" w:hAnsi="Arial"/>
                <w:sz w:val="18"/>
                <w:szCs w:val="18"/>
              </w:rPr>
              <w:t>SI</w:t>
            </w:r>
          </w:p>
        </w:tc>
        <w:tc>
          <w:tcPr>
            <w:tcW w:w="672" w:type="dxa"/>
          </w:tcPr>
          <w:p w:rsidR="00300092" w:rsidRPr="007D4A8A" w:rsidRDefault="00300092" w:rsidP="00300092">
            <w:pPr>
              <w:pStyle w:val="BodyText"/>
              <w:rPr>
                <w:rFonts w:ascii="Arial" w:hAnsi="Arial"/>
                <w:sz w:val="18"/>
                <w:szCs w:val="18"/>
              </w:rPr>
            </w:pPr>
            <w:r w:rsidRPr="007D4A8A">
              <w:rPr>
                <w:rFonts w:ascii="Arial" w:hAnsi="Arial"/>
                <w:sz w:val="18"/>
                <w:szCs w:val="18"/>
              </w:rPr>
              <w:t>SI</w:t>
            </w:r>
          </w:p>
        </w:tc>
        <w:tc>
          <w:tcPr>
            <w:tcW w:w="587" w:type="dxa"/>
            <w:tcBorders>
              <w:left w:val="single" w:sz="8" w:space="0" w:color="4F81BD"/>
              <w:right w:val="single" w:sz="8" w:space="0" w:color="4F81BD"/>
            </w:tcBorders>
          </w:tcPr>
          <w:p w:rsidR="00300092" w:rsidRPr="007D4A8A" w:rsidRDefault="00300092" w:rsidP="00300092">
            <w:pPr>
              <w:pStyle w:val="BodyText"/>
              <w:rPr>
                <w:rFonts w:ascii="Arial" w:hAnsi="Arial"/>
                <w:sz w:val="18"/>
                <w:szCs w:val="18"/>
              </w:rPr>
            </w:pPr>
            <w:r w:rsidRPr="007D4A8A">
              <w:rPr>
                <w:rFonts w:ascii="Arial" w:hAnsi="Arial"/>
                <w:sz w:val="18"/>
                <w:szCs w:val="18"/>
              </w:rPr>
              <w:t>NA</w:t>
            </w:r>
          </w:p>
        </w:tc>
        <w:tc>
          <w:tcPr>
            <w:tcW w:w="692" w:type="dxa"/>
          </w:tcPr>
          <w:p w:rsidR="00300092" w:rsidRPr="007D4A8A" w:rsidRDefault="00300092" w:rsidP="00300092">
            <w:pPr>
              <w:pStyle w:val="BodyText"/>
              <w:rPr>
                <w:rFonts w:ascii="Arial" w:hAnsi="Arial"/>
                <w:sz w:val="18"/>
                <w:szCs w:val="18"/>
              </w:rPr>
            </w:pPr>
            <w:r w:rsidRPr="007D4A8A">
              <w:rPr>
                <w:rFonts w:ascii="Arial" w:hAnsi="Arial"/>
                <w:sz w:val="18"/>
                <w:szCs w:val="18"/>
              </w:rPr>
              <w:t>CI</w:t>
            </w:r>
          </w:p>
        </w:tc>
        <w:tc>
          <w:tcPr>
            <w:tcW w:w="614" w:type="dxa"/>
            <w:tcBorders>
              <w:left w:val="single" w:sz="8" w:space="0" w:color="4F81BD"/>
              <w:right w:val="single" w:sz="8" w:space="0" w:color="4F81BD"/>
            </w:tcBorders>
          </w:tcPr>
          <w:p w:rsidR="00300092" w:rsidRPr="007D4A8A" w:rsidRDefault="00300092" w:rsidP="00300092">
            <w:pPr>
              <w:pStyle w:val="BodyText"/>
              <w:rPr>
                <w:rFonts w:ascii="Arial" w:hAnsi="Arial"/>
                <w:sz w:val="18"/>
                <w:szCs w:val="18"/>
              </w:rPr>
            </w:pPr>
            <w:r w:rsidRPr="007D4A8A">
              <w:rPr>
                <w:rFonts w:ascii="Arial" w:hAnsi="Arial"/>
                <w:sz w:val="18"/>
                <w:szCs w:val="18"/>
              </w:rPr>
              <w:t>CI</w:t>
            </w:r>
          </w:p>
        </w:tc>
        <w:tc>
          <w:tcPr>
            <w:tcW w:w="610" w:type="dxa"/>
          </w:tcPr>
          <w:p w:rsidR="00300092" w:rsidRPr="007D4A8A" w:rsidRDefault="00300092" w:rsidP="00300092">
            <w:pPr>
              <w:pStyle w:val="BodyText"/>
              <w:rPr>
                <w:rFonts w:ascii="Arial" w:hAnsi="Arial"/>
                <w:sz w:val="18"/>
                <w:szCs w:val="18"/>
              </w:rPr>
            </w:pPr>
            <w:r w:rsidRPr="007D4A8A">
              <w:rPr>
                <w:rFonts w:ascii="Arial" w:hAnsi="Arial"/>
                <w:sz w:val="18"/>
                <w:szCs w:val="18"/>
              </w:rPr>
              <w:t>SI</w:t>
            </w:r>
          </w:p>
        </w:tc>
        <w:tc>
          <w:tcPr>
            <w:tcW w:w="610" w:type="dxa"/>
            <w:tcBorders>
              <w:left w:val="single" w:sz="8" w:space="0" w:color="4F81BD"/>
              <w:right w:val="single" w:sz="8" w:space="0" w:color="4F81BD"/>
            </w:tcBorders>
          </w:tcPr>
          <w:p w:rsidR="00300092" w:rsidRPr="007D4A8A" w:rsidRDefault="00300092" w:rsidP="00300092">
            <w:pPr>
              <w:pStyle w:val="BodyText"/>
              <w:rPr>
                <w:rFonts w:ascii="Arial" w:hAnsi="Arial"/>
                <w:sz w:val="18"/>
                <w:szCs w:val="18"/>
              </w:rPr>
            </w:pPr>
            <w:r w:rsidRPr="007D4A8A">
              <w:rPr>
                <w:rFonts w:ascii="Arial" w:hAnsi="Arial"/>
                <w:sz w:val="18"/>
                <w:szCs w:val="18"/>
              </w:rPr>
              <w:t>SI</w:t>
            </w:r>
          </w:p>
        </w:tc>
        <w:tc>
          <w:tcPr>
            <w:tcW w:w="512" w:type="dxa"/>
          </w:tcPr>
          <w:p w:rsidR="00300092" w:rsidRPr="007D4A8A" w:rsidRDefault="00300092" w:rsidP="00300092">
            <w:pPr>
              <w:pStyle w:val="BodyText"/>
              <w:rPr>
                <w:rFonts w:ascii="Arial" w:hAnsi="Arial"/>
                <w:sz w:val="18"/>
                <w:szCs w:val="18"/>
              </w:rPr>
            </w:pPr>
            <w:r w:rsidRPr="007D4A8A">
              <w:rPr>
                <w:rFonts w:ascii="Arial" w:hAnsi="Arial"/>
                <w:sz w:val="18"/>
                <w:szCs w:val="18"/>
              </w:rPr>
              <w:t>SI</w:t>
            </w:r>
          </w:p>
        </w:tc>
        <w:tc>
          <w:tcPr>
            <w:tcW w:w="575" w:type="dxa"/>
            <w:tcBorders>
              <w:left w:val="single" w:sz="8" w:space="0" w:color="4F81BD"/>
            </w:tcBorders>
          </w:tcPr>
          <w:p w:rsidR="00300092" w:rsidRPr="007D4A8A" w:rsidRDefault="00300092" w:rsidP="00300092">
            <w:pPr>
              <w:pStyle w:val="BodyText"/>
              <w:rPr>
                <w:rFonts w:ascii="Arial" w:hAnsi="Arial"/>
                <w:sz w:val="18"/>
                <w:szCs w:val="18"/>
              </w:rPr>
            </w:pPr>
            <w:r w:rsidRPr="007D4A8A">
              <w:rPr>
                <w:rFonts w:ascii="Arial" w:hAnsi="Arial"/>
                <w:sz w:val="18"/>
                <w:szCs w:val="18"/>
              </w:rPr>
              <w:t>CI</w:t>
            </w:r>
          </w:p>
        </w:tc>
      </w:tr>
      <w:tr w:rsidR="00300092" w:rsidRPr="00057EFE" w:rsidTr="00300092">
        <w:trPr>
          <w:trHeight w:hRule="exact" w:val="567"/>
        </w:trPr>
        <w:tc>
          <w:tcPr>
            <w:tcW w:w="1122" w:type="dxa"/>
            <w:tcBorders>
              <w:top w:val="single" w:sz="8" w:space="0" w:color="4F81BD"/>
              <w:bottom w:val="single" w:sz="8" w:space="0" w:color="4F81BD"/>
            </w:tcBorders>
          </w:tcPr>
          <w:p w:rsidR="00300092" w:rsidRPr="007D4A8A" w:rsidRDefault="00300092" w:rsidP="00300092">
            <w:pPr>
              <w:pStyle w:val="BodyText"/>
              <w:rPr>
                <w:rFonts w:ascii="Arial" w:hAnsi="Arial"/>
                <w:b/>
                <w:bCs/>
                <w:sz w:val="18"/>
                <w:szCs w:val="18"/>
              </w:rPr>
            </w:pPr>
            <w:r w:rsidRPr="007D4A8A">
              <w:rPr>
                <w:rFonts w:ascii="Arial" w:hAnsi="Arial"/>
                <w:bCs/>
                <w:sz w:val="18"/>
                <w:szCs w:val="18"/>
              </w:rPr>
              <w:t>Trucks &amp; Buses</w:t>
            </w:r>
          </w:p>
        </w:tc>
        <w:tc>
          <w:tcPr>
            <w:tcW w:w="745"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
              <w:rPr>
                <w:rFonts w:ascii="Arial" w:hAnsi="Arial"/>
                <w:sz w:val="18"/>
                <w:szCs w:val="18"/>
              </w:rPr>
            </w:pPr>
          </w:p>
        </w:tc>
        <w:tc>
          <w:tcPr>
            <w:tcW w:w="764" w:type="dxa"/>
            <w:tcBorders>
              <w:top w:val="single" w:sz="8" w:space="0" w:color="4F81BD"/>
              <w:bottom w:val="single" w:sz="8" w:space="0" w:color="4F81BD"/>
            </w:tcBorders>
          </w:tcPr>
          <w:p w:rsidR="00300092" w:rsidRPr="007D4A8A" w:rsidRDefault="00300092" w:rsidP="00300092">
            <w:pPr>
              <w:pStyle w:val="BodyText"/>
              <w:rPr>
                <w:rFonts w:ascii="Arial" w:hAnsi="Arial"/>
                <w:sz w:val="18"/>
                <w:szCs w:val="18"/>
              </w:rPr>
            </w:pPr>
          </w:p>
        </w:tc>
        <w:tc>
          <w:tcPr>
            <w:tcW w:w="645"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
              <w:rPr>
                <w:rFonts w:ascii="Arial" w:hAnsi="Arial"/>
                <w:sz w:val="18"/>
                <w:szCs w:val="18"/>
              </w:rPr>
            </w:pPr>
          </w:p>
        </w:tc>
        <w:tc>
          <w:tcPr>
            <w:tcW w:w="672" w:type="dxa"/>
            <w:tcBorders>
              <w:top w:val="single" w:sz="8" w:space="0" w:color="4F81BD"/>
              <w:bottom w:val="single" w:sz="8" w:space="0" w:color="4F81BD"/>
            </w:tcBorders>
          </w:tcPr>
          <w:p w:rsidR="00300092" w:rsidRPr="007D4A8A" w:rsidRDefault="00300092" w:rsidP="00300092">
            <w:pPr>
              <w:pStyle w:val="BodyText"/>
              <w:rPr>
                <w:rFonts w:ascii="Arial" w:hAnsi="Arial"/>
                <w:sz w:val="18"/>
                <w:szCs w:val="18"/>
              </w:rPr>
            </w:pPr>
          </w:p>
        </w:tc>
        <w:tc>
          <w:tcPr>
            <w:tcW w:w="587"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
              <w:rPr>
                <w:rFonts w:ascii="Arial" w:hAnsi="Arial"/>
                <w:sz w:val="18"/>
                <w:szCs w:val="18"/>
              </w:rPr>
            </w:pPr>
          </w:p>
        </w:tc>
        <w:tc>
          <w:tcPr>
            <w:tcW w:w="692" w:type="dxa"/>
            <w:tcBorders>
              <w:top w:val="single" w:sz="8" w:space="0" w:color="4F81BD"/>
              <w:bottom w:val="single" w:sz="8" w:space="0" w:color="4F81BD"/>
            </w:tcBorders>
          </w:tcPr>
          <w:p w:rsidR="00300092" w:rsidRPr="007D4A8A" w:rsidRDefault="00300092" w:rsidP="00300092">
            <w:pPr>
              <w:pStyle w:val="BodyText"/>
              <w:rPr>
                <w:rFonts w:ascii="Arial" w:hAnsi="Arial"/>
                <w:sz w:val="18"/>
                <w:szCs w:val="18"/>
              </w:rPr>
            </w:pPr>
          </w:p>
        </w:tc>
        <w:tc>
          <w:tcPr>
            <w:tcW w:w="614"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
              <w:rPr>
                <w:rFonts w:ascii="Arial" w:hAnsi="Arial"/>
                <w:sz w:val="18"/>
                <w:szCs w:val="18"/>
              </w:rPr>
            </w:pPr>
          </w:p>
        </w:tc>
        <w:tc>
          <w:tcPr>
            <w:tcW w:w="610" w:type="dxa"/>
            <w:tcBorders>
              <w:top w:val="single" w:sz="8" w:space="0" w:color="4F81BD"/>
              <w:bottom w:val="single" w:sz="8" w:space="0" w:color="4F81BD"/>
            </w:tcBorders>
          </w:tcPr>
          <w:p w:rsidR="00300092" w:rsidRPr="007D4A8A" w:rsidRDefault="00300092" w:rsidP="00300092">
            <w:pPr>
              <w:pStyle w:val="BodyText"/>
              <w:rPr>
                <w:rFonts w:ascii="Arial" w:hAnsi="Arial"/>
                <w:sz w:val="18"/>
                <w:szCs w:val="18"/>
              </w:rPr>
            </w:pPr>
          </w:p>
        </w:tc>
        <w:tc>
          <w:tcPr>
            <w:tcW w:w="610"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
              <w:rPr>
                <w:rFonts w:ascii="Arial" w:hAnsi="Arial"/>
                <w:sz w:val="18"/>
                <w:szCs w:val="18"/>
              </w:rPr>
            </w:pPr>
          </w:p>
        </w:tc>
        <w:tc>
          <w:tcPr>
            <w:tcW w:w="512" w:type="dxa"/>
            <w:tcBorders>
              <w:top w:val="single" w:sz="8" w:space="0" w:color="4F81BD"/>
              <w:bottom w:val="single" w:sz="8" w:space="0" w:color="4F81BD"/>
            </w:tcBorders>
          </w:tcPr>
          <w:p w:rsidR="00300092" w:rsidRPr="007D4A8A" w:rsidRDefault="00300092" w:rsidP="00300092">
            <w:pPr>
              <w:pStyle w:val="BodyText"/>
              <w:rPr>
                <w:rFonts w:ascii="Arial" w:hAnsi="Arial"/>
                <w:sz w:val="18"/>
                <w:szCs w:val="18"/>
              </w:rPr>
            </w:pPr>
          </w:p>
        </w:tc>
        <w:tc>
          <w:tcPr>
            <w:tcW w:w="575" w:type="dxa"/>
            <w:tcBorders>
              <w:top w:val="single" w:sz="8" w:space="0" w:color="4F81BD"/>
              <w:left w:val="single" w:sz="8" w:space="0" w:color="4F81BD"/>
              <w:bottom w:val="single" w:sz="8" w:space="0" w:color="4F81BD"/>
            </w:tcBorders>
          </w:tcPr>
          <w:p w:rsidR="00300092" w:rsidRPr="007D4A8A" w:rsidRDefault="00300092" w:rsidP="00300092">
            <w:pPr>
              <w:pStyle w:val="BodyText"/>
              <w:rPr>
                <w:rFonts w:ascii="Arial" w:hAnsi="Arial"/>
                <w:sz w:val="18"/>
                <w:szCs w:val="18"/>
              </w:rPr>
            </w:pPr>
          </w:p>
        </w:tc>
      </w:tr>
      <w:tr w:rsidR="00300092" w:rsidRPr="00057EFE" w:rsidTr="00300092">
        <w:trPr>
          <w:trHeight w:hRule="exact" w:val="397"/>
        </w:trPr>
        <w:tc>
          <w:tcPr>
            <w:tcW w:w="1122" w:type="dxa"/>
          </w:tcPr>
          <w:p w:rsidR="00300092" w:rsidRPr="007D4A8A" w:rsidRDefault="00300092" w:rsidP="00300092">
            <w:pPr>
              <w:pStyle w:val="BodyText"/>
              <w:rPr>
                <w:rFonts w:ascii="Arial" w:hAnsi="Arial"/>
                <w:b/>
                <w:bCs/>
                <w:sz w:val="18"/>
                <w:szCs w:val="18"/>
              </w:rPr>
            </w:pPr>
            <w:r w:rsidRPr="007D4A8A">
              <w:rPr>
                <w:rFonts w:ascii="Arial" w:hAnsi="Arial"/>
                <w:b/>
                <w:bCs/>
                <w:sz w:val="18"/>
                <w:szCs w:val="18"/>
              </w:rPr>
              <w:t>Rigid</w:t>
            </w:r>
          </w:p>
        </w:tc>
        <w:tc>
          <w:tcPr>
            <w:tcW w:w="745" w:type="dxa"/>
            <w:tcBorders>
              <w:left w:val="single" w:sz="8" w:space="0" w:color="4F81BD"/>
              <w:right w:val="single" w:sz="8" w:space="0" w:color="4F81BD"/>
            </w:tcBorders>
          </w:tcPr>
          <w:p w:rsidR="00300092" w:rsidRPr="007D4A8A" w:rsidRDefault="00300092" w:rsidP="00300092">
            <w:pPr>
              <w:pStyle w:val="BodyText"/>
              <w:rPr>
                <w:rFonts w:ascii="Arial" w:hAnsi="Arial"/>
                <w:sz w:val="18"/>
                <w:szCs w:val="18"/>
              </w:rPr>
            </w:pPr>
            <w:r w:rsidRPr="007D4A8A">
              <w:rPr>
                <w:rFonts w:ascii="Arial" w:hAnsi="Arial"/>
                <w:sz w:val="18"/>
                <w:szCs w:val="18"/>
              </w:rPr>
              <w:t>SI</w:t>
            </w:r>
          </w:p>
        </w:tc>
        <w:tc>
          <w:tcPr>
            <w:tcW w:w="764" w:type="dxa"/>
          </w:tcPr>
          <w:p w:rsidR="00300092" w:rsidRPr="007D4A8A" w:rsidRDefault="00300092" w:rsidP="00300092">
            <w:pPr>
              <w:pStyle w:val="BodyText"/>
              <w:rPr>
                <w:rFonts w:ascii="Arial" w:hAnsi="Arial"/>
                <w:sz w:val="18"/>
                <w:szCs w:val="18"/>
              </w:rPr>
            </w:pPr>
            <w:r w:rsidRPr="007D4A8A">
              <w:rPr>
                <w:rFonts w:ascii="Arial" w:hAnsi="Arial"/>
                <w:sz w:val="18"/>
                <w:szCs w:val="18"/>
              </w:rPr>
              <w:t>CI</w:t>
            </w:r>
          </w:p>
        </w:tc>
        <w:tc>
          <w:tcPr>
            <w:tcW w:w="645" w:type="dxa"/>
            <w:tcBorders>
              <w:left w:val="single" w:sz="8" w:space="0" w:color="4F81BD"/>
              <w:right w:val="single" w:sz="8" w:space="0" w:color="4F81BD"/>
            </w:tcBorders>
          </w:tcPr>
          <w:p w:rsidR="00300092" w:rsidRPr="007D4A8A" w:rsidRDefault="00300092" w:rsidP="00300092">
            <w:pPr>
              <w:pStyle w:val="BodyText"/>
              <w:rPr>
                <w:rFonts w:ascii="Arial" w:hAnsi="Arial"/>
                <w:sz w:val="18"/>
                <w:szCs w:val="18"/>
              </w:rPr>
            </w:pPr>
            <w:r w:rsidRPr="007D4A8A">
              <w:rPr>
                <w:rFonts w:ascii="Arial" w:hAnsi="Arial"/>
                <w:sz w:val="18"/>
                <w:szCs w:val="18"/>
              </w:rPr>
              <w:t>SI</w:t>
            </w:r>
          </w:p>
        </w:tc>
        <w:tc>
          <w:tcPr>
            <w:tcW w:w="672" w:type="dxa"/>
          </w:tcPr>
          <w:p w:rsidR="00300092" w:rsidRPr="007D4A8A" w:rsidRDefault="00300092" w:rsidP="00300092">
            <w:pPr>
              <w:pStyle w:val="BodyText"/>
              <w:rPr>
                <w:rFonts w:ascii="Arial" w:hAnsi="Arial"/>
                <w:sz w:val="18"/>
                <w:szCs w:val="18"/>
              </w:rPr>
            </w:pPr>
            <w:r w:rsidRPr="007D4A8A">
              <w:rPr>
                <w:rFonts w:ascii="Arial" w:hAnsi="Arial"/>
                <w:sz w:val="18"/>
                <w:szCs w:val="18"/>
              </w:rPr>
              <w:t>SI</w:t>
            </w:r>
          </w:p>
        </w:tc>
        <w:tc>
          <w:tcPr>
            <w:tcW w:w="587" w:type="dxa"/>
            <w:tcBorders>
              <w:left w:val="single" w:sz="8" w:space="0" w:color="4F81BD"/>
              <w:right w:val="single" w:sz="8" w:space="0" w:color="4F81BD"/>
            </w:tcBorders>
          </w:tcPr>
          <w:p w:rsidR="00300092" w:rsidRPr="007D4A8A" w:rsidRDefault="00300092" w:rsidP="00300092">
            <w:pPr>
              <w:pStyle w:val="BodyText"/>
              <w:rPr>
                <w:rFonts w:ascii="Arial" w:hAnsi="Arial"/>
                <w:sz w:val="18"/>
                <w:szCs w:val="18"/>
              </w:rPr>
            </w:pPr>
            <w:r w:rsidRPr="007D4A8A">
              <w:rPr>
                <w:rFonts w:ascii="Arial" w:hAnsi="Arial"/>
                <w:sz w:val="18"/>
                <w:szCs w:val="18"/>
              </w:rPr>
              <w:t>NA</w:t>
            </w:r>
          </w:p>
        </w:tc>
        <w:tc>
          <w:tcPr>
            <w:tcW w:w="692" w:type="dxa"/>
          </w:tcPr>
          <w:p w:rsidR="00300092" w:rsidRPr="007D4A8A" w:rsidRDefault="00300092" w:rsidP="00300092">
            <w:pPr>
              <w:pStyle w:val="BodyText"/>
              <w:rPr>
                <w:rFonts w:ascii="Arial" w:hAnsi="Arial"/>
                <w:sz w:val="18"/>
                <w:szCs w:val="18"/>
              </w:rPr>
            </w:pPr>
            <w:r w:rsidRPr="007D4A8A">
              <w:rPr>
                <w:rFonts w:ascii="Arial" w:hAnsi="Arial"/>
                <w:sz w:val="18"/>
                <w:szCs w:val="18"/>
              </w:rPr>
              <w:t>CI</w:t>
            </w:r>
          </w:p>
        </w:tc>
        <w:tc>
          <w:tcPr>
            <w:tcW w:w="614" w:type="dxa"/>
            <w:tcBorders>
              <w:left w:val="single" w:sz="8" w:space="0" w:color="4F81BD"/>
              <w:right w:val="single" w:sz="8" w:space="0" w:color="4F81BD"/>
            </w:tcBorders>
          </w:tcPr>
          <w:p w:rsidR="00300092" w:rsidRPr="007D4A8A" w:rsidRDefault="00300092" w:rsidP="00300092">
            <w:pPr>
              <w:pStyle w:val="BodyText"/>
              <w:rPr>
                <w:rFonts w:ascii="Arial" w:hAnsi="Arial"/>
                <w:sz w:val="18"/>
                <w:szCs w:val="18"/>
              </w:rPr>
            </w:pPr>
            <w:r w:rsidRPr="007D4A8A">
              <w:rPr>
                <w:rFonts w:ascii="Arial" w:hAnsi="Arial"/>
                <w:sz w:val="18"/>
                <w:szCs w:val="18"/>
              </w:rPr>
              <w:t>CI</w:t>
            </w:r>
          </w:p>
        </w:tc>
        <w:tc>
          <w:tcPr>
            <w:tcW w:w="610" w:type="dxa"/>
          </w:tcPr>
          <w:p w:rsidR="00300092" w:rsidRPr="007D4A8A" w:rsidRDefault="00300092" w:rsidP="00300092">
            <w:pPr>
              <w:pStyle w:val="BodyText"/>
              <w:rPr>
                <w:rFonts w:ascii="Arial" w:hAnsi="Arial"/>
                <w:sz w:val="18"/>
                <w:szCs w:val="18"/>
              </w:rPr>
            </w:pPr>
            <w:r w:rsidRPr="007D4A8A">
              <w:rPr>
                <w:rFonts w:ascii="Arial" w:hAnsi="Arial"/>
                <w:sz w:val="18"/>
                <w:szCs w:val="18"/>
              </w:rPr>
              <w:t>SI</w:t>
            </w:r>
          </w:p>
        </w:tc>
        <w:tc>
          <w:tcPr>
            <w:tcW w:w="610" w:type="dxa"/>
            <w:tcBorders>
              <w:left w:val="single" w:sz="8" w:space="0" w:color="4F81BD"/>
              <w:right w:val="single" w:sz="8" w:space="0" w:color="4F81BD"/>
            </w:tcBorders>
          </w:tcPr>
          <w:p w:rsidR="00300092" w:rsidRPr="007D4A8A" w:rsidRDefault="00300092" w:rsidP="00300092">
            <w:pPr>
              <w:pStyle w:val="BodyText"/>
              <w:rPr>
                <w:rFonts w:ascii="Arial" w:hAnsi="Arial"/>
                <w:sz w:val="18"/>
                <w:szCs w:val="18"/>
              </w:rPr>
            </w:pPr>
            <w:r w:rsidRPr="007D4A8A">
              <w:rPr>
                <w:rFonts w:ascii="Arial" w:hAnsi="Arial"/>
                <w:sz w:val="18"/>
                <w:szCs w:val="18"/>
              </w:rPr>
              <w:t>SI</w:t>
            </w:r>
          </w:p>
        </w:tc>
        <w:tc>
          <w:tcPr>
            <w:tcW w:w="512" w:type="dxa"/>
          </w:tcPr>
          <w:p w:rsidR="00300092" w:rsidRPr="007D4A8A" w:rsidRDefault="00300092" w:rsidP="00300092">
            <w:pPr>
              <w:pStyle w:val="BodyText"/>
              <w:rPr>
                <w:rFonts w:ascii="Arial" w:hAnsi="Arial"/>
                <w:sz w:val="18"/>
                <w:szCs w:val="18"/>
              </w:rPr>
            </w:pPr>
            <w:r w:rsidRPr="007D4A8A">
              <w:rPr>
                <w:rFonts w:ascii="Arial" w:hAnsi="Arial"/>
                <w:sz w:val="18"/>
                <w:szCs w:val="18"/>
              </w:rPr>
              <w:t>SI</w:t>
            </w:r>
          </w:p>
        </w:tc>
        <w:tc>
          <w:tcPr>
            <w:tcW w:w="575" w:type="dxa"/>
            <w:tcBorders>
              <w:left w:val="single" w:sz="8" w:space="0" w:color="4F81BD"/>
            </w:tcBorders>
          </w:tcPr>
          <w:p w:rsidR="00300092" w:rsidRPr="007D4A8A" w:rsidRDefault="00300092" w:rsidP="00300092">
            <w:pPr>
              <w:pStyle w:val="BodyText"/>
              <w:rPr>
                <w:rFonts w:ascii="Arial" w:hAnsi="Arial"/>
                <w:sz w:val="18"/>
                <w:szCs w:val="18"/>
              </w:rPr>
            </w:pPr>
            <w:r w:rsidRPr="007D4A8A">
              <w:rPr>
                <w:rFonts w:ascii="Arial" w:hAnsi="Arial"/>
                <w:sz w:val="18"/>
                <w:szCs w:val="18"/>
              </w:rPr>
              <w:t>CI</w:t>
            </w:r>
          </w:p>
        </w:tc>
      </w:tr>
      <w:tr w:rsidR="00300092" w:rsidRPr="00057EFE" w:rsidTr="00300092">
        <w:trPr>
          <w:trHeight w:hRule="exact" w:val="397"/>
        </w:trPr>
        <w:tc>
          <w:tcPr>
            <w:tcW w:w="1122" w:type="dxa"/>
            <w:tcBorders>
              <w:top w:val="single" w:sz="8" w:space="0" w:color="4F81BD"/>
              <w:bottom w:val="single" w:sz="8" w:space="0" w:color="4F81BD"/>
            </w:tcBorders>
          </w:tcPr>
          <w:p w:rsidR="00300092" w:rsidRPr="007D4A8A" w:rsidRDefault="00300092" w:rsidP="00300092">
            <w:pPr>
              <w:pStyle w:val="BodyText"/>
              <w:rPr>
                <w:rFonts w:ascii="Arial" w:hAnsi="Arial"/>
                <w:b/>
                <w:bCs/>
                <w:sz w:val="18"/>
                <w:szCs w:val="18"/>
              </w:rPr>
            </w:pPr>
            <w:r w:rsidRPr="007D4A8A">
              <w:rPr>
                <w:rFonts w:ascii="Arial" w:hAnsi="Arial"/>
                <w:b/>
                <w:bCs/>
                <w:sz w:val="18"/>
                <w:szCs w:val="18"/>
              </w:rPr>
              <w:t>Art’d</w:t>
            </w:r>
          </w:p>
        </w:tc>
        <w:tc>
          <w:tcPr>
            <w:tcW w:w="745"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
              <w:rPr>
                <w:rFonts w:ascii="Arial" w:hAnsi="Arial"/>
                <w:sz w:val="18"/>
                <w:szCs w:val="18"/>
              </w:rPr>
            </w:pPr>
            <w:r w:rsidRPr="007D4A8A">
              <w:rPr>
                <w:rFonts w:ascii="Arial" w:hAnsi="Arial"/>
                <w:sz w:val="18"/>
                <w:szCs w:val="18"/>
              </w:rPr>
              <w:t>SI</w:t>
            </w:r>
          </w:p>
        </w:tc>
        <w:tc>
          <w:tcPr>
            <w:tcW w:w="764" w:type="dxa"/>
            <w:tcBorders>
              <w:top w:val="single" w:sz="8" w:space="0" w:color="4F81BD"/>
              <w:bottom w:val="single" w:sz="8" w:space="0" w:color="4F81BD"/>
            </w:tcBorders>
          </w:tcPr>
          <w:p w:rsidR="00300092" w:rsidRPr="007D4A8A" w:rsidRDefault="00300092" w:rsidP="00300092">
            <w:pPr>
              <w:pStyle w:val="BodyText"/>
              <w:rPr>
                <w:rFonts w:ascii="Arial" w:hAnsi="Arial"/>
                <w:sz w:val="18"/>
                <w:szCs w:val="18"/>
              </w:rPr>
            </w:pPr>
            <w:r w:rsidRPr="007D4A8A">
              <w:rPr>
                <w:rFonts w:ascii="Arial" w:hAnsi="Arial"/>
                <w:sz w:val="18"/>
                <w:szCs w:val="18"/>
              </w:rPr>
              <w:t>CI</w:t>
            </w:r>
          </w:p>
        </w:tc>
        <w:tc>
          <w:tcPr>
            <w:tcW w:w="645"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
              <w:rPr>
                <w:rFonts w:ascii="Arial" w:hAnsi="Arial"/>
                <w:sz w:val="18"/>
                <w:szCs w:val="18"/>
              </w:rPr>
            </w:pPr>
            <w:r w:rsidRPr="007D4A8A">
              <w:rPr>
                <w:rFonts w:ascii="Arial" w:hAnsi="Arial"/>
                <w:sz w:val="18"/>
                <w:szCs w:val="18"/>
              </w:rPr>
              <w:t>CI</w:t>
            </w:r>
          </w:p>
        </w:tc>
        <w:tc>
          <w:tcPr>
            <w:tcW w:w="672" w:type="dxa"/>
            <w:tcBorders>
              <w:top w:val="single" w:sz="8" w:space="0" w:color="4F81BD"/>
              <w:bottom w:val="single" w:sz="8" w:space="0" w:color="4F81BD"/>
            </w:tcBorders>
          </w:tcPr>
          <w:p w:rsidR="00300092" w:rsidRPr="007D4A8A" w:rsidRDefault="00300092" w:rsidP="00300092">
            <w:pPr>
              <w:pStyle w:val="BodyText"/>
              <w:rPr>
                <w:rFonts w:ascii="Arial" w:hAnsi="Arial"/>
                <w:sz w:val="18"/>
                <w:szCs w:val="18"/>
              </w:rPr>
            </w:pPr>
            <w:r w:rsidRPr="007D4A8A">
              <w:rPr>
                <w:rFonts w:ascii="Arial" w:hAnsi="Arial"/>
                <w:sz w:val="18"/>
                <w:szCs w:val="18"/>
              </w:rPr>
              <w:t>NA</w:t>
            </w:r>
          </w:p>
        </w:tc>
        <w:tc>
          <w:tcPr>
            <w:tcW w:w="587"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
              <w:rPr>
                <w:rFonts w:ascii="Arial" w:hAnsi="Arial"/>
                <w:sz w:val="18"/>
                <w:szCs w:val="18"/>
              </w:rPr>
            </w:pPr>
            <w:r w:rsidRPr="007D4A8A">
              <w:rPr>
                <w:rFonts w:ascii="Arial" w:hAnsi="Arial"/>
                <w:sz w:val="18"/>
                <w:szCs w:val="18"/>
              </w:rPr>
              <w:t>CI</w:t>
            </w:r>
          </w:p>
        </w:tc>
        <w:tc>
          <w:tcPr>
            <w:tcW w:w="692" w:type="dxa"/>
            <w:tcBorders>
              <w:top w:val="single" w:sz="8" w:space="0" w:color="4F81BD"/>
              <w:bottom w:val="single" w:sz="8" w:space="0" w:color="4F81BD"/>
            </w:tcBorders>
          </w:tcPr>
          <w:p w:rsidR="00300092" w:rsidRPr="007D4A8A" w:rsidRDefault="00300092" w:rsidP="00300092">
            <w:pPr>
              <w:pStyle w:val="BodyText"/>
              <w:rPr>
                <w:rFonts w:ascii="Arial" w:hAnsi="Arial"/>
                <w:sz w:val="18"/>
                <w:szCs w:val="18"/>
              </w:rPr>
            </w:pPr>
            <w:r w:rsidRPr="007D4A8A">
              <w:rPr>
                <w:rFonts w:ascii="Arial" w:hAnsi="Arial"/>
                <w:sz w:val="18"/>
                <w:szCs w:val="18"/>
              </w:rPr>
              <w:t>CI</w:t>
            </w:r>
          </w:p>
        </w:tc>
        <w:tc>
          <w:tcPr>
            <w:tcW w:w="614"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
              <w:rPr>
                <w:rFonts w:ascii="Arial" w:hAnsi="Arial"/>
                <w:sz w:val="18"/>
                <w:szCs w:val="18"/>
              </w:rPr>
            </w:pPr>
            <w:r w:rsidRPr="007D4A8A">
              <w:rPr>
                <w:rFonts w:ascii="Arial" w:hAnsi="Arial"/>
                <w:sz w:val="18"/>
                <w:szCs w:val="18"/>
              </w:rPr>
              <w:t>CI</w:t>
            </w:r>
          </w:p>
        </w:tc>
        <w:tc>
          <w:tcPr>
            <w:tcW w:w="610" w:type="dxa"/>
            <w:tcBorders>
              <w:top w:val="single" w:sz="8" w:space="0" w:color="4F81BD"/>
              <w:bottom w:val="single" w:sz="8" w:space="0" w:color="4F81BD"/>
            </w:tcBorders>
          </w:tcPr>
          <w:p w:rsidR="00300092" w:rsidRPr="007D4A8A" w:rsidRDefault="00300092" w:rsidP="00300092">
            <w:pPr>
              <w:pStyle w:val="BodyText"/>
              <w:rPr>
                <w:rFonts w:ascii="Arial" w:hAnsi="Arial"/>
                <w:sz w:val="18"/>
                <w:szCs w:val="18"/>
              </w:rPr>
            </w:pPr>
            <w:r w:rsidRPr="007D4A8A">
              <w:rPr>
                <w:rFonts w:ascii="Arial" w:hAnsi="Arial"/>
                <w:sz w:val="18"/>
                <w:szCs w:val="18"/>
              </w:rPr>
              <w:t>CI</w:t>
            </w:r>
          </w:p>
        </w:tc>
        <w:tc>
          <w:tcPr>
            <w:tcW w:w="610"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
              <w:rPr>
                <w:rFonts w:ascii="Arial" w:hAnsi="Arial"/>
                <w:sz w:val="18"/>
                <w:szCs w:val="18"/>
              </w:rPr>
            </w:pPr>
            <w:r w:rsidRPr="007D4A8A">
              <w:rPr>
                <w:rFonts w:ascii="Arial" w:hAnsi="Arial"/>
                <w:sz w:val="18"/>
                <w:szCs w:val="18"/>
              </w:rPr>
              <w:t>SI</w:t>
            </w:r>
          </w:p>
        </w:tc>
        <w:tc>
          <w:tcPr>
            <w:tcW w:w="512" w:type="dxa"/>
            <w:tcBorders>
              <w:top w:val="single" w:sz="8" w:space="0" w:color="4F81BD"/>
              <w:bottom w:val="single" w:sz="8" w:space="0" w:color="4F81BD"/>
            </w:tcBorders>
          </w:tcPr>
          <w:p w:rsidR="00300092" w:rsidRPr="007D4A8A" w:rsidRDefault="00300092" w:rsidP="00300092">
            <w:pPr>
              <w:pStyle w:val="BodyText"/>
              <w:rPr>
                <w:rFonts w:ascii="Arial" w:hAnsi="Arial"/>
                <w:sz w:val="18"/>
                <w:szCs w:val="18"/>
              </w:rPr>
            </w:pPr>
            <w:r w:rsidRPr="007D4A8A">
              <w:rPr>
                <w:rFonts w:ascii="Arial" w:hAnsi="Arial"/>
                <w:sz w:val="18"/>
                <w:szCs w:val="18"/>
              </w:rPr>
              <w:t>CI</w:t>
            </w:r>
          </w:p>
        </w:tc>
        <w:tc>
          <w:tcPr>
            <w:tcW w:w="575" w:type="dxa"/>
            <w:tcBorders>
              <w:top w:val="single" w:sz="8" w:space="0" w:color="4F81BD"/>
              <w:left w:val="single" w:sz="8" w:space="0" w:color="4F81BD"/>
              <w:bottom w:val="single" w:sz="8" w:space="0" w:color="4F81BD"/>
            </w:tcBorders>
          </w:tcPr>
          <w:p w:rsidR="00300092" w:rsidRPr="007D4A8A" w:rsidRDefault="00300092" w:rsidP="00300092">
            <w:pPr>
              <w:pStyle w:val="BodyText"/>
              <w:rPr>
                <w:rFonts w:ascii="Arial" w:hAnsi="Arial"/>
                <w:sz w:val="18"/>
                <w:szCs w:val="18"/>
              </w:rPr>
            </w:pPr>
            <w:r w:rsidRPr="007D4A8A">
              <w:rPr>
                <w:rFonts w:ascii="Arial" w:hAnsi="Arial"/>
                <w:sz w:val="18"/>
                <w:szCs w:val="18"/>
              </w:rPr>
              <w:t>CI</w:t>
            </w:r>
          </w:p>
        </w:tc>
      </w:tr>
      <w:tr w:rsidR="00300092" w:rsidRPr="00057EFE" w:rsidTr="00300092">
        <w:trPr>
          <w:trHeight w:hRule="exact" w:val="397"/>
        </w:trPr>
        <w:tc>
          <w:tcPr>
            <w:tcW w:w="1122" w:type="dxa"/>
            <w:tcBorders>
              <w:bottom w:val="single" w:sz="8" w:space="0" w:color="4F81BD"/>
            </w:tcBorders>
          </w:tcPr>
          <w:p w:rsidR="00300092" w:rsidRPr="007D4A8A" w:rsidRDefault="00300092" w:rsidP="00300092">
            <w:pPr>
              <w:pStyle w:val="BodyText"/>
              <w:rPr>
                <w:rFonts w:ascii="Arial" w:hAnsi="Arial"/>
                <w:b/>
                <w:bCs/>
                <w:sz w:val="18"/>
                <w:szCs w:val="18"/>
              </w:rPr>
            </w:pPr>
            <w:r w:rsidRPr="007D4A8A">
              <w:rPr>
                <w:rFonts w:ascii="Arial" w:hAnsi="Arial"/>
                <w:b/>
                <w:bCs/>
                <w:sz w:val="18"/>
                <w:szCs w:val="18"/>
              </w:rPr>
              <w:t>Buses</w:t>
            </w:r>
          </w:p>
        </w:tc>
        <w:tc>
          <w:tcPr>
            <w:tcW w:w="745" w:type="dxa"/>
            <w:tcBorders>
              <w:left w:val="single" w:sz="8" w:space="0" w:color="4F81BD"/>
              <w:bottom w:val="single" w:sz="8" w:space="0" w:color="4F81BD"/>
              <w:right w:val="single" w:sz="8" w:space="0" w:color="4F81BD"/>
            </w:tcBorders>
          </w:tcPr>
          <w:p w:rsidR="00300092" w:rsidRPr="007D4A8A" w:rsidRDefault="00300092" w:rsidP="00300092">
            <w:pPr>
              <w:pStyle w:val="BodyText"/>
              <w:rPr>
                <w:rFonts w:ascii="Arial" w:hAnsi="Arial"/>
                <w:sz w:val="18"/>
                <w:szCs w:val="18"/>
              </w:rPr>
            </w:pPr>
            <w:r w:rsidRPr="007D4A8A">
              <w:rPr>
                <w:rFonts w:ascii="Arial" w:hAnsi="Arial"/>
                <w:sz w:val="18"/>
                <w:szCs w:val="18"/>
              </w:rPr>
              <w:t>SI</w:t>
            </w:r>
          </w:p>
        </w:tc>
        <w:tc>
          <w:tcPr>
            <w:tcW w:w="764" w:type="dxa"/>
            <w:tcBorders>
              <w:bottom w:val="single" w:sz="8" w:space="0" w:color="4F81BD"/>
            </w:tcBorders>
          </w:tcPr>
          <w:p w:rsidR="00300092" w:rsidRPr="007D4A8A" w:rsidRDefault="00300092" w:rsidP="00300092">
            <w:pPr>
              <w:pStyle w:val="BodyText"/>
              <w:rPr>
                <w:rFonts w:ascii="Arial" w:hAnsi="Arial"/>
                <w:sz w:val="18"/>
                <w:szCs w:val="18"/>
              </w:rPr>
            </w:pPr>
            <w:r w:rsidRPr="007D4A8A">
              <w:rPr>
                <w:rFonts w:ascii="Arial" w:hAnsi="Arial"/>
                <w:sz w:val="18"/>
                <w:szCs w:val="18"/>
              </w:rPr>
              <w:t>CI</w:t>
            </w:r>
          </w:p>
        </w:tc>
        <w:tc>
          <w:tcPr>
            <w:tcW w:w="645" w:type="dxa"/>
            <w:tcBorders>
              <w:left w:val="single" w:sz="8" w:space="0" w:color="4F81BD"/>
              <w:bottom w:val="single" w:sz="8" w:space="0" w:color="4F81BD"/>
              <w:right w:val="single" w:sz="8" w:space="0" w:color="4F81BD"/>
            </w:tcBorders>
          </w:tcPr>
          <w:p w:rsidR="00300092" w:rsidRPr="007D4A8A" w:rsidRDefault="00300092" w:rsidP="00300092">
            <w:pPr>
              <w:pStyle w:val="BodyText"/>
              <w:rPr>
                <w:rFonts w:ascii="Arial" w:hAnsi="Arial"/>
                <w:sz w:val="18"/>
                <w:szCs w:val="18"/>
              </w:rPr>
            </w:pPr>
            <w:r w:rsidRPr="007D4A8A">
              <w:rPr>
                <w:rFonts w:ascii="Arial" w:hAnsi="Arial"/>
                <w:sz w:val="18"/>
                <w:szCs w:val="18"/>
              </w:rPr>
              <w:t>SI</w:t>
            </w:r>
          </w:p>
        </w:tc>
        <w:tc>
          <w:tcPr>
            <w:tcW w:w="672" w:type="dxa"/>
            <w:tcBorders>
              <w:bottom w:val="single" w:sz="8" w:space="0" w:color="4F81BD"/>
            </w:tcBorders>
          </w:tcPr>
          <w:p w:rsidR="00300092" w:rsidRPr="007D4A8A" w:rsidRDefault="00300092" w:rsidP="00300092">
            <w:pPr>
              <w:pStyle w:val="BodyText"/>
              <w:rPr>
                <w:rFonts w:ascii="Arial" w:hAnsi="Arial"/>
                <w:sz w:val="18"/>
                <w:szCs w:val="18"/>
              </w:rPr>
            </w:pPr>
            <w:r w:rsidRPr="007D4A8A">
              <w:rPr>
                <w:rFonts w:ascii="Arial" w:hAnsi="Arial"/>
                <w:sz w:val="18"/>
                <w:szCs w:val="18"/>
              </w:rPr>
              <w:t>SI</w:t>
            </w:r>
          </w:p>
        </w:tc>
        <w:tc>
          <w:tcPr>
            <w:tcW w:w="587" w:type="dxa"/>
            <w:tcBorders>
              <w:left w:val="single" w:sz="8" w:space="0" w:color="4F81BD"/>
              <w:bottom w:val="single" w:sz="8" w:space="0" w:color="4F81BD"/>
              <w:right w:val="single" w:sz="8" w:space="0" w:color="4F81BD"/>
            </w:tcBorders>
          </w:tcPr>
          <w:p w:rsidR="00300092" w:rsidRPr="007D4A8A" w:rsidRDefault="00300092" w:rsidP="00300092">
            <w:pPr>
              <w:pStyle w:val="BodyText"/>
              <w:rPr>
                <w:rFonts w:ascii="Arial" w:hAnsi="Arial"/>
                <w:sz w:val="18"/>
                <w:szCs w:val="18"/>
              </w:rPr>
            </w:pPr>
            <w:r w:rsidRPr="007D4A8A">
              <w:rPr>
                <w:rFonts w:ascii="Arial" w:hAnsi="Arial"/>
                <w:sz w:val="18"/>
                <w:szCs w:val="18"/>
              </w:rPr>
              <w:t>NA</w:t>
            </w:r>
          </w:p>
        </w:tc>
        <w:tc>
          <w:tcPr>
            <w:tcW w:w="692" w:type="dxa"/>
            <w:tcBorders>
              <w:bottom w:val="single" w:sz="8" w:space="0" w:color="4F81BD"/>
            </w:tcBorders>
          </w:tcPr>
          <w:p w:rsidR="00300092" w:rsidRPr="007D4A8A" w:rsidRDefault="00300092" w:rsidP="00300092">
            <w:pPr>
              <w:pStyle w:val="BodyText"/>
              <w:rPr>
                <w:rFonts w:ascii="Arial" w:hAnsi="Arial"/>
                <w:sz w:val="18"/>
                <w:szCs w:val="18"/>
              </w:rPr>
            </w:pPr>
            <w:r w:rsidRPr="007D4A8A">
              <w:rPr>
                <w:rFonts w:ascii="Arial" w:hAnsi="Arial"/>
                <w:sz w:val="18"/>
                <w:szCs w:val="18"/>
              </w:rPr>
              <w:t>CI</w:t>
            </w:r>
          </w:p>
        </w:tc>
        <w:tc>
          <w:tcPr>
            <w:tcW w:w="614" w:type="dxa"/>
            <w:tcBorders>
              <w:left w:val="single" w:sz="8" w:space="0" w:color="4F81BD"/>
              <w:bottom w:val="single" w:sz="8" w:space="0" w:color="4F81BD"/>
              <w:right w:val="single" w:sz="8" w:space="0" w:color="4F81BD"/>
            </w:tcBorders>
          </w:tcPr>
          <w:p w:rsidR="00300092" w:rsidRPr="007D4A8A" w:rsidRDefault="00300092" w:rsidP="00300092">
            <w:pPr>
              <w:pStyle w:val="BodyText"/>
              <w:rPr>
                <w:rFonts w:ascii="Arial" w:hAnsi="Arial"/>
                <w:sz w:val="18"/>
                <w:szCs w:val="18"/>
              </w:rPr>
            </w:pPr>
            <w:r w:rsidRPr="007D4A8A">
              <w:rPr>
                <w:rFonts w:ascii="Arial" w:hAnsi="Arial"/>
                <w:sz w:val="18"/>
                <w:szCs w:val="18"/>
              </w:rPr>
              <w:t>CI</w:t>
            </w:r>
          </w:p>
        </w:tc>
        <w:tc>
          <w:tcPr>
            <w:tcW w:w="610" w:type="dxa"/>
            <w:tcBorders>
              <w:bottom w:val="single" w:sz="8" w:space="0" w:color="4F81BD"/>
            </w:tcBorders>
          </w:tcPr>
          <w:p w:rsidR="00300092" w:rsidRPr="007D4A8A" w:rsidRDefault="00300092" w:rsidP="00300092">
            <w:pPr>
              <w:pStyle w:val="BodyText"/>
              <w:rPr>
                <w:rFonts w:ascii="Arial" w:hAnsi="Arial"/>
                <w:sz w:val="18"/>
                <w:szCs w:val="18"/>
              </w:rPr>
            </w:pPr>
            <w:r w:rsidRPr="007D4A8A">
              <w:rPr>
                <w:rFonts w:ascii="Arial" w:hAnsi="Arial"/>
                <w:sz w:val="18"/>
                <w:szCs w:val="18"/>
              </w:rPr>
              <w:t>SI</w:t>
            </w:r>
          </w:p>
        </w:tc>
        <w:tc>
          <w:tcPr>
            <w:tcW w:w="610" w:type="dxa"/>
            <w:tcBorders>
              <w:left w:val="single" w:sz="8" w:space="0" w:color="4F81BD"/>
              <w:bottom w:val="single" w:sz="8" w:space="0" w:color="4F81BD"/>
              <w:right w:val="single" w:sz="8" w:space="0" w:color="4F81BD"/>
            </w:tcBorders>
          </w:tcPr>
          <w:p w:rsidR="00300092" w:rsidRPr="007D4A8A" w:rsidRDefault="00300092" w:rsidP="00300092">
            <w:pPr>
              <w:pStyle w:val="BodyText"/>
              <w:rPr>
                <w:rFonts w:ascii="Arial" w:hAnsi="Arial"/>
                <w:sz w:val="18"/>
                <w:szCs w:val="18"/>
              </w:rPr>
            </w:pPr>
            <w:r w:rsidRPr="007D4A8A">
              <w:rPr>
                <w:rFonts w:ascii="Arial" w:hAnsi="Arial"/>
                <w:sz w:val="18"/>
                <w:szCs w:val="18"/>
              </w:rPr>
              <w:t>SI</w:t>
            </w:r>
          </w:p>
        </w:tc>
        <w:tc>
          <w:tcPr>
            <w:tcW w:w="512" w:type="dxa"/>
            <w:tcBorders>
              <w:bottom w:val="single" w:sz="8" w:space="0" w:color="4F81BD"/>
            </w:tcBorders>
          </w:tcPr>
          <w:p w:rsidR="00300092" w:rsidRPr="007D4A8A" w:rsidRDefault="00300092" w:rsidP="00300092">
            <w:pPr>
              <w:pStyle w:val="BodyText"/>
              <w:rPr>
                <w:rFonts w:ascii="Arial" w:hAnsi="Arial"/>
                <w:sz w:val="18"/>
                <w:szCs w:val="18"/>
              </w:rPr>
            </w:pPr>
            <w:r w:rsidRPr="007D4A8A">
              <w:rPr>
                <w:rFonts w:ascii="Arial" w:hAnsi="Arial"/>
                <w:sz w:val="18"/>
                <w:szCs w:val="18"/>
              </w:rPr>
              <w:t>SI</w:t>
            </w:r>
          </w:p>
        </w:tc>
        <w:tc>
          <w:tcPr>
            <w:tcW w:w="575" w:type="dxa"/>
            <w:tcBorders>
              <w:left w:val="single" w:sz="8" w:space="0" w:color="4F81BD"/>
              <w:bottom w:val="single" w:sz="8" w:space="0" w:color="4F81BD"/>
            </w:tcBorders>
          </w:tcPr>
          <w:p w:rsidR="00300092" w:rsidRPr="007D4A8A" w:rsidRDefault="00300092" w:rsidP="00300092">
            <w:pPr>
              <w:pStyle w:val="BodyText"/>
              <w:rPr>
                <w:rFonts w:ascii="Arial" w:hAnsi="Arial"/>
                <w:sz w:val="18"/>
                <w:szCs w:val="18"/>
              </w:rPr>
            </w:pPr>
            <w:r w:rsidRPr="007D4A8A">
              <w:rPr>
                <w:rFonts w:ascii="Arial" w:hAnsi="Arial"/>
                <w:sz w:val="18"/>
                <w:szCs w:val="18"/>
              </w:rPr>
              <w:t>CI</w:t>
            </w:r>
          </w:p>
        </w:tc>
      </w:tr>
    </w:tbl>
    <w:p w:rsidR="00300092" w:rsidRPr="00AB5CB0" w:rsidRDefault="00300092" w:rsidP="00300092">
      <w:pPr>
        <w:pStyle w:val="BodyText"/>
        <w:rPr>
          <w:rFonts w:ascii="Arial" w:hAnsi="Arial"/>
          <w:sz w:val="18"/>
          <w:szCs w:val="18"/>
        </w:rPr>
      </w:pPr>
      <w:r w:rsidRPr="00AB5CB0">
        <w:rPr>
          <w:rFonts w:ascii="Arial" w:hAnsi="Arial"/>
          <w:sz w:val="18"/>
          <w:szCs w:val="18"/>
        </w:rPr>
        <w:t>Note: Articulated trucks using LNG</w:t>
      </w:r>
    </w:p>
    <w:p w:rsidR="00300092" w:rsidRPr="00FD00DA" w:rsidRDefault="00300092" w:rsidP="00300092">
      <w:pPr>
        <w:pStyle w:val="BodyText"/>
      </w:pPr>
      <w:r w:rsidRPr="00FD00DA">
        <w:t xml:space="preserve">In some instances it is recognised that alternative fuel characteristics will adversely or beneficially affect the combustion process and in such cases the energy consumption is </w:t>
      </w:r>
      <w:r>
        <w:t>subjected to a correction factor</w:t>
      </w:r>
      <w:r w:rsidRPr="00FD00DA">
        <w:t xml:space="preserve">. The </w:t>
      </w:r>
      <w:r>
        <w:t xml:space="preserve">correction </w:t>
      </w:r>
      <w:r w:rsidRPr="00FD00DA">
        <w:t>factor is adjusted over time, as both the properties of alternative fuels and the deployment of appropriate engine technology are assumed to evolve.</w:t>
      </w:r>
    </w:p>
    <w:p w:rsidR="00300092" w:rsidRDefault="00300092" w:rsidP="001B544A">
      <w:pPr>
        <w:pStyle w:val="AppendixHeading3"/>
      </w:pPr>
      <w:bookmarkStart w:id="212" w:name="_Toc308600740"/>
      <w:r>
        <w:t>Efficiency improvements over time</w:t>
      </w:r>
      <w:bookmarkEnd w:id="212"/>
    </w:p>
    <w:p w:rsidR="00300092" w:rsidRPr="00FD00DA" w:rsidRDefault="00300092" w:rsidP="00300092">
      <w:pPr>
        <w:pStyle w:val="BodyText"/>
      </w:pPr>
      <w:r w:rsidRPr="00FD00DA">
        <w:t xml:space="preserve">The change in fuel efficiency over time is based on judgement of the balance of two competing </w:t>
      </w:r>
      <w:r>
        <w:t>factors</w:t>
      </w:r>
      <w:r w:rsidRPr="00FD00DA">
        <w:t xml:space="preserve">. The first is improvements that have already </w:t>
      </w:r>
      <w:r>
        <w:t xml:space="preserve">been, </w:t>
      </w:r>
      <w:r w:rsidRPr="00FD00DA">
        <w:t>or are likely to be</w:t>
      </w:r>
      <w:r>
        <w:t>,</w:t>
      </w:r>
      <w:r w:rsidRPr="00FD00DA">
        <w:t xml:space="preserve"> achieved internationally where fuel excise rates are several times those in Australia. The second is the historical lack of improvement in fuel efficiency owing to:</w:t>
      </w:r>
    </w:p>
    <w:p w:rsidR="00300092" w:rsidRDefault="00300092" w:rsidP="00E5753E">
      <w:pPr>
        <w:pStyle w:val="BodyText"/>
        <w:numPr>
          <w:ilvl w:val="0"/>
          <w:numId w:val="51"/>
        </w:numPr>
        <w:tabs>
          <w:tab w:val="left" w:pos="1080"/>
          <w:tab w:val="left" w:pos="1800"/>
          <w:tab w:val="left" w:pos="2520"/>
          <w:tab w:val="left" w:pos="3240"/>
          <w:tab w:val="left" w:pos="3960"/>
          <w:tab w:val="left" w:pos="4680"/>
          <w:tab w:val="left" w:pos="5400"/>
          <w:tab w:val="left" w:pos="6120"/>
          <w:tab w:val="left" w:pos="6840"/>
          <w:tab w:val="left" w:pos="7560"/>
          <w:tab w:val="left" w:pos="8280"/>
        </w:tabs>
        <w:spacing w:after="240" w:line="280" w:lineRule="atLeast"/>
      </w:pPr>
      <w:r>
        <w:t>G</w:t>
      </w:r>
      <w:r w:rsidRPr="00FD00DA">
        <w:t>reater non-propulsion use of energy within the vehicle</w:t>
      </w:r>
      <w:r>
        <w:t>,</w:t>
      </w:r>
      <w:r w:rsidRPr="00FD00DA">
        <w:t xml:space="preserve"> for amenities such as air conditioning (itself a function of growing wealth and consumer expectations)</w:t>
      </w:r>
    </w:p>
    <w:p w:rsidR="00300092" w:rsidRDefault="00300092" w:rsidP="00E5753E">
      <w:pPr>
        <w:pStyle w:val="BodyText"/>
        <w:numPr>
          <w:ilvl w:val="0"/>
          <w:numId w:val="51"/>
        </w:numPr>
        <w:tabs>
          <w:tab w:val="left" w:pos="1080"/>
          <w:tab w:val="left" w:pos="1800"/>
          <w:tab w:val="left" w:pos="2520"/>
          <w:tab w:val="left" w:pos="3240"/>
          <w:tab w:val="left" w:pos="3960"/>
          <w:tab w:val="left" w:pos="4680"/>
          <w:tab w:val="left" w:pos="5400"/>
          <w:tab w:val="left" w:pos="6120"/>
          <w:tab w:val="left" w:pos="6840"/>
          <w:tab w:val="left" w:pos="7560"/>
          <w:tab w:val="left" w:pos="8280"/>
        </w:tabs>
        <w:spacing w:after="240" w:line="280" w:lineRule="atLeast"/>
      </w:pPr>
      <w:r>
        <w:t>T</w:t>
      </w:r>
      <w:r w:rsidRPr="00FD00DA">
        <w:t>he trend towards large vehicles within some weight categories (particularly 4WDs/SUVs in the large vehicle category), and</w:t>
      </w:r>
    </w:p>
    <w:p w:rsidR="00300092" w:rsidRDefault="00300092" w:rsidP="00E5753E">
      <w:pPr>
        <w:pStyle w:val="BodyText"/>
        <w:numPr>
          <w:ilvl w:val="0"/>
          <w:numId w:val="51"/>
        </w:numPr>
        <w:tabs>
          <w:tab w:val="left" w:pos="1080"/>
          <w:tab w:val="left" w:pos="1800"/>
          <w:tab w:val="left" w:pos="2520"/>
          <w:tab w:val="left" w:pos="3240"/>
          <w:tab w:val="left" w:pos="3960"/>
          <w:tab w:val="left" w:pos="4680"/>
          <w:tab w:val="left" w:pos="5400"/>
          <w:tab w:val="left" w:pos="6120"/>
          <w:tab w:val="left" w:pos="6840"/>
          <w:tab w:val="left" w:pos="7560"/>
          <w:tab w:val="left" w:pos="8280"/>
        </w:tabs>
        <w:spacing w:after="240" w:line="280" w:lineRule="atLeast"/>
      </w:pPr>
      <w:r>
        <w:t>T</w:t>
      </w:r>
      <w:r w:rsidRPr="00FD00DA">
        <w:t>he robustness of household</w:t>
      </w:r>
      <w:r>
        <w:t xml:space="preserve"> expenditure</w:t>
      </w:r>
      <w:r w:rsidRPr="00FD00DA">
        <w:t xml:space="preserve"> to fuel price changes owing to the small proposition of fuel costs in the household budget (amounting to no more than 2-3 percent of average adult annual income).</w:t>
      </w:r>
    </w:p>
    <w:p w:rsidR="00300092" w:rsidRPr="00FD00DA" w:rsidRDefault="00300092" w:rsidP="00300092">
      <w:pPr>
        <w:pStyle w:val="BodyText"/>
      </w:pPr>
      <w:r w:rsidRPr="00FD00DA">
        <w:t xml:space="preserve">It is assumed that vehicles equipped with </w:t>
      </w:r>
      <w:r>
        <w:t>SI</w:t>
      </w:r>
      <w:r w:rsidRPr="00FD00DA">
        <w:t xml:space="preserve"> engines will improve in efficiency by 25 percent and </w:t>
      </w:r>
      <w:r>
        <w:t>CI</w:t>
      </w:r>
      <w:r w:rsidRPr="00FD00DA">
        <w:t xml:space="preserve"> engines by 14 percent from 2006 to 2050, independently of changes related to fuel type and hybrid drive-train. These improvements are proposed to arise from increased efficiency of </w:t>
      </w:r>
      <w:r w:rsidRPr="00FD00DA">
        <w:lastRenderedPageBreak/>
        <w:t xml:space="preserve">vehicle and engine technology in new vehicles, and the extent to which the existing fleet is modified by the addition of new vehicles. </w:t>
      </w:r>
    </w:p>
    <w:p w:rsidR="00300092" w:rsidRPr="00FD00DA" w:rsidRDefault="00300092" w:rsidP="00300092">
      <w:pPr>
        <w:pStyle w:val="BodyText"/>
      </w:pPr>
      <w:r w:rsidRPr="00FD00DA">
        <w:t>Whilst equivalent vehicle improvements are assumed for both SI and CI vehicles, it is proposed that there is significantly greater scope to enhance the operating efficiency of the SI engine and that by 2050 the efficiencies of SI and CI engines will converge, with differentiation according only to the combustion characteristics of alternative fuel types. The efficiency of the SI engine is proposed to be increased through the following:</w:t>
      </w:r>
    </w:p>
    <w:p w:rsidR="00300092" w:rsidRDefault="00300092" w:rsidP="00E5753E">
      <w:pPr>
        <w:pStyle w:val="BodyText"/>
        <w:numPr>
          <w:ilvl w:val="0"/>
          <w:numId w:val="52"/>
        </w:numPr>
        <w:tabs>
          <w:tab w:val="left" w:pos="1080"/>
          <w:tab w:val="left" w:pos="1800"/>
          <w:tab w:val="left" w:pos="2520"/>
          <w:tab w:val="left" w:pos="3240"/>
          <w:tab w:val="left" w:pos="3960"/>
          <w:tab w:val="left" w:pos="4680"/>
          <w:tab w:val="left" w:pos="5400"/>
          <w:tab w:val="left" w:pos="6120"/>
          <w:tab w:val="left" w:pos="6840"/>
          <w:tab w:val="left" w:pos="7560"/>
          <w:tab w:val="left" w:pos="8280"/>
        </w:tabs>
        <w:spacing w:after="240" w:line="280" w:lineRule="atLeast"/>
      </w:pPr>
      <w:r>
        <w:t>O</w:t>
      </w:r>
      <w:r w:rsidRPr="00FD00DA">
        <w:t>ptimisation of engine gas exchange processes and reduction of pumping work</w:t>
      </w:r>
      <w:r>
        <w:t>,</w:t>
      </w:r>
      <w:r w:rsidRPr="00FD00DA">
        <w:t xml:space="preserve"> through the deployment of advanced valve</w:t>
      </w:r>
      <w:r>
        <w:t>-</w:t>
      </w:r>
      <w:r w:rsidRPr="00FD00DA">
        <w:t>trains</w:t>
      </w:r>
    </w:p>
    <w:p w:rsidR="00300092" w:rsidRDefault="00300092" w:rsidP="00E5753E">
      <w:pPr>
        <w:pStyle w:val="BodyText"/>
        <w:numPr>
          <w:ilvl w:val="0"/>
          <w:numId w:val="52"/>
        </w:numPr>
        <w:tabs>
          <w:tab w:val="left" w:pos="1080"/>
          <w:tab w:val="left" w:pos="1800"/>
          <w:tab w:val="left" w:pos="2520"/>
          <w:tab w:val="left" w:pos="3240"/>
          <w:tab w:val="left" w:pos="3960"/>
          <w:tab w:val="left" w:pos="4680"/>
          <w:tab w:val="left" w:pos="5400"/>
          <w:tab w:val="left" w:pos="6120"/>
          <w:tab w:val="left" w:pos="6840"/>
          <w:tab w:val="left" w:pos="7560"/>
          <w:tab w:val="left" w:pos="8280"/>
        </w:tabs>
        <w:spacing w:after="240" w:line="280" w:lineRule="atLeast"/>
      </w:pPr>
      <w:r>
        <w:t>I</w:t>
      </w:r>
      <w:r w:rsidRPr="00FD00DA">
        <w:t xml:space="preserve">ncrease </w:t>
      </w:r>
      <w:r>
        <w:t>in</w:t>
      </w:r>
      <w:r w:rsidRPr="00FD00DA">
        <w:t xml:space="preserve"> compression ratio towards optimum values</w:t>
      </w:r>
      <w:r>
        <w:t>,</w:t>
      </w:r>
      <w:r w:rsidRPr="00FD00DA">
        <w:t xml:space="preserve"> enabled by the use of direct injection and advanced valve-trains</w:t>
      </w:r>
    </w:p>
    <w:p w:rsidR="00300092" w:rsidRDefault="00300092" w:rsidP="00E5753E">
      <w:pPr>
        <w:pStyle w:val="BodyText"/>
        <w:numPr>
          <w:ilvl w:val="0"/>
          <w:numId w:val="52"/>
        </w:numPr>
        <w:tabs>
          <w:tab w:val="left" w:pos="1080"/>
          <w:tab w:val="left" w:pos="1800"/>
          <w:tab w:val="left" w:pos="2520"/>
          <w:tab w:val="left" w:pos="3240"/>
          <w:tab w:val="left" w:pos="3960"/>
          <w:tab w:val="left" w:pos="4680"/>
          <w:tab w:val="left" w:pos="5400"/>
          <w:tab w:val="left" w:pos="6120"/>
          <w:tab w:val="left" w:pos="6840"/>
          <w:tab w:val="left" w:pos="7560"/>
          <w:tab w:val="left" w:pos="8280"/>
        </w:tabs>
        <w:spacing w:after="240" w:line="280" w:lineRule="atLeast"/>
      </w:pPr>
      <w:r>
        <w:t>R</w:t>
      </w:r>
      <w:r w:rsidRPr="00FD00DA">
        <w:t>eduction in engine friction and the operation of engines in regions of highest efficiency</w:t>
      </w:r>
      <w:r>
        <w:t>,</w:t>
      </w:r>
      <w:r w:rsidRPr="00FD00DA">
        <w:t xml:space="preserve"> enabled by down-sizing, in turn achieved by higher specific output with boosting, and</w:t>
      </w:r>
    </w:p>
    <w:p w:rsidR="00300092" w:rsidRDefault="00300092" w:rsidP="00E5753E">
      <w:pPr>
        <w:pStyle w:val="BodyText"/>
        <w:numPr>
          <w:ilvl w:val="0"/>
          <w:numId w:val="52"/>
        </w:numPr>
        <w:tabs>
          <w:tab w:val="left" w:pos="1080"/>
          <w:tab w:val="left" w:pos="1800"/>
          <w:tab w:val="left" w:pos="2520"/>
          <w:tab w:val="left" w:pos="3240"/>
          <w:tab w:val="left" w:pos="3960"/>
          <w:tab w:val="left" w:pos="4680"/>
          <w:tab w:val="left" w:pos="5400"/>
          <w:tab w:val="left" w:pos="6120"/>
          <w:tab w:val="left" w:pos="6840"/>
          <w:tab w:val="left" w:pos="7560"/>
          <w:tab w:val="left" w:pos="8280"/>
        </w:tabs>
        <w:spacing w:after="240" w:line="280" w:lineRule="atLeast"/>
      </w:pPr>
      <w:r>
        <w:t>O</w:t>
      </w:r>
      <w:r w:rsidRPr="00FD00DA">
        <w:t>peration at extended lean and dilute limits</w:t>
      </w:r>
      <w:r>
        <w:t>,</w:t>
      </w:r>
      <w:r w:rsidRPr="00FD00DA">
        <w:t xml:space="preserve"> facilitated by advanced combustion processes, and enabled in part by the availability of lean emission after</w:t>
      </w:r>
      <w:r>
        <w:t xml:space="preserve"> treatment and low-sulf</w:t>
      </w:r>
      <w:r w:rsidRPr="00FD00DA">
        <w:t>ur fuels.</w:t>
      </w:r>
    </w:p>
    <w:p w:rsidR="00300092" w:rsidRDefault="00300092" w:rsidP="00300092">
      <w:pPr>
        <w:pStyle w:val="BodyText"/>
      </w:pPr>
      <w:r>
        <w:t xml:space="preserve">For the reference scenario, it is implicitly assumed that all improvements that are technically feasible, but costly to introduce in the near future, will come on line slowly toward 2050, once the costs have been reduced sufficiently to make them competitive. </w:t>
      </w:r>
    </w:p>
    <w:p w:rsidR="00300092" w:rsidRDefault="00300092" w:rsidP="00300092">
      <w:pPr>
        <w:pStyle w:val="BodyText"/>
      </w:pPr>
      <w:r>
        <w:t xml:space="preserve">Table </w:t>
      </w:r>
      <w:r w:rsidR="006B4FE4">
        <w:t>A</w:t>
      </w:r>
      <w:r>
        <w:t>-9 presents a</w:t>
      </w:r>
      <w:r w:rsidRPr="00E0506F">
        <w:t xml:space="preserve">ssumptions about </w:t>
      </w:r>
      <w:r>
        <w:t xml:space="preserve">road vehicle </w:t>
      </w:r>
      <w:r w:rsidRPr="00E0506F">
        <w:t xml:space="preserve">fuel intensity by </w:t>
      </w:r>
      <w:r>
        <w:t>fuel</w:t>
      </w:r>
      <w:r w:rsidRPr="00E0506F">
        <w:t xml:space="preserve"> type</w:t>
      </w:r>
      <w:r>
        <w:t xml:space="preserve"> for conventional ICE vehicles.</w:t>
      </w:r>
    </w:p>
    <w:p w:rsidR="00300092" w:rsidRDefault="00300092" w:rsidP="00300092">
      <w:pPr>
        <w:pStyle w:val="BodyText"/>
      </w:pPr>
      <w:r>
        <w:t xml:space="preserve">Combined with non-engine efficiency improvements, fuel intensities for ICEs are assumed to decline up to 37 percent between 2006 and 2050. </w:t>
      </w:r>
      <w:r w:rsidRPr="004A1D5F">
        <w:t xml:space="preserve">Hybrid electric vehicle fuel </w:t>
      </w:r>
      <w:r>
        <w:t>intensity assumptions are</w:t>
      </w:r>
      <w:r w:rsidRPr="004A1D5F">
        <w:t xml:space="preserve"> developed based on their performance relative to </w:t>
      </w:r>
      <w:r>
        <w:t xml:space="preserve">ICE </w:t>
      </w:r>
      <w:r w:rsidRPr="004A1D5F">
        <w:t>only vehicles.</w:t>
      </w:r>
    </w:p>
    <w:p w:rsidR="00300092" w:rsidRDefault="00300092" w:rsidP="00300092">
      <w:pPr>
        <w:pStyle w:val="BodyText"/>
      </w:pPr>
      <w:r w:rsidRPr="00AA53C0">
        <w:t xml:space="preserve">It is assumed that the mild hybrid category has a 5 percent improvement in fuel efficiency starting in 2006 increasing to </w:t>
      </w:r>
      <w:r>
        <w:t xml:space="preserve">a </w:t>
      </w:r>
      <w:r w:rsidRPr="00AA53C0">
        <w:t xml:space="preserve">30 percent </w:t>
      </w:r>
      <w:r>
        <w:t xml:space="preserve">improvement </w:t>
      </w:r>
      <w:r w:rsidRPr="00AA53C0">
        <w:t>by 2050 for all road categories</w:t>
      </w:r>
      <w:r>
        <w:t xml:space="preserve"> except for articulated trucks</w:t>
      </w:r>
      <w:r w:rsidRPr="00AA53C0">
        <w:t>.</w:t>
      </w:r>
      <w:r>
        <w:t xml:space="preserve"> Articulated trucks improve to only 10 percent better than conventional articulated trucks. Mild hybrids draw no electricity from the grid. </w:t>
      </w:r>
    </w:p>
    <w:p w:rsidR="00300092" w:rsidRDefault="00300092" w:rsidP="00300092">
      <w:pPr>
        <w:pStyle w:val="BodyText"/>
      </w:pPr>
      <w:r>
        <w:t>The assumptions for PHEVs, which do draw electricity from the grid, are more complicated. Total fuel efficiency is calculated on the basis of the percentage of time in which it uses the electric drive train. When using the ICE drive-train it has the ICE-only efficiency for that year. When using the electric drive-train it has the following efficiencies:</w:t>
      </w:r>
    </w:p>
    <w:p w:rsidR="00300092" w:rsidRDefault="00300092" w:rsidP="00E5753E">
      <w:pPr>
        <w:pStyle w:val="BodyText"/>
        <w:numPr>
          <w:ilvl w:val="0"/>
          <w:numId w:val="53"/>
        </w:numPr>
        <w:spacing w:after="240" w:line="280" w:lineRule="atLeast"/>
      </w:pPr>
      <w:r>
        <w:t>Light passenger: not applicable</w:t>
      </w:r>
    </w:p>
    <w:p w:rsidR="00300092" w:rsidRDefault="00300092" w:rsidP="00E5753E">
      <w:pPr>
        <w:pStyle w:val="BodyText"/>
        <w:numPr>
          <w:ilvl w:val="0"/>
          <w:numId w:val="53"/>
        </w:numPr>
        <w:spacing w:after="240" w:line="280" w:lineRule="atLeast"/>
      </w:pPr>
      <w:r>
        <w:t>Medium passenger: 0.18 kWh/km</w:t>
      </w:r>
    </w:p>
    <w:p w:rsidR="00300092" w:rsidRDefault="00300092" w:rsidP="00E5753E">
      <w:pPr>
        <w:pStyle w:val="BodyText"/>
        <w:numPr>
          <w:ilvl w:val="0"/>
          <w:numId w:val="53"/>
        </w:numPr>
        <w:spacing w:after="240" w:line="280" w:lineRule="atLeast"/>
      </w:pPr>
      <w:r>
        <w:t>Heavy passenger: 0.27 kWh/km</w:t>
      </w:r>
    </w:p>
    <w:p w:rsidR="00300092" w:rsidRDefault="00300092" w:rsidP="00E5753E">
      <w:pPr>
        <w:pStyle w:val="BodyText"/>
        <w:numPr>
          <w:ilvl w:val="0"/>
          <w:numId w:val="53"/>
        </w:numPr>
        <w:spacing w:after="240" w:line="280" w:lineRule="atLeast"/>
      </w:pPr>
      <w:r>
        <w:t>Rigid truck: 0.85 kWh/km</w:t>
      </w:r>
    </w:p>
    <w:p w:rsidR="00300092" w:rsidRDefault="00300092" w:rsidP="00E5753E">
      <w:pPr>
        <w:pStyle w:val="BodyText"/>
        <w:numPr>
          <w:ilvl w:val="0"/>
          <w:numId w:val="53"/>
        </w:numPr>
        <w:spacing w:after="240" w:line="280" w:lineRule="atLeast"/>
      </w:pPr>
      <w:r>
        <w:t>Bus: 0.8kWh/km.</w:t>
      </w:r>
    </w:p>
    <w:p w:rsidR="00300092" w:rsidRDefault="00300092" w:rsidP="00300092">
      <w:pPr>
        <w:pStyle w:val="BodyText"/>
      </w:pPr>
      <w:r>
        <w:lastRenderedPageBreak/>
        <w:t>These electric drive-train efficiencies are held constant over time on the basis that any improvements are used up to provide better amenity (passenger and luggage room, safety, comfort, performance and instruments) rather than fuel savings.</w:t>
      </w:r>
    </w:p>
    <w:p w:rsidR="00300092" w:rsidRDefault="00300092" w:rsidP="00300092">
      <w:pPr>
        <w:pStyle w:val="BodyText"/>
      </w:pPr>
      <w:r>
        <w:t>The percentage of time using electric drive-train in total annual kilometres is assumed to be 50 percent initially in 2006, increasing to 80 percent by 2035 as battery technology improves and allows for greater use of the electric drive-train. For the remainder of kilometres the ICE drive-train is in use. As such, a weighted average of the efficiency of these drive-trains gives the average annual efficiency for any given year.</w:t>
      </w:r>
    </w:p>
    <w:p w:rsidR="00300092" w:rsidRDefault="00300092" w:rsidP="00300092">
      <w:pPr>
        <w:pStyle w:val="BodyText"/>
      </w:pPr>
      <w:r>
        <w:t>In order to calculate fuel intensities in intervening years, constant compound growth rates were derived from the two end points. For each class, the implied annual growth in fuel efficiency to 2050 thus calculated is observed to be slightly slower than that over the last 30 years (consistent with an apparent slowdown in this growth since the 1980s).</w:t>
      </w:r>
    </w:p>
    <w:p w:rsidR="00300092" w:rsidRDefault="00300092" w:rsidP="00300092">
      <w:pPr>
        <w:pStyle w:val="BodyText"/>
      </w:pPr>
      <w:r>
        <w:t xml:space="preserve">EVs are used within the categories light vehicles, rigid trucks and buses only and assumed to use the electric drive-train 100 percent of the time at </w:t>
      </w:r>
      <w:proofErr w:type="gramStart"/>
      <w:r>
        <w:t>0.16 kWh/km</w:t>
      </w:r>
      <w:proofErr w:type="gramEnd"/>
      <w:r>
        <w:t>, 0.85 kWh/km and 0.8 kWh/km, respectively. Again, these efficiencies are held constant over time on the basis that any improvements in electric drive-train efficiency are used up to provide better amenity.</w:t>
      </w:r>
    </w:p>
    <w:p w:rsidR="00300092" w:rsidRDefault="00300092" w:rsidP="00300092">
      <w:pPr>
        <w:pStyle w:val="BodyText"/>
      </w:pPr>
      <w:r>
        <w:t>Note, at an off-peak residential electricity price of 15c/kWh, the cost of electricity as a fuel for light vehicles is 3c/km. However, we assume that charging takes place at off-peak rates closer to 9c/kWh resulting in a fuel cost of 1.4c/km. This is 12 percent of the 11.5c/km, the cost of fuel for a petrol vehicle in the same weight class at a petrol price of 128c/L. Note that both electricity and petrol prices will change over time depending on the scenario being modelled.</w:t>
      </w:r>
    </w:p>
    <w:p w:rsidR="00300092" w:rsidRDefault="00300092" w:rsidP="00300092">
      <w:pPr>
        <w:pStyle w:val="BodyText"/>
      </w:pPr>
      <w:r>
        <w:t xml:space="preserve">The fuel efficiency of </w:t>
      </w:r>
      <w:r w:rsidRPr="00243D8A">
        <w:t>FCVs</w:t>
      </w:r>
      <w:r>
        <w:t xml:space="preserve"> is approximately double that of an ICE vehicle.</w:t>
      </w:r>
    </w:p>
    <w:p w:rsidR="00300092" w:rsidRDefault="00300092" w:rsidP="00300092">
      <w:pPr>
        <w:rPr>
          <w:rFonts w:ascii="Arial" w:hAnsi="Arial"/>
          <w:bCs/>
          <w:sz w:val="18"/>
          <w:szCs w:val="18"/>
        </w:rPr>
      </w:pPr>
    </w:p>
    <w:p w:rsidR="00300092" w:rsidRDefault="00300092" w:rsidP="00300092">
      <w:pPr>
        <w:pStyle w:val="Caption"/>
        <w:sectPr w:rsidR="00300092" w:rsidSect="00224254">
          <w:headerReference w:type="even" r:id="rId89"/>
          <w:headerReference w:type="default" r:id="rId90"/>
          <w:footerReference w:type="even" r:id="rId91"/>
          <w:footerReference w:type="default" r:id="rId92"/>
          <w:headerReference w:type="first" r:id="rId93"/>
          <w:pgSz w:w="11900" w:h="16840" w:code="9"/>
          <w:pgMar w:top="1701" w:right="1418" w:bottom="1701" w:left="1418" w:header="720" w:footer="567" w:gutter="567"/>
          <w:pgNumType w:start="1"/>
          <w:cols w:space="720"/>
          <w:docGrid w:linePitch="299"/>
        </w:sectPr>
      </w:pPr>
    </w:p>
    <w:p w:rsidR="00300092" w:rsidRDefault="00300092" w:rsidP="00300092">
      <w:pPr>
        <w:pStyle w:val="Caption"/>
      </w:pPr>
      <w:bookmarkStart w:id="213" w:name="_Ref304807301"/>
      <w:bookmarkStart w:id="214" w:name="_Toc308443512"/>
      <w:bookmarkStart w:id="215" w:name="_Toc366227394"/>
      <w:r>
        <w:lastRenderedPageBreak/>
        <w:t xml:space="preserve">Table </w:t>
      </w:r>
      <w:r w:rsidR="006B4FE4">
        <w:t>A</w:t>
      </w:r>
      <w:r>
        <w:noBreakHyphen/>
      </w:r>
      <w:r w:rsidR="00C14EF7">
        <w:fldChar w:fldCharType="begin"/>
      </w:r>
      <w:r>
        <w:instrText xml:space="preserve"> SEQ Table \* ARABIC \s 1 </w:instrText>
      </w:r>
      <w:r w:rsidR="00C14EF7">
        <w:fldChar w:fldCharType="separate"/>
      </w:r>
      <w:r w:rsidR="003E0F65">
        <w:rPr>
          <w:noProof/>
        </w:rPr>
        <w:t>8</w:t>
      </w:r>
      <w:r w:rsidR="00C14EF7">
        <w:fldChar w:fldCharType="end"/>
      </w:r>
      <w:bookmarkEnd w:id="213"/>
      <w:r>
        <w:t>: Assumed fleet average fuel efficiency by engine type (L/100km), conventional vehicles</w:t>
      </w:r>
      <w:bookmarkEnd w:id="214"/>
      <w:bookmarkEnd w:id="215"/>
    </w:p>
    <w:tbl>
      <w:tblPr>
        <w:tblW w:w="0" w:type="auto"/>
        <w:tblBorders>
          <w:top w:val="single" w:sz="8" w:space="0" w:color="4F81BD"/>
          <w:left w:val="single" w:sz="8" w:space="0" w:color="4F81BD"/>
          <w:bottom w:val="single" w:sz="8" w:space="0" w:color="4F81BD"/>
          <w:right w:val="single" w:sz="8" w:space="0" w:color="4F81BD"/>
        </w:tblBorders>
        <w:tblLayout w:type="fixed"/>
        <w:tblLook w:val="00A0"/>
      </w:tblPr>
      <w:tblGrid>
        <w:gridCol w:w="1015"/>
        <w:gridCol w:w="568"/>
        <w:gridCol w:w="568"/>
        <w:gridCol w:w="568"/>
        <w:gridCol w:w="567"/>
        <w:gridCol w:w="567"/>
        <w:gridCol w:w="567"/>
        <w:gridCol w:w="567"/>
        <w:gridCol w:w="567"/>
        <w:gridCol w:w="567"/>
        <w:gridCol w:w="567"/>
        <w:gridCol w:w="567"/>
        <w:gridCol w:w="567"/>
        <w:gridCol w:w="567"/>
        <w:gridCol w:w="567"/>
        <w:gridCol w:w="567"/>
        <w:gridCol w:w="545"/>
        <w:gridCol w:w="659"/>
        <w:gridCol w:w="659"/>
        <w:gridCol w:w="629"/>
        <w:gridCol w:w="709"/>
      </w:tblGrid>
      <w:tr w:rsidR="00300092" w:rsidRPr="00FA3EF4" w:rsidTr="00300092">
        <w:trPr>
          <w:trHeight w:hRule="exact" w:val="567"/>
        </w:trPr>
        <w:tc>
          <w:tcPr>
            <w:tcW w:w="1015" w:type="dxa"/>
            <w:tcBorders>
              <w:top w:val="single" w:sz="8" w:space="0" w:color="4F81BD"/>
            </w:tcBorders>
            <w:shd w:val="clear" w:color="auto" w:fill="4F81BD"/>
          </w:tcPr>
          <w:p w:rsidR="00300092" w:rsidRPr="007D4A8A" w:rsidRDefault="00300092" w:rsidP="00300092">
            <w:pPr>
              <w:pStyle w:val="BodyText"/>
              <w:rPr>
                <w:rFonts w:ascii="Arial Narrow" w:hAnsi="Arial Narrow"/>
                <w:b/>
                <w:bCs/>
                <w:color w:val="FFFFFF"/>
                <w:sz w:val="18"/>
                <w:szCs w:val="18"/>
              </w:rPr>
            </w:pPr>
          </w:p>
        </w:tc>
        <w:tc>
          <w:tcPr>
            <w:tcW w:w="1136" w:type="dxa"/>
            <w:gridSpan w:val="2"/>
            <w:tcBorders>
              <w:top w:val="single" w:sz="8" w:space="0" w:color="4F81BD"/>
              <w:left w:val="single" w:sz="8" w:space="0" w:color="4F81BD"/>
              <w:right w:val="single" w:sz="8" w:space="0" w:color="4F81BD"/>
            </w:tcBorders>
            <w:shd w:val="clear" w:color="auto" w:fill="4F81BD"/>
          </w:tcPr>
          <w:p w:rsidR="00300092" w:rsidRPr="007D4A8A" w:rsidRDefault="00300092" w:rsidP="00300092">
            <w:pPr>
              <w:pStyle w:val="BodyText"/>
              <w:rPr>
                <w:rFonts w:ascii="Arial Narrow" w:hAnsi="Arial Narrow"/>
                <w:b/>
                <w:bCs/>
                <w:color w:val="FFFFFF"/>
                <w:sz w:val="18"/>
                <w:szCs w:val="18"/>
              </w:rPr>
            </w:pPr>
            <w:r w:rsidRPr="007D4A8A">
              <w:rPr>
                <w:rFonts w:ascii="Arial Narrow" w:hAnsi="Arial Narrow"/>
                <w:bCs/>
                <w:color w:val="FFFFFF"/>
                <w:sz w:val="18"/>
                <w:szCs w:val="18"/>
              </w:rPr>
              <w:t>Petrol</w:t>
            </w:r>
          </w:p>
        </w:tc>
        <w:tc>
          <w:tcPr>
            <w:tcW w:w="1135" w:type="dxa"/>
            <w:gridSpan w:val="2"/>
            <w:tcBorders>
              <w:top w:val="single" w:sz="8" w:space="0" w:color="4F81BD"/>
            </w:tcBorders>
            <w:shd w:val="clear" w:color="auto" w:fill="4F81BD"/>
          </w:tcPr>
          <w:p w:rsidR="00300092" w:rsidRPr="007D4A8A" w:rsidRDefault="00300092" w:rsidP="00300092">
            <w:pPr>
              <w:pStyle w:val="BodyText"/>
              <w:rPr>
                <w:rFonts w:ascii="Arial Narrow" w:hAnsi="Arial Narrow"/>
                <w:b/>
                <w:bCs/>
                <w:color w:val="FFFFFF"/>
                <w:sz w:val="18"/>
                <w:szCs w:val="18"/>
              </w:rPr>
            </w:pPr>
            <w:r w:rsidRPr="007D4A8A">
              <w:rPr>
                <w:rFonts w:ascii="Arial Narrow" w:hAnsi="Arial Narrow"/>
                <w:bCs/>
                <w:color w:val="FFFFFF"/>
                <w:sz w:val="18"/>
                <w:szCs w:val="18"/>
              </w:rPr>
              <w:t>Diesel</w:t>
            </w:r>
          </w:p>
        </w:tc>
        <w:tc>
          <w:tcPr>
            <w:tcW w:w="1134" w:type="dxa"/>
            <w:gridSpan w:val="2"/>
            <w:tcBorders>
              <w:top w:val="single" w:sz="8" w:space="0" w:color="4F81BD"/>
              <w:left w:val="single" w:sz="8" w:space="0" w:color="4F81BD"/>
              <w:right w:val="single" w:sz="8" w:space="0" w:color="4F81BD"/>
            </w:tcBorders>
            <w:shd w:val="clear" w:color="auto" w:fill="4F81BD"/>
          </w:tcPr>
          <w:p w:rsidR="00300092" w:rsidRPr="007D4A8A" w:rsidRDefault="00300092" w:rsidP="00300092">
            <w:pPr>
              <w:pStyle w:val="BodyText"/>
              <w:rPr>
                <w:rFonts w:ascii="Arial Narrow" w:hAnsi="Arial Narrow"/>
                <w:b/>
                <w:bCs/>
                <w:color w:val="FFFFFF"/>
                <w:sz w:val="18"/>
                <w:szCs w:val="18"/>
              </w:rPr>
            </w:pPr>
            <w:r w:rsidRPr="007D4A8A">
              <w:rPr>
                <w:rFonts w:ascii="Arial Narrow" w:hAnsi="Arial Narrow"/>
                <w:bCs/>
                <w:color w:val="FFFFFF"/>
                <w:sz w:val="18"/>
                <w:szCs w:val="18"/>
              </w:rPr>
              <w:t>LPG</w:t>
            </w:r>
          </w:p>
        </w:tc>
        <w:tc>
          <w:tcPr>
            <w:tcW w:w="1134" w:type="dxa"/>
            <w:gridSpan w:val="2"/>
            <w:tcBorders>
              <w:top w:val="single" w:sz="8" w:space="0" w:color="4F81BD"/>
            </w:tcBorders>
            <w:shd w:val="clear" w:color="auto" w:fill="4F81BD"/>
          </w:tcPr>
          <w:p w:rsidR="00300092" w:rsidRPr="007D4A8A" w:rsidRDefault="00300092" w:rsidP="00300092">
            <w:pPr>
              <w:pStyle w:val="BodyText"/>
              <w:rPr>
                <w:rFonts w:ascii="Arial Narrow" w:hAnsi="Arial Narrow"/>
                <w:b/>
                <w:bCs/>
                <w:color w:val="FFFFFF"/>
                <w:sz w:val="18"/>
                <w:szCs w:val="18"/>
              </w:rPr>
            </w:pPr>
            <w:r w:rsidRPr="007D4A8A">
              <w:rPr>
                <w:rFonts w:ascii="Arial Narrow" w:hAnsi="Arial Narrow"/>
                <w:bCs/>
                <w:color w:val="FFFFFF"/>
                <w:sz w:val="18"/>
                <w:szCs w:val="18"/>
              </w:rPr>
              <w:t>CNG (m</w:t>
            </w:r>
            <w:r w:rsidRPr="007D4A8A">
              <w:rPr>
                <w:rFonts w:ascii="Arial Narrow" w:hAnsi="Arial Narrow"/>
                <w:bCs/>
                <w:color w:val="FFFFFF"/>
                <w:sz w:val="18"/>
                <w:szCs w:val="18"/>
                <w:vertAlign w:val="superscript"/>
              </w:rPr>
              <w:t>3)</w:t>
            </w:r>
            <w:r w:rsidRPr="007D4A8A">
              <w:rPr>
                <w:rFonts w:ascii="Arial Narrow" w:hAnsi="Arial Narrow"/>
                <w:bCs/>
                <w:color w:val="FFFFFF"/>
                <w:sz w:val="18"/>
                <w:szCs w:val="18"/>
              </w:rPr>
              <w:t xml:space="preserve"> &amp; LNG (L)</w:t>
            </w:r>
          </w:p>
        </w:tc>
        <w:tc>
          <w:tcPr>
            <w:tcW w:w="1134" w:type="dxa"/>
            <w:gridSpan w:val="2"/>
            <w:tcBorders>
              <w:top w:val="single" w:sz="8" w:space="0" w:color="4F81BD"/>
              <w:left w:val="single" w:sz="8" w:space="0" w:color="4F81BD"/>
              <w:right w:val="single" w:sz="8" w:space="0" w:color="4F81BD"/>
            </w:tcBorders>
            <w:shd w:val="clear" w:color="auto" w:fill="4F81BD"/>
          </w:tcPr>
          <w:p w:rsidR="00300092" w:rsidRPr="007D4A8A" w:rsidRDefault="00300092" w:rsidP="00300092">
            <w:pPr>
              <w:pStyle w:val="BodyText"/>
              <w:rPr>
                <w:rFonts w:ascii="Arial Narrow" w:hAnsi="Arial Narrow"/>
                <w:b/>
                <w:bCs/>
                <w:color w:val="FFFFFF"/>
                <w:sz w:val="18"/>
                <w:szCs w:val="18"/>
              </w:rPr>
            </w:pPr>
            <w:r w:rsidRPr="007D4A8A">
              <w:rPr>
                <w:rFonts w:ascii="Arial Narrow" w:hAnsi="Arial Narrow"/>
                <w:bCs/>
                <w:color w:val="FFFFFF"/>
                <w:sz w:val="18"/>
                <w:szCs w:val="18"/>
              </w:rPr>
              <w:t>B95</w:t>
            </w:r>
          </w:p>
        </w:tc>
        <w:tc>
          <w:tcPr>
            <w:tcW w:w="1134" w:type="dxa"/>
            <w:gridSpan w:val="2"/>
            <w:tcBorders>
              <w:top w:val="single" w:sz="8" w:space="0" w:color="4F81BD"/>
            </w:tcBorders>
            <w:shd w:val="clear" w:color="auto" w:fill="4F81BD"/>
          </w:tcPr>
          <w:p w:rsidR="00300092" w:rsidRPr="007D4A8A" w:rsidRDefault="00300092" w:rsidP="00300092">
            <w:pPr>
              <w:pStyle w:val="BodyText"/>
              <w:rPr>
                <w:rFonts w:ascii="Arial Narrow" w:hAnsi="Arial Narrow"/>
                <w:b/>
                <w:bCs/>
                <w:color w:val="FFFFFF"/>
                <w:sz w:val="18"/>
                <w:szCs w:val="18"/>
              </w:rPr>
            </w:pPr>
            <w:r w:rsidRPr="007D4A8A">
              <w:rPr>
                <w:rFonts w:ascii="Arial Narrow" w:hAnsi="Arial Narrow"/>
                <w:bCs/>
                <w:color w:val="FFFFFF"/>
                <w:sz w:val="18"/>
                <w:szCs w:val="18"/>
              </w:rPr>
              <w:t>B20</w:t>
            </w:r>
          </w:p>
        </w:tc>
        <w:tc>
          <w:tcPr>
            <w:tcW w:w="1134" w:type="dxa"/>
            <w:gridSpan w:val="2"/>
            <w:tcBorders>
              <w:top w:val="single" w:sz="8" w:space="0" w:color="4F81BD"/>
              <w:left w:val="single" w:sz="8" w:space="0" w:color="4F81BD"/>
              <w:right w:val="single" w:sz="8" w:space="0" w:color="4F81BD"/>
            </w:tcBorders>
            <w:shd w:val="clear" w:color="auto" w:fill="4F81BD"/>
          </w:tcPr>
          <w:p w:rsidR="00300092" w:rsidRPr="007D4A8A" w:rsidRDefault="00300092" w:rsidP="00300092">
            <w:pPr>
              <w:pStyle w:val="BodyText"/>
              <w:rPr>
                <w:rFonts w:ascii="Arial Narrow" w:hAnsi="Arial Narrow"/>
                <w:b/>
                <w:bCs/>
                <w:color w:val="FFFFFF"/>
                <w:sz w:val="18"/>
                <w:szCs w:val="18"/>
              </w:rPr>
            </w:pPr>
            <w:r w:rsidRPr="007D4A8A">
              <w:rPr>
                <w:rFonts w:ascii="Arial Narrow" w:hAnsi="Arial Narrow"/>
                <w:bCs/>
                <w:color w:val="FFFFFF"/>
                <w:sz w:val="18"/>
                <w:szCs w:val="18"/>
              </w:rPr>
              <w:t>E85</w:t>
            </w:r>
          </w:p>
        </w:tc>
        <w:tc>
          <w:tcPr>
            <w:tcW w:w="1112" w:type="dxa"/>
            <w:gridSpan w:val="2"/>
            <w:tcBorders>
              <w:top w:val="single" w:sz="8" w:space="0" w:color="4F81BD"/>
            </w:tcBorders>
            <w:shd w:val="clear" w:color="auto" w:fill="4F81BD"/>
          </w:tcPr>
          <w:p w:rsidR="00300092" w:rsidRPr="007D4A8A" w:rsidRDefault="00300092" w:rsidP="00300092">
            <w:pPr>
              <w:pStyle w:val="BodyText"/>
              <w:rPr>
                <w:rFonts w:ascii="Arial Narrow" w:hAnsi="Arial Narrow"/>
                <w:b/>
                <w:bCs/>
                <w:color w:val="FFFFFF"/>
                <w:sz w:val="18"/>
                <w:szCs w:val="18"/>
              </w:rPr>
            </w:pPr>
            <w:r w:rsidRPr="007D4A8A">
              <w:rPr>
                <w:rFonts w:ascii="Arial Narrow" w:hAnsi="Arial Narrow"/>
                <w:bCs/>
                <w:color w:val="FFFFFF"/>
                <w:sz w:val="18"/>
                <w:szCs w:val="18"/>
              </w:rPr>
              <w:t>E10</w:t>
            </w:r>
          </w:p>
        </w:tc>
        <w:tc>
          <w:tcPr>
            <w:tcW w:w="1318" w:type="dxa"/>
            <w:gridSpan w:val="2"/>
            <w:tcBorders>
              <w:top w:val="single" w:sz="8" w:space="0" w:color="4F81BD"/>
              <w:left w:val="single" w:sz="8" w:space="0" w:color="4F81BD"/>
              <w:right w:val="single" w:sz="8" w:space="0" w:color="4F81BD"/>
            </w:tcBorders>
            <w:shd w:val="clear" w:color="auto" w:fill="4F81BD"/>
          </w:tcPr>
          <w:p w:rsidR="00300092" w:rsidRPr="007D4A8A" w:rsidRDefault="00300092" w:rsidP="00300092">
            <w:pPr>
              <w:pStyle w:val="BodyText"/>
              <w:rPr>
                <w:rFonts w:ascii="Arial Narrow" w:hAnsi="Arial Narrow"/>
                <w:b/>
                <w:bCs/>
                <w:color w:val="FFFFFF"/>
                <w:sz w:val="18"/>
                <w:szCs w:val="18"/>
              </w:rPr>
            </w:pPr>
            <w:r w:rsidRPr="007D4A8A">
              <w:rPr>
                <w:rFonts w:ascii="Arial Narrow" w:hAnsi="Arial Narrow"/>
                <w:bCs/>
                <w:color w:val="FFFFFF"/>
                <w:sz w:val="18"/>
                <w:szCs w:val="18"/>
              </w:rPr>
              <w:t>H</w:t>
            </w:r>
            <w:r w:rsidRPr="007D4A8A">
              <w:rPr>
                <w:rFonts w:ascii="Arial Narrow" w:hAnsi="Arial Narrow"/>
                <w:bCs/>
                <w:color w:val="FFFFFF"/>
                <w:sz w:val="18"/>
                <w:szCs w:val="18"/>
                <w:vertAlign w:val="subscript"/>
              </w:rPr>
              <w:t>2</w:t>
            </w:r>
            <w:r w:rsidRPr="007D4A8A">
              <w:rPr>
                <w:rFonts w:ascii="Arial Narrow" w:hAnsi="Arial Narrow"/>
                <w:bCs/>
                <w:color w:val="FFFFFF"/>
                <w:sz w:val="18"/>
                <w:szCs w:val="18"/>
              </w:rPr>
              <w:t xml:space="preserve"> (m</w:t>
            </w:r>
            <w:r w:rsidRPr="007D4A8A">
              <w:rPr>
                <w:rFonts w:ascii="Arial Narrow" w:hAnsi="Arial Narrow"/>
                <w:bCs/>
                <w:color w:val="FFFFFF"/>
                <w:sz w:val="18"/>
                <w:szCs w:val="18"/>
                <w:vertAlign w:val="superscript"/>
              </w:rPr>
              <w:t>3</w:t>
            </w:r>
            <w:r w:rsidRPr="007D4A8A">
              <w:rPr>
                <w:rFonts w:ascii="Arial Narrow" w:hAnsi="Arial Narrow"/>
                <w:bCs/>
                <w:color w:val="FFFFFF"/>
                <w:sz w:val="18"/>
                <w:szCs w:val="18"/>
              </w:rPr>
              <w:t>/100km)</w:t>
            </w:r>
          </w:p>
        </w:tc>
        <w:tc>
          <w:tcPr>
            <w:tcW w:w="1338" w:type="dxa"/>
            <w:gridSpan w:val="2"/>
            <w:tcBorders>
              <w:top w:val="single" w:sz="8" w:space="0" w:color="4F81BD"/>
            </w:tcBorders>
            <w:shd w:val="clear" w:color="auto" w:fill="4F81BD"/>
          </w:tcPr>
          <w:p w:rsidR="00300092" w:rsidRPr="007D4A8A" w:rsidRDefault="00300092" w:rsidP="00300092">
            <w:pPr>
              <w:pStyle w:val="BodyText"/>
              <w:rPr>
                <w:rFonts w:ascii="Arial Narrow" w:hAnsi="Arial Narrow"/>
                <w:b/>
                <w:bCs/>
                <w:color w:val="FFFFFF"/>
                <w:sz w:val="18"/>
                <w:szCs w:val="18"/>
              </w:rPr>
            </w:pPr>
            <w:r w:rsidRPr="007D4A8A">
              <w:rPr>
                <w:rFonts w:ascii="Arial Narrow" w:hAnsi="Arial Narrow"/>
                <w:bCs/>
                <w:color w:val="FFFFFF"/>
                <w:sz w:val="18"/>
                <w:szCs w:val="18"/>
              </w:rPr>
              <w:t>BTL/GTL/CTL /STL diesel</w:t>
            </w:r>
          </w:p>
        </w:tc>
      </w:tr>
      <w:tr w:rsidR="00300092" w:rsidRPr="00FA3EF4" w:rsidTr="00300092">
        <w:tc>
          <w:tcPr>
            <w:tcW w:w="1015" w:type="dxa"/>
            <w:tcBorders>
              <w:top w:val="single" w:sz="8" w:space="0" w:color="4F81BD"/>
              <w:bottom w:val="single" w:sz="8" w:space="0" w:color="4F81BD"/>
            </w:tcBorders>
          </w:tcPr>
          <w:p w:rsidR="00300092" w:rsidRPr="007D4A8A" w:rsidRDefault="00300092" w:rsidP="00300092">
            <w:pPr>
              <w:pStyle w:val="BodyText"/>
              <w:rPr>
                <w:rFonts w:ascii="Arial Narrow" w:hAnsi="Arial Narrow"/>
                <w:b/>
                <w:bCs/>
                <w:sz w:val="18"/>
                <w:szCs w:val="18"/>
              </w:rPr>
            </w:pPr>
          </w:p>
        </w:tc>
        <w:tc>
          <w:tcPr>
            <w:tcW w:w="568"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
              <w:rPr>
                <w:rFonts w:ascii="Arial Narrow" w:hAnsi="Arial Narrow"/>
                <w:b/>
                <w:sz w:val="18"/>
                <w:szCs w:val="18"/>
              </w:rPr>
            </w:pPr>
            <w:r w:rsidRPr="007D4A8A">
              <w:rPr>
                <w:rFonts w:ascii="Arial Narrow" w:hAnsi="Arial Narrow"/>
                <w:b/>
                <w:sz w:val="18"/>
                <w:szCs w:val="18"/>
              </w:rPr>
              <w:t>2006</w:t>
            </w:r>
          </w:p>
        </w:tc>
        <w:tc>
          <w:tcPr>
            <w:tcW w:w="568" w:type="dxa"/>
            <w:tcBorders>
              <w:top w:val="single" w:sz="8" w:space="0" w:color="4F81BD"/>
              <w:bottom w:val="single" w:sz="8" w:space="0" w:color="4F81BD"/>
            </w:tcBorders>
          </w:tcPr>
          <w:p w:rsidR="00300092" w:rsidRPr="007D4A8A" w:rsidRDefault="00300092" w:rsidP="00300092">
            <w:pPr>
              <w:pStyle w:val="BodyText"/>
              <w:rPr>
                <w:rFonts w:ascii="Arial Narrow" w:hAnsi="Arial Narrow"/>
                <w:b/>
                <w:sz w:val="18"/>
                <w:szCs w:val="18"/>
              </w:rPr>
            </w:pPr>
            <w:r w:rsidRPr="007D4A8A">
              <w:rPr>
                <w:rFonts w:ascii="Arial Narrow" w:hAnsi="Arial Narrow"/>
                <w:b/>
                <w:sz w:val="18"/>
                <w:szCs w:val="18"/>
              </w:rPr>
              <w:t>2050</w:t>
            </w:r>
          </w:p>
        </w:tc>
        <w:tc>
          <w:tcPr>
            <w:tcW w:w="568"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
              <w:rPr>
                <w:rFonts w:ascii="Arial Narrow" w:hAnsi="Arial Narrow"/>
                <w:b/>
                <w:sz w:val="18"/>
                <w:szCs w:val="18"/>
              </w:rPr>
            </w:pPr>
            <w:r w:rsidRPr="007D4A8A">
              <w:rPr>
                <w:rFonts w:ascii="Arial Narrow" w:hAnsi="Arial Narrow"/>
                <w:b/>
                <w:sz w:val="18"/>
                <w:szCs w:val="18"/>
              </w:rPr>
              <w:t>2006</w:t>
            </w:r>
          </w:p>
        </w:tc>
        <w:tc>
          <w:tcPr>
            <w:tcW w:w="567" w:type="dxa"/>
            <w:tcBorders>
              <w:top w:val="single" w:sz="8" w:space="0" w:color="4F81BD"/>
              <w:bottom w:val="single" w:sz="8" w:space="0" w:color="4F81BD"/>
            </w:tcBorders>
          </w:tcPr>
          <w:p w:rsidR="00300092" w:rsidRPr="007D4A8A" w:rsidRDefault="00300092" w:rsidP="00300092">
            <w:pPr>
              <w:pStyle w:val="BodyText"/>
              <w:rPr>
                <w:rFonts w:ascii="Arial Narrow" w:hAnsi="Arial Narrow"/>
                <w:b/>
                <w:sz w:val="18"/>
                <w:szCs w:val="18"/>
              </w:rPr>
            </w:pPr>
            <w:r w:rsidRPr="007D4A8A">
              <w:rPr>
                <w:rFonts w:ascii="Arial Narrow" w:hAnsi="Arial Narrow"/>
                <w:b/>
                <w:sz w:val="18"/>
                <w:szCs w:val="18"/>
              </w:rPr>
              <w:t>2050</w:t>
            </w:r>
          </w:p>
        </w:tc>
        <w:tc>
          <w:tcPr>
            <w:tcW w:w="567"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
              <w:rPr>
                <w:rFonts w:ascii="Arial Narrow" w:hAnsi="Arial Narrow"/>
                <w:b/>
                <w:sz w:val="18"/>
                <w:szCs w:val="18"/>
              </w:rPr>
            </w:pPr>
            <w:r w:rsidRPr="007D4A8A">
              <w:rPr>
                <w:rFonts w:ascii="Arial Narrow" w:hAnsi="Arial Narrow"/>
                <w:b/>
                <w:sz w:val="18"/>
                <w:szCs w:val="18"/>
              </w:rPr>
              <w:t>2006</w:t>
            </w:r>
          </w:p>
        </w:tc>
        <w:tc>
          <w:tcPr>
            <w:tcW w:w="567" w:type="dxa"/>
            <w:tcBorders>
              <w:top w:val="single" w:sz="8" w:space="0" w:color="4F81BD"/>
              <w:bottom w:val="single" w:sz="8" w:space="0" w:color="4F81BD"/>
            </w:tcBorders>
          </w:tcPr>
          <w:p w:rsidR="00300092" w:rsidRPr="007D4A8A" w:rsidRDefault="00300092" w:rsidP="00300092">
            <w:pPr>
              <w:pStyle w:val="BodyText"/>
              <w:rPr>
                <w:rFonts w:ascii="Arial Narrow" w:hAnsi="Arial Narrow"/>
                <w:b/>
                <w:sz w:val="18"/>
                <w:szCs w:val="18"/>
              </w:rPr>
            </w:pPr>
            <w:r w:rsidRPr="007D4A8A">
              <w:rPr>
                <w:rFonts w:ascii="Arial Narrow" w:hAnsi="Arial Narrow"/>
                <w:b/>
                <w:sz w:val="18"/>
                <w:szCs w:val="18"/>
              </w:rPr>
              <w:t>2050</w:t>
            </w:r>
          </w:p>
        </w:tc>
        <w:tc>
          <w:tcPr>
            <w:tcW w:w="567"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
              <w:rPr>
                <w:rFonts w:ascii="Arial Narrow" w:hAnsi="Arial Narrow"/>
                <w:b/>
                <w:sz w:val="18"/>
                <w:szCs w:val="18"/>
              </w:rPr>
            </w:pPr>
            <w:r w:rsidRPr="007D4A8A">
              <w:rPr>
                <w:rFonts w:ascii="Arial Narrow" w:hAnsi="Arial Narrow"/>
                <w:b/>
                <w:sz w:val="18"/>
                <w:szCs w:val="18"/>
              </w:rPr>
              <w:t>2006</w:t>
            </w:r>
          </w:p>
        </w:tc>
        <w:tc>
          <w:tcPr>
            <w:tcW w:w="567" w:type="dxa"/>
            <w:tcBorders>
              <w:top w:val="single" w:sz="8" w:space="0" w:color="4F81BD"/>
              <w:bottom w:val="single" w:sz="8" w:space="0" w:color="4F81BD"/>
            </w:tcBorders>
          </w:tcPr>
          <w:p w:rsidR="00300092" w:rsidRPr="007D4A8A" w:rsidRDefault="00300092" w:rsidP="00300092">
            <w:pPr>
              <w:pStyle w:val="BodyText"/>
              <w:rPr>
                <w:rFonts w:ascii="Arial Narrow" w:hAnsi="Arial Narrow"/>
                <w:b/>
                <w:sz w:val="18"/>
                <w:szCs w:val="18"/>
              </w:rPr>
            </w:pPr>
            <w:r w:rsidRPr="007D4A8A">
              <w:rPr>
                <w:rFonts w:ascii="Arial Narrow" w:hAnsi="Arial Narrow"/>
                <w:b/>
                <w:sz w:val="18"/>
                <w:szCs w:val="18"/>
              </w:rPr>
              <w:t>2050</w:t>
            </w:r>
          </w:p>
        </w:tc>
        <w:tc>
          <w:tcPr>
            <w:tcW w:w="567"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
              <w:rPr>
                <w:rFonts w:ascii="Arial Narrow" w:hAnsi="Arial Narrow"/>
                <w:b/>
                <w:sz w:val="18"/>
                <w:szCs w:val="18"/>
              </w:rPr>
            </w:pPr>
            <w:r w:rsidRPr="007D4A8A">
              <w:rPr>
                <w:rFonts w:ascii="Arial Narrow" w:hAnsi="Arial Narrow"/>
                <w:b/>
                <w:sz w:val="18"/>
                <w:szCs w:val="18"/>
              </w:rPr>
              <w:t>2006</w:t>
            </w:r>
          </w:p>
        </w:tc>
        <w:tc>
          <w:tcPr>
            <w:tcW w:w="567" w:type="dxa"/>
            <w:tcBorders>
              <w:top w:val="single" w:sz="8" w:space="0" w:color="4F81BD"/>
              <w:bottom w:val="single" w:sz="8" w:space="0" w:color="4F81BD"/>
            </w:tcBorders>
          </w:tcPr>
          <w:p w:rsidR="00300092" w:rsidRPr="007D4A8A" w:rsidRDefault="00300092" w:rsidP="00300092">
            <w:pPr>
              <w:pStyle w:val="BodyText"/>
              <w:rPr>
                <w:rFonts w:ascii="Arial Narrow" w:hAnsi="Arial Narrow"/>
                <w:b/>
                <w:sz w:val="18"/>
                <w:szCs w:val="18"/>
              </w:rPr>
            </w:pPr>
            <w:r w:rsidRPr="007D4A8A">
              <w:rPr>
                <w:rFonts w:ascii="Arial Narrow" w:hAnsi="Arial Narrow"/>
                <w:b/>
                <w:sz w:val="18"/>
                <w:szCs w:val="18"/>
              </w:rPr>
              <w:t>2050</w:t>
            </w:r>
          </w:p>
        </w:tc>
        <w:tc>
          <w:tcPr>
            <w:tcW w:w="567"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
              <w:rPr>
                <w:rFonts w:ascii="Arial Narrow" w:hAnsi="Arial Narrow"/>
                <w:b/>
                <w:sz w:val="18"/>
                <w:szCs w:val="18"/>
              </w:rPr>
            </w:pPr>
            <w:r w:rsidRPr="007D4A8A">
              <w:rPr>
                <w:rFonts w:ascii="Arial Narrow" w:hAnsi="Arial Narrow"/>
                <w:b/>
                <w:sz w:val="18"/>
                <w:szCs w:val="18"/>
              </w:rPr>
              <w:t>2006</w:t>
            </w:r>
          </w:p>
        </w:tc>
        <w:tc>
          <w:tcPr>
            <w:tcW w:w="567" w:type="dxa"/>
            <w:tcBorders>
              <w:top w:val="single" w:sz="8" w:space="0" w:color="4F81BD"/>
              <w:bottom w:val="single" w:sz="8" w:space="0" w:color="4F81BD"/>
            </w:tcBorders>
          </w:tcPr>
          <w:p w:rsidR="00300092" w:rsidRPr="007D4A8A" w:rsidRDefault="00300092" w:rsidP="00300092">
            <w:pPr>
              <w:pStyle w:val="BodyText"/>
              <w:rPr>
                <w:rFonts w:ascii="Arial Narrow" w:hAnsi="Arial Narrow"/>
                <w:b/>
                <w:sz w:val="18"/>
                <w:szCs w:val="18"/>
              </w:rPr>
            </w:pPr>
            <w:r w:rsidRPr="007D4A8A">
              <w:rPr>
                <w:rFonts w:ascii="Arial Narrow" w:hAnsi="Arial Narrow"/>
                <w:b/>
                <w:sz w:val="18"/>
                <w:szCs w:val="18"/>
              </w:rPr>
              <w:t>2050</w:t>
            </w:r>
          </w:p>
        </w:tc>
        <w:tc>
          <w:tcPr>
            <w:tcW w:w="567"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
              <w:rPr>
                <w:rFonts w:ascii="Arial Narrow" w:hAnsi="Arial Narrow"/>
                <w:b/>
                <w:sz w:val="18"/>
                <w:szCs w:val="18"/>
              </w:rPr>
            </w:pPr>
            <w:r w:rsidRPr="007D4A8A">
              <w:rPr>
                <w:rFonts w:ascii="Arial Narrow" w:hAnsi="Arial Narrow"/>
                <w:b/>
                <w:sz w:val="18"/>
                <w:szCs w:val="18"/>
              </w:rPr>
              <w:t>2006</w:t>
            </w:r>
          </w:p>
        </w:tc>
        <w:tc>
          <w:tcPr>
            <w:tcW w:w="567" w:type="dxa"/>
            <w:tcBorders>
              <w:top w:val="single" w:sz="8" w:space="0" w:color="4F81BD"/>
              <w:bottom w:val="single" w:sz="8" w:space="0" w:color="4F81BD"/>
            </w:tcBorders>
          </w:tcPr>
          <w:p w:rsidR="00300092" w:rsidRPr="007D4A8A" w:rsidRDefault="00300092" w:rsidP="00300092">
            <w:pPr>
              <w:pStyle w:val="BodyText"/>
              <w:rPr>
                <w:rFonts w:ascii="Arial Narrow" w:hAnsi="Arial Narrow"/>
                <w:b/>
                <w:sz w:val="18"/>
                <w:szCs w:val="18"/>
              </w:rPr>
            </w:pPr>
            <w:r w:rsidRPr="007D4A8A">
              <w:rPr>
                <w:rFonts w:ascii="Arial Narrow" w:hAnsi="Arial Narrow"/>
                <w:b/>
                <w:sz w:val="18"/>
                <w:szCs w:val="18"/>
              </w:rPr>
              <w:t>2050</w:t>
            </w:r>
          </w:p>
        </w:tc>
        <w:tc>
          <w:tcPr>
            <w:tcW w:w="567"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
              <w:rPr>
                <w:rFonts w:ascii="Arial Narrow" w:hAnsi="Arial Narrow"/>
                <w:b/>
                <w:sz w:val="18"/>
                <w:szCs w:val="18"/>
              </w:rPr>
            </w:pPr>
            <w:r w:rsidRPr="007D4A8A">
              <w:rPr>
                <w:rFonts w:ascii="Arial Narrow" w:hAnsi="Arial Narrow"/>
                <w:b/>
                <w:sz w:val="18"/>
                <w:szCs w:val="18"/>
              </w:rPr>
              <w:t>2006</w:t>
            </w:r>
          </w:p>
        </w:tc>
        <w:tc>
          <w:tcPr>
            <w:tcW w:w="545" w:type="dxa"/>
            <w:tcBorders>
              <w:top w:val="single" w:sz="8" w:space="0" w:color="4F81BD"/>
              <w:bottom w:val="single" w:sz="8" w:space="0" w:color="4F81BD"/>
            </w:tcBorders>
          </w:tcPr>
          <w:p w:rsidR="00300092" w:rsidRPr="007D4A8A" w:rsidRDefault="00300092" w:rsidP="00300092">
            <w:pPr>
              <w:pStyle w:val="BodyText"/>
              <w:rPr>
                <w:rFonts w:ascii="Arial Narrow" w:hAnsi="Arial Narrow"/>
                <w:b/>
                <w:sz w:val="18"/>
                <w:szCs w:val="18"/>
              </w:rPr>
            </w:pPr>
            <w:r w:rsidRPr="007D4A8A">
              <w:rPr>
                <w:rFonts w:ascii="Arial Narrow" w:hAnsi="Arial Narrow"/>
                <w:b/>
                <w:sz w:val="18"/>
                <w:szCs w:val="18"/>
              </w:rPr>
              <w:t>2050</w:t>
            </w:r>
          </w:p>
        </w:tc>
        <w:tc>
          <w:tcPr>
            <w:tcW w:w="659"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
              <w:rPr>
                <w:rFonts w:ascii="Arial Narrow" w:hAnsi="Arial Narrow"/>
                <w:b/>
                <w:sz w:val="18"/>
                <w:szCs w:val="18"/>
              </w:rPr>
            </w:pPr>
            <w:r w:rsidRPr="007D4A8A">
              <w:rPr>
                <w:rFonts w:ascii="Arial Narrow" w:hAnsi="Arial Narrow"/>
                <w:b/>
                <w:sz w:val="18"/>
                <w:szCs w:val="18"/>
              </w:rPr>
              <w:t>2006</w:t>
            </w:r>
          </w:p>
        </w:tc>
        <w:tc>
          <w:tcPr>
            <w:tcW w:w="659" w:type="dxa"/>
            <w:tcBorders>
              <w:top w:val="single" w:sz="8" w:space="0" w:color="4F81BD"/>
              <w:bottom w:val="single" w:sz="8" w:space="0" w:color="4F81BD"/>
            </w:tcBorders>
          </w:tcPr>
          <w:p w:rsidR="00300092" w:rsidRPr="007D4A8A" w:rsidRDefault="00300092" w:rsidP="00300092">
            <w:pPr>
              <w:pStyle w:val="BodyText"/>
              <w:rPr>
                <w:rFonts w:ascii="Arial Narrow" w:hAnsi="Arial Narrow"/>
                <w:b/>
                <w:sz w:val="18"/>
                <w:szCs w:val="18"/>
              </w:rPr>
            </w:pPr>
            <w:r w:rsidRPr="007D4A8A">
              <w:rPr>
                <w:rFonts w:ascii="Arial Narrow" w:hAnsi="Arial Narrow"/>
                <w:b/>
                <w:sz w:val="18"/>
                <w:szCs w:val="18"/>
              </w:rPr>
              <w:t>2050</w:t>
            </w:r>
          </w:p>
        </w:tc>
        <w:tc>
          <w:tcPr>
            <w:tcW w:w="629"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
              <w:rPr>
                <w:rFonts w:ascii="Arial Narrow" w:hAnsi="Arial Narrow"/>
                <w:b/>
                <w:sz w:val="18"/>
                <w:szCs w:val="18"/>
              </w:rPr>
            </w:pPr>
            <w:r w:rsidRPr="007D4A8A">
              <w:rPr>
                <w:rFonts w:ascii="Arial Narrow" w:hAnsi="Arial Narrow"/>
                <w:b/>
                <w:sz w:val="18"/>
                <w:szCs w:val="18"/>
              </w:rPr>
              <w:t>2006</w:t>
            </w:r>
          </w:p>
        </w:tc>
        <w:tc>
          <w:tcPr>
            <w:tcW w:w="709" w:type="dxa"/>
            <w:tcBorders>
              <w:top w:val="single" w:sz="8" w:space="0" w:color="4F81BD"/>
              <w:bottom w:val="single" w:sz="8" w:space="0" w:color="4F81BD"/>
            </w:tcBorders>
          </w:tcPr>
          <w:p w:rsidR="00300092" w:rsidRPr="007D4A8A" w:rsidRDefault="00300092" w:rsidP="00300092">
            <w:pPr>
              <w:pStyle w:val="BodyText"/>
              <w:rPr>
                <w:rFonts w:ascii="Arial Narrow" w:hAnsi="Arial Narrow"/>
                <w:b/>
                <w:sz w:val="18"/>
                <w:szCs w:val="18"/>
              </w:rPr>
            </w:pPr>
            <w:r w:rsidRPr="007D4A8A">
              <w:rPr>
                <w:rFonts w:ascii="Arial Narrow" w:hAnsi="Arial Narrow"/>
                <w:b/>
                <w:sz w:val="18"/>
                <w:szCs w:val="18"/>
              </w:rPr>
              <w:t>2050</w:t>
            </w:r>
          </w:p>
        </w:tc>
      </w:tr>
      <w:tr w:rsidR="00300092" w:rsidRPr="00FA3EF4" w:rsidTr="00300092">
        <w:trPr>
          <w:trHeight w:hRule="exact" w:val="567"/>
        </w:trPr>
        <w:tc>
          <w:tcPr>
            <w:tcW w:w="1015" w:type="dxa"/>
          </w:tcPr>
          <w:p w:rsidR="00300092" w:rsidRPr="007D4A8A" w:rsidRDefault="00300092" w:rsidP="00300092">
            <w:pPr>
              <w:pStyle w:val="BodyText"/>
              <w:rPr>
                <w:rFonts w:ascii="Arial Narrow" w:hAnsi="Arial Narrow"/>
                <w:b/>
                <w:bCs/>
                <w:sz w:val="18"/>
                <w:szCs w:val="18"/>
              </w:rPr>
            </w:pPr>
            <w:r w:rsidRPr="007D4A8A">
              <w:rPr>
                <w:rFonts w:ascii="Arial Narrow" w:hAnsi="Arial Narrow"/>
                <w:bCs/>
                <w:sz w:val="18"/>
                <w:szCs w:val="18"/>
              </w:rPr>
              <w:t>Passenger Cars</w:t>
            </w:r>
          </w:p>
        </w:tc>
        <w:tc>
          <w:tcPr>
            <w:tcW w:w="568" w:type="dxa"/>
            <w:tcBorders>
              <w:left w:val="single" w:sz="8" w:space="0" w:color="4F81BD"/>
              <w:right w:val="single" w:sz="8" w:space="0" w:color="4F81BD"/>
            </w:tcBorders>
          </w:tcPr>
          <w:p w:rsidR="00300092" w:rsidRPr="007D4A8A" w:rsidRDefault="00300092" w:rsidP="00300092">
            <w:pPr>
              <w:pStyle w:val="BodyText"/>
              <w:rPr>
                <w:rFonts w:ascii="Arial Narrow" w:hAnsi="Arial Narrow"/>
                <w:sz w:val="18"/>
                <w:szCs w:val="18"/>
              </w:rPr>
            </w:pPr>
          </w:p>
        </w:tc>
        <w:tc>
          <w:tcPr>
            <w:tcW w:w="568" w:type="dxa"/>
          </w:tcPr>
          <w:p w:rsidR="00300092" w:rsidRPr="007D4A8A" w:rsidRDefault="00300092" w:rsidP="00300092">
            <w:pPr>
              <w:pStyle w:val="BodyText"/>
              <w:rPr>
                <w:rFonts w:ascii="Arial Narrow" w:hAnsi="Arial Narrow"/>
                <w:sz w:val="18"/>
                <w:szCs w:val="18"/>
              </w:rPr>
            </w:pPr>
          </w:p>
        </w:tc>
        <w:tc>
          <w:tcPr>
            <w:tcW w:w="568" w:type="dxa"/>
            <w:tcBorders>
              <w:left w:val="single" w:sz="8" w:space="0" w:color="4F81BD"/>
              <w:right w:val="single" w:sz="8" w:space="0" w:color="4F81BD"/>
            </w:tcBorders>
          </w:tcPr>
          <w:p w:rsidR="00300092" w:rsidRPr="007D4A8A" w:rsidRDefault="00300092" w:rsidP="00300092">
            <w:pPr>
              <w:pStyle w:val="BodyText"/>
              <w:rPr>
                <w:rFonts w:ascii="Arial Narrow" w:hAnsi="Arial Narrow"/>
                <w:sz w:val="18"/>
                <w:szCs w:val="18"/>
              </w:rPr>
            </w:pPr>
          </w:p>
        </w:tc>
        <w:tc>
          <w:tcPr>
            <w:tcW w:w="567" w:type="dxa"/>
          </w:tcPr>
          <w:p w:rsidR="00300092" w:rsidRPr="007D4A8A" w:rsidRDefault="00300092" w:rsidP="00300092">
            <w:pPr>
              <w:pStyle w:val="BodyText"/>
              <w:rPr>
                <w:rFonts w:ascii="Arial Narrow" w:hAnsi="Arial Narrow"/>
                <w:sz w:val="18"/>
                <w:szCs w:val="18"/>
              </w:rPr>
            </w:pPr>
          </w:p>
        </w:tc>
        <w:tc>
          <w:tcPr>
            <w:tcW w:w="567" w:type="dxa"/>
            <w:tcBorders>
              <w:left w:val="single" w:sz="8" w:space="0" w:color="4F81BD"/>
              <w:right w:val="single" w:sz="8" w:space="0" w:color="4F81BD"/>
            </w:tcBorders>
          </w:tcPr>
          <w:p w:rsidR="00300092" w:rsidRPr="007D4A8A" w:rsidRDefault="00300092" w:rsidP="00300092">
            <w:pPr>
              <w:pStyle w:val="BodyText"/>
              <w:rPr>
                <w:rFonts w:ascii="Arial Narrow" w:hAnsi="Arial Narrow"/>
                <w:sz w:val="18"/>
                <w:szCs w:val="18"/>
              </w:rPr>
            </w:pPr>
          </w:p>
        </w:tc>
        <w:tc>
          <w:tcPr>
            <w:tcW w:w="567" w:type="dxa"/>
          </w:tcPr>
          <w:p w:rsidR="00300092" w:rsidRPr="007D4A8A" w:rsidRDefault="00300092" w:rsidP="00300092">
            <w:pPr>
              <w:pStyle w:val="BodyText"/>
              <w:rPr>
                <w:rFonts w:ascii="Arial Narrow" w:hAnsi="Arial Narrow"/>
                <w:sz w:val="18"/>
                <w:szCs w:val="18"/>
              </w:rPr>
            </w:pPr>
          </w:p>
        </w:tc>
        <w:tc>
          <w:tcPr>
            <w:tcW w:w="567" w:type="dxa"/>
            <w:tcBorders>
              <w:left w:val="single" w:sz="8" w:space="0" w:color="4F81BD"/>
              <w:right w:val="single" w:sz="8" w:space="0" w:color="4F81BD"/>
            </w:tcBorders>
          </w:tcPr>
          <w:p w:rsidR="00300092" w:rsidRPr="007D4A8A" w:rsidRDefault="00300092" w:rsidP="00300092">
            <w:pPr>
              <w:pStyle w:val="BodyText"/>
              <w:rPr>
                <w:rFonts w:ascii="Arial Narrow" w:hAnsi="Arial Narrow"/>
                <w:sz w:val="18"/>
                <w:szCs w:val="18"/>
              </w:rPr>
            </w:pPr>
          </w:p>
        </w:tc>
        <w:tc>
          <w:tcPr>
            <w:tcW w:w="567" w:type="dxa"/>
          </w:tcPr>
          <w:p w:rsidR="00300092" w:rsidRPr="007D4A8A" w:rsidRDefault="00300092" w:rsidP="00300092">
            <w:pPr>
              <w:pStyle w:val="BodyText"/>
              <w:rPr>
                <w:rFonts w:ascii="Arial Narrow" w:hAnsi="Arial Narrow"/>
                <w:sz w:val="18"/>
                <w:szCs w:val="18"/>
              </w:rPr>
            </w:pPr>
          </w:p>
        </w:tc>
        <w:tc>
          <w:tcPr>
            <w:tcW w:w="567" w:type="dxa"/>
            <w:tcBorders>
              <w:left w:val="single" w:sz="8" w:space="0" w:color="4F81BD"/>
              <w:right w:val="single" w:sz="8" w:space="0" w:color="4F81BD"/>
            </w:tcBorders>
          </w:tcPr>
          <w:p w:rsidR="00300092" w:rsidRPr="007D4A8A" w:rsidRDefault="00300092" w:rsidP="00300092">
            <w:pPr>
              <w:pStyle w:val="BodyText"/>
              <w:rPr>
                <w:rFonts w:ascii="Arial Narrow" w:hAnsi="Arial Narrow"/>
                <w:sz w:val="18"/>
                <w:szCs w:val="18"/>
              </w:rPr>
            </w:pPr>
          </w:p>
        </w:tc>
        <w:tc>
          <w:tcPr>
            <w:tcW w:w="567" w:type="dxa"/>
          </w:tcPr>
          <w:p w:rsidR="00300092" w:rsidRPr="007D4A8A" w:rsidRDefault="00300092" w:rsidP="00300092">
            <w:pPr>
              <w:pStyle w:val="BodyText"/>
              <w:rPr>
                <w:rFonts w:ascii="Arial Narrow" w:hAnsi="Arial Narrow"/>
                <w:sz w:val="18"/>
                <w:szCs w:val="18"/>
              </w:rPr>
            </w:pPr>
          </w:p>
        </w:tc>
        <w:tc>
          <w:tcPr>
            <w:tcW w:w="567" w:type="dxa"/>
            <w:tcBorders>
              <w:left w:val="single" w:sz="8" w:space="0" w:color="4F81BD"/>
              <w:right w:val="single" w:sz="8" w:space="0" w:color="4F81BD"/>
            </w:tcBorders>
          </w:tcPr>
          <w:p w:rsidR="00300092" w:rsidRPr="007D4A8A" w:rsidRDefault="00300092" w:rsidP="00300092">
            <w:pPr>
              <w:pStyle w:val="BodyText"/>
              <w:rPr>
                <w:rFonts w:ascii="Arial Narrow" w:hAnsi="Arial Narrow"/>
                <w:sz w:val="18"/>
                <w:szCs w:val="18"/>
              </w:rPr>
            </w:pPr>
          </w:p>
        </w:tc>
        <w:tc>
          <w:tcPr>
            <w:tcW w:w="567" w:type="dxa"/>
          </w:tcPr>
          <w:p w:rsidR="00300092" w:rsidRPr="007D4A8A" w:rsidRDefault="00300092" w:rsidP="00300092">
            <w:pPr>
              <w:pStyle w:val="BodyText"/>
              <w:rPr>
                <w:rFonts w:ascii="Arial Narrow" w:hAnsi="Arial Narrow"/>
                <w:sz w:val="18"/>
                <w:szCs w:val="18"/>
              </w:rPr>
            </w:pPr>
          </w:p>
        </w:tc>
        <w:tc>
          <w:tcPr>
            <w:tcW w:w="567" w:type="dxa"/>
            <w:tcBorders>
              <w:left w:val="single" w:sz="8" w:space="0" w:color="4F81BD"/>
              <w:right w:val="single" w:sz="8" w:space="0" w:color="4F81BD"/>
            </w:tcBorders>
          </w:tcPr>
          <w:p w:rsidR="00300092" w:rsidRPr="007D4A8A" w:rsidRDefault="00300092" w:rsidP="00300092">
            <w:pPr>
              <w:pStyle w:val="BodyText"/>
              <w:rPr>
                <w:rFonts w:ascii="Arial Narrow" w:hAnsi="Arial Narrow"/>
                <w:sz w:val="18"/>
                <w:szCs w:val="18"/>
              </w:rPr>
            </w:pPr>
          </w:p>
        </w:tc>
        <w:tc>
          <w:tcPr>
            <w:tcW w:w="567" w:type="dxa"/>
          </w:tcPr>
          <w:p w:rsidR="00300092" w:rsidRPr="007D4A8A" w:rsidRDefault="00300092" w:rsidP="00300092">
            <w:pPr>
              <w:pStyle w:val="BodyText"/>
              <w:rPr>
                <w:rFonts w:ascii="Arial Narrow" w:hAnsi="Arial Narrow"/>
                <w:sz w:val="18"/>
                <w:szCs w:val="18"/>
              </w:rPr>
            </w:pPr>
          </w:p>
        </w:tc>
        <w:tc>
          <w:tcPr>
            <w:tcW w:w="567" w:type="dxa"/>
            <w:tcBorders>
              <w:left w:val="single" w:sz="8" w:space="0" w:color="4F81BD"/>
              <w:right w:val="single" w:sz="8" w:space="0" w:color="4F81BD"/>
            </w:tcBorders>
          </w:tcPr>
          <w:p w:rsidR="00300092" w:rsidRPr="007D4A8A" w:rsidRDefault="00300092" w:rsidP="00300092">
            <w:pPr>
              <w:pStyle w:val="BodyText"/>
              <w:rPr>
                <w:rFonts w:ascii="Arial Narrow" w:hAnsi="Arial Narrow"/>
                <w:sz w:val="18"/>
                <w:szCs w:val="18"/>
              </w:rPr>
            </w:pPr>
          </w:p>
        </w:tc>
        <w:tc>
          <w:tcPr>
            <w:tcW w:w="545" w:type="dxa"/>
          </w:tcPr>
          <w:p w:rsidR="00300092" w:rsidRPr="007D4A8A" w:rsidRDefault="00300092" w:rsidP="00300092">
            <w:pPr>
              <w:pStyle w:val="BodyText"/>
              <w:rPr>
                <w:rFonts w:ascii="Arial Narrow" w:hAnsi="Arial Narrow"/>
                <w:sz w:val="18"/>
                <w:szCs w:val="18"/>
              </w:rPr>
            </w:pPr>
          </w:p>
        </w:tc>
        <w:tc>
          <w:tcPr>
            <w:tcW w:w="659" w:type="dxa"/>
            <w:tcBorders>
              <w:left w:val="single" w:sz="8" w:space="0" w:color="4F81BD"/>
              <w:right w:val="single" w:sz="8" w:space="0" w:color="4F81BD"/>
            </w:tcBorders>
          </w:tcPr>
          <w:p w:rsidR="00300092" w:rsidRPr="007D4A8A" w:rsidRDefault="00300092" w:rsidP="00300092">
            <w:pPr>
              <w:pStyle w:val="BodyText"/>
              <w:rPr>
                <w:rFonts w:ascii="Arial Narrow" w:hAnsi="Arial Narrow"/>
                <w:sz w:val="18"/>
                <w:szCs w:val="18"/>
              </w:rPr>
            </w:pPr>
          </w:p>
        </w:tc>
        <w:tc>
          <w:tcPr>
            <w:tcW w:w="659" w:type="dxa"/>
          </w:tcPr>
          <w:p w:rsidR="00300092" w:rsidRPr="007D4A8A" w:rsidRDefault="00300092" w:rsidP="00300092">
            <w:pPr>
              <w:pStyle w:val="BodyText"/>
              <w:rPr>
                <w:rFonts w:ascii="Arial Narrow" w:hAnsi="Arial Narrow"/>
                <w:sz w:val="18"/>
                <w:szCs w:val="18"/>
              </w:rPr>
            </w:pPr>
          </w:p>
        </w:tc>
        <w:tc>
          <w:tcPr>
            <w:tcW w:w="629" w:type="dxa"/>
            <w:tcBorders>
              <w:left w:val="single" w:sz="8" w:space="0" w:color="4F81BD"/>
              <w:right w:val="single" w:sz="8" w:space="0" w:color="4F81BD"/>
            </w:tcBorders>
          </w:tcPr>
          <w:p w:rsidR="00300092" w:rsidRPr="007D4A8A" w:rsidRDefault="00300092" w:rsidP="00300092">
            <w:pPr>
              <w:pStyle w:val="BodyText"/>
              <w:rPr>
                <w:rFonts w:ascii="Arial Narrow" w:hAnsi="Arial Narrow"/>
                <w:sz w:val="18"/>
                <w:szCs w:val="18"/>
              </w:rPr>
            </w:pPr>
          </w:p>
        </w:tc>
        <w:tc>
          <w:tcPr>
            <w:tcW w:w="709" w:type="dxa"/>
          </w:tcPr>
          <w:p w:rsidR="00300092" w:rsidRPr="007D4A8A" w:rsidRDefault="00300092" w:rsidP="00300092">
            <w:pPr>
              <w:pStyle w:val="BodyText"/>
              <w:rPr>
                <w:rFonts w:ascii="Arial Narrow" w:hAnsi="Arial Narrow"/>
                <w:sz w:val="18"/>
                <w:szCs w:val="18"/>
              </w:rPr>
            </w:pPr>
          </w:p>
        </w:tc>
      </w:tr>
      <w:tr w:rsidR="00300092" w:rsidRPr="00FA3EF4" w:rsidTr="00300092">
        <w:trPr>
          <w:trHeight w:hRule="exact" w:val="397"/>
        </w:trPr>
        <w:tc>
          <w:tcPr>
            <w:tcW w:w="1015" w:type="dxa"/>
            <w:tcBorders>
              <w:top w:val="single" w:sz="8" w:space="0" w:color="4F81BD"/>
              <w:bottom w:val="single" w:sz="8" w:space="0" w:color="4F81BD"/>
            </w:tcBorders>
          </w:tcPr>
          <w:p w:rsidR="00300092" w:rsidRPr="007D4A8A" w:rsidRDefault="00300092" w:rsidP="00300092">
            <w:pPr>
              <w:pStyle w:val="BodyText"/>
              <w:rPr>
                <w:rFonts w:ascii="Arial Narrow" w:hAnsi="Arial Narrow"/>
                <w:b/>
                <w:bCs/>
                <w:sz w:val="18"/>
                <w:szCs w:val="18"/>
              </w:rPr>
            </w:pPr>
            <w:r w:rsidRPr="007D4A8A">
              <w:rPr>
                <w:rFonts w:ascii="Arial Narrow" w:hAnsi="Arial Narrow"/>
                <w:b/>
                <w:bCs/>
                <w:sz w:val="18"/>
                <w:szCs w:val="18"/>
              </w:rPr>
              <w:t>Light</w:t>
            </w:r>
          </w:p>
        </w:tc>
        <w:tc>
          <w:tcPr>
            <w:tcW w:w="568"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9.1</w:t>
            </w:r>
          </w:p>
        </w:tc>
        <w:tc>
          <w:tcPr>
            <w:tcW w:w="568" w:type="dxa"/>
            <w:tcBorders>
              <w:top w:val="single" w:sz="8" w:space="0" w:color="4F81BD"/>
              <w:bottom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6.8</w:t>
            </w:r>
          </w:p>
        </w:tc>
        <w:tc>
          <w:tcPr>
            <w:tcW w:w="568"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6.3</w:t>
            </w:r>
          </w:p>
        </w:tc>
        <w:tc>
          <w:tcPr>
            <w:tcW w:w="567" w:type="dxa"/>
            <w:tcBorders>
              <w:top w:val="single" w:sz="8" w:space="0" w:color="4F81BD"/>
              <w:bottom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5.4</w:t>
            </w:r>
          </w:p>
        </w:tc>
        <w:tc>
          <w:tcPr>
            <w:tcW w:w="567"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12.1</w:t>
            </w:r>
          </w:p>
        </w:tc>
        <w:tc>
          <w:tcPr>
            <w:tcW w:w="567" w:type="dxa"/>
            <w:tcBorders>
              <w:top w:val="single" w:sz="8" w:space="0" w:color="4F81BD"/>
              <w:bottom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8.6</w:t>
            </w:r>
          </w:p>
        </w:tc>
        <w:tc>
          <w:tcPr>
            <w:tcW w:w="567"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8.0</w:t>
            </w:r>
          </w:p>
        </w:tc>
        <w:tc>
          <w:tcPr>
            <w:tcW w:w="567" w:type="dxa"/>
            <w:tcBorders>
              <w:top w:val="single" w:sz="8" w:space="0" w:color="4F81BD"/>
              <w:bottom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5.5</w:t>
            </w:r>
          </w:p>
        </w:tc>
        <w:tc>
          <w:tcPr>
            <w:tcW w:w="567"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7.7</w:t>
            </w:r>
          </w:p>
        </w:tc>
        <w:tc>
          <w:tcPr>
            <w:tcW w:w="567" w:type="dxa"/>
            <w:tcBorders>
              <w:top w:val="single" w:sz="8" w:space="0" w:color="4F81BD"/>
              <w:bottom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6.3</w:t>
            </w:r>
          </w:p>
        </w:tc>
        <w:tc>
          <w:tcPr>
            <w:tcW w:w="567"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6.5</w:t>
            </w:r>
          </w:p>
        </w:tc>
        <w:tc>
          <w:tcPr>
            <w:tcW w:w="567" w:type="dxa"/>
            <w:tcBorders>
              <w:top w:val="single" w:sz="8" w:space="0" w:color="4F81BD"/>
              <w:bottom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5.6</w:t>
            </w:r>
          </w:p>
        </w:tc>
        <w:tc>
          <w:tcPr>
            <w:tcW w:w="567"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12.8</w:t>
            </w:r>
          </w:p>
        </w:tc>
        <w:tc>
          <w:tcPr>
            <w:tcW w:w="567" w:type="dxa"/>
            <w:tcBorders>
              <w:top w:val="single" w:sz="8" w:space="0" w:color="4F81BD"/>
              <w:bottom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8.6</w:t>
            </w:r>
          </w:p>
        </w:tc>
        <w:tc>
          <w:tcPr>
            <w:tcW w:w="567"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9.5</w:t>
            </w:r>
          </w:p>
        </w:tc>
        <w:tc>
          <w:tcPr>
            <w:tcW w:w="545" w:type="dxa"/>
            <w:tcBorders>
              <w:top w:val="single" w:sz="8" w:space="0" w:color="4F81BD"/>
              <w:bottom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7.1</w:t>
            </w:r>
          </w:p>
        </w:tc>
        <w:tc>
          <w:tcPr>
            <w:tcW w:w="659"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36.7</w:t>
            </w:r>
          </w:p>
        </w:tc>
        <w:tc>
          <w:tcPr>
            <w:tcW w:w="659" w:type="dxa"/>
            <w:tcBorders>
              <w:top w:val="single" w:sz="8" w:space="0" w:color="4F81BD"/>
              <w:bottom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23.3</w:t>
            </w:r>
          </w:p>
        </w:tc>
        <w:tc>
          <w:tcPr>
            <w:tcW w:w="629"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6.6</w:t>
            </w:r>
          </w:p>
        </w:tc>
        <w:tc>
          <w:tcPr>
            <w:tcW w:w="709" w:type="dxa"/>
            <w:tcBorders>
              <w:top w:val="single" w:sz="8" w:space="0" w:color="4F81BD"/>
              <w:bottom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5.7</w:t>
            </w:r>
          </w:p>
        </w:tc>
      </w:tr>
      <w:tr w:rsidR="00300092" w:rsidRPr="00FA3EF4" w:rsidTr="00300092">
        <w:trPr>
          <w:trHeight w:hRule="exact" w:val="397"/>
        </w:trPr>
        <w:tc>
          <w:tcPr>
            <w:tcW w:w="1015" w:type="dxa"/>
          </w:tcPr>
          <w:p w:rsidR="00300092" w:rsidRPr="007D4A8A" w:rsidRDefault="00300092" w:rsidP="00300092">
            <w:pPr>
              <w:pStyle w:val="BodyText"/>
              <w:rPr>
                <w:rFonts w:ascii="Arial Narrow" w:hAnsi="Arial Narrow"/>
                <w:b/>
                <w:bCs/>
                <w:sz w:val="18"/>
                <w:szCs w:val="18"/>
              </w:rPr>
            </w:pPr>
            <w:r w:rsidRPr="007D4A8A">
              <w:rPr>
                <w:rFonts w:ascii="Arial Narrow" w:hAnsi="Arial Narrow"/>
                <w:b/>
                <w:bCs/>
                <w:sz w:val="18"/>
                <w:szCs w:val="18"/>
              </w:rPr>
              <w:t>Medium</w:t>
            </w:r>
          </w:p>
        </w:tc>
        <w:tc>
          <w:tcPr>
            <w:tcW w:w="568" w:type="dxa"/>
            <w:tcBorders>
              <w:left w:val="single" w:sz="8" w:space="0" w:color="4F81BD"/>
              <w:right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10.2</w:t>
            </w:r>
          </w:p>
        </w:tc>
        <w:tc>
          <w:tcPr>
            <w:tcW w:w="568" w:type="dxa"/>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7.6</w:t>
            </w:r>
          </w:p>
        </w:tc>
        <w:tc>
          <w:tcPr>
            <w:tcW w:w="568" w:type="dxa"/>
            <w:tcBorders>
              <w:left w:val="single" w:sz="8" w:space="0" w:color="4F81BD"/>
              <w:right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7.1</w:t>
            </w:r>
          </w:p>
        </w:tc>
        <w:tc>
          <w:tcPr>
            <w:tcW w:w="567" w:type="dxa"/>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6.1</w:t>
            </w:r>
          </w:p>
        </w:tc>
        <w:tc>
          <w:tcPr>
            <w:tcW w:w="567" w:type="dxa"/>
            <w:tcBorders>
              <w:left w:val="single" w:sz="8" w:space="0" w:color="4F81BD"/>
              <w:right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13.6</w:t>
            </w:r>
          </w:p>
        </w:tc>
        <w:tc>
          <w:tcPr>
            <w:tcW w:w="567" w:type="dxa"/>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9.6</w:t>
            </w:r>
          </w:p>
        </w:tc>
        <w:tc>
          <w:tcPr>
            <w:tcW w:w="567" w:type="dxa"/>
            <w:tcBorders>
              <w:left w:val="single" w:sz="8" w:space="0" w:color="4F81BD"/>
              <w:right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9.0</w:t>
            </w:r>
          </w:p>
        </w:tc>
        <w:tc>
          <w:tcPr>
            <w:tcW w:w="567" w:type="dxa"/>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6.2</w:t>
            </w:r>
          </w:p>
        </w:tc>
        <w:tc>
          <w:tcPr>
            <w:tcW w:w="567" w:type="dxa"/>
            <w:tcBorders>
              <w:left w:val="single" w:sz="8" w:space="0" w:color="4F81BD"/>
              <w:right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8.6</w:t>
            </w:r>
          </w:p>
        </w:tc>
        <w:tc>
          <w:tcPr>
            <w:tcW w:w="567" w:type="dxa"/>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7.1</w:t>
            </w:r>
          </w:p>
        </w:tc>
        <w:tc>
          <w:tcPr>
            <w:tcW w:w="567" w:type="dxa"/>
            <w:tcBorders>
              <w:left w:val="single" w:sz="8" w:space="0" w:color="4F81BD"/>
              <w:right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7.3</w:t>
            </w:r>
          </w:p>
        </w:tc>
        <w:tc>
          <w:tcPr>
            <w:tcW w:w="567" w:type="dxa"/>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6.3</w:t>
            </w:r>
          </w:p>
        </w:tc>
        <w:tc>
          <w:tcPr>
            <w:tcW w:w="567" w:type="dxa"/>
            <w:tcBorders>
              <w:left w:val="single" w:sz="8" w:space="0" w:color="4F81BD"/>
              <w:right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14.3</w:t>
            </w:r>
          </w:p>
        </w:tc>
        <w:tc>
          <w:tcPr>
            <w:tcW w:w="567" w:type="dxa"/>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9.6</w:t>
            </w:r>
          </w:p>
        </w:tc>
        <w:tc>
          <w:tcPr>
            <w:tcW w:w="567" w:type="dxa"/>
            <w:tcBorders>
              <w:left w:val="single" w:sz="8" w:space="0" w:color="4F81BD"/>
              <w:right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10.6</w:t>
            </w:r>
          </w:p>
        </w:tc>
        <w:tc>
          <w:tcPr>
            <w:tcW w:w="545" w:type="dxa"/>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7.9</w:t>
            </w:r>
          </w:p>
        </w:tc>
        <w:tc>
          <w:tcPr>
            <w:tcW w:w="659" w:type="dxa"/>
            <w:tcBorders>
              <w:left w:val="single" w:sz="8" w:space="0" w:color="4F81BD"/>
              <w:right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41.1</w:t>
            </w:r>
          </w:p>
        </w:tc>
        <w:tc>
          <w:tcPr>
            <w:tcW w:w="659" w:type="dxa"/>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26.1</w:t>
            </w:r>
          </w:p>
        </w:tc>
        <w:tc>
          <w:tcPr>
            <w:tcW w:w="629" w:type="dxa"/>
            <w:tcBorders>
              <w:left w:val="single" w:sz="8" w:space="0" w:color="4F81BD"/>
              <w:right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7.4</w:t>
            </w:r>
          </w:p>
        </w:tc>
        <w:tc>
          <w:tcPr>
            <w:tcW w:w="709" w:type="dxa"/>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6.4</w:t>
            </w:r>
          </w:p>
        </w:tc>
      </w:tr>
      <w:tr w:rsidR="00300092" w:rsidRPr="00FA3EF4" w:rsidTr="00300092">
        <w:trPr>
          <w:trHeight w:hRule="exact" w:val="397"/>
        </w:trPr>
        <w:tc>
          <w:tcPr>
            <w:tcW w:w="1015" w:type="dxa"/>
            <w:tcBorders>
              <w:top w:val="single" w:sz="8" w:space="0" w:color="4F81BD"/>
              <w:bottom w:val="single" w:sz="8" w:space="0" w:color="4F81BD"/>
            </w:tcBorders>
          </w:tcPr>
          <w:p w:rsidR="00300092" w:rsidRPr="007D4A8A" w:rsidRDefault="00300092" w:rsidP="00300092">
            <w:pPr>
              <w:pStyle w:val="BodyText"/>
              <w:rPr>
                <w:rFonts w:ascii="Arial Narrow" w:hAnsi="Arial Narrow"/>
                <w:b/>
                <w:bCs/>
                <w:sz w:val="18"/>
                <w:szCs w:val="18"/>
              </w:rPr>
            </w:pPr>
            <w:r w:rsidRPr="007D4A8A">
              <w:rPr>
                <w:rFonts w:ascii="Arial Narrow" w:hAnsi="Arial Narrow"/>
                <w:b/>
                <w:bCs/>
                <w:sz w:val="18"/>
                <w:szCs w:val="18"/>
              </w:rPr>
              <w:t>Heavy</w:t>
            </w:r>
          </w:p>
        </w:tc>
        <w:tc>
          <w:tcPr>
            <w:tcW w:w="568"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14.0</w:t>
            </w:r>
          </w:p>
        </w:tc>
        <w:tc>
          <w:tcPr>
            <w:tcW w:w="568" w:type="dxa"/>
            <w:tcBorders>
              <w:top w:val="single" w:sz="8" w:space="0" w:color="4F81BD"/>
              <w:bottom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10.4</w:t>
            </w:r>
          </w:p>
        </w:tc>
        <w:tc>
          <w:tcPr>
            <w:tcW w:w="568"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9.7</w:t>
            </w:r>
          </w:p>
        </w:tc>
        <w:tc>
          <w:tcPr>
            <w:tcW w:w="567" w:type="dxa"/>
            <w:tcBorders>
              <w:top w:val="single" w:sz="8" w:space="0" w:color="4F81BD"/>
              <w:bottom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8.3</w:t>
            </w:r>
          </w:p>
        </w:tc>
        <w:tc>
          <w:tcPr>
            <w:tcW w:w="567"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18.6</w:t>
            </w:r>
          </w:p>
        </w:tc>
        <w:tc>
          <w:tcPr>
            <w:tcW w:w="567" w:type="dxa"/>
            <w:tcBorders>
              <w:top w:val="single" w:sz="8" w:space="0" w:color="4F81BD"/>
              <w:bottom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13.2</w:t>
            </w:r>
          </w:p>
        </w:tc>
        <w:tc>
          <w:tcPr>
            <w:tcW w:w="567"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12.3</w:t>
            </w:r>
          </w:p>
        </w:tc>
        <w:tc>
          <w:tcPr>
            <w:tcW w:w="567" w:type="dxa"/>
            <w:tcBorders>
              <w:top w:val="single" w:sz="8" w:space="0" w:color="4F81BD"/>
              <w:bottom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8.5</w:t>
            </w:r>
          </w:p>
        </w:tc>
        <w:tc>
          <w:tcPr>
            <w:tcW w:w="567"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11.8</w:t>
            </w:r>
          </w:p>
        </w:tc>
        <w:tc>
          <w:tcPr>
            <w:tcW w:w="567" w:type="dxa"/>
            <w:tcBorders>
              <w:top w:val="single" w:sz="8" w:space="0" w:color="4F81BD"/>
              <w:bottom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9.7</w:t>
            </w:r>
          </w:p>
        </w:tc>
        <w:tc>
          <w:tcPr>
            <w:tcW w:w="567"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10.0</w:t>
            </w:r>
          </w:p>
        </w:tc>
        <w:tc>
          <w:tcPr>
            <w:tcW w:w="567" w:type="dxa"/>
            <w:tcBorders>
              <w:top w:val="single" w:sz="8" w:space="0" w:color="4F81BD"/>
              <w:bottom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8.6</w:t>
            </w:r>
          </w:p>
        </w:tc>
        <w:tc>
          <w:tcPr>
            <w:tcW w:w="567"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19.6</w:t>
            </w:r>
          </w:p>
        </w:tc>
        <w:tc>
          <w:tcPr>
            <w:tcW w:w="567" w:type="dxa"/>
            <w:tcBorders>
              <w:top w:val="single" w:sz="8" w:space="0" w:color="4F81BD"/>
              <w:bottom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13.2</w:t>
            </w:r>
          </w:p>
        </w:tc>
        <w:tc>
          <w:tcPr>
            <w:tcW w:w="567"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14.5</w:t>
            </w:r>
          </w:p>
        </w:tc>
        <w:tc>
          <w:tcPr>
            <w:tcW w:w="545" w:type="dxa"/>
            <w:tcBorders>
              <w:top w:val="single" w:sz="8" w:space="0" w:color="4F81BD"/>
              <w:bottom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10.8</w:t>
            </w:r>
          </w:p>
        </w:tc>
        <w:tc>
          <w:tcPr>
            <w:tcW w:w="659"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56.3</w:t>
            </w:r>
          </w:p>
        </w:tc>
        <w:tc>
          <w:tcPr>
            <w:tcW w:w="659" w:type="dxa"/>
            <w:tcBorders>
              <w:top w:val="single" w:sz="8" w:space="0" w:color="4F81BD"/>
              <w:bottom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35.7</w:t>
            </w:r>
          </w:p>
        </w:tc>
        <w:tc>
          <w:tcPr>
            <w:tcW w:w="629"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10.1</w:t>
            </w:r>
          </w:p>
        </w:tc>
        <w:tc>
          <w:tcPr>
            <w:tcW w:w="709" w:type="dxa"/>
            <w:tcBorders>
              <w:top w:val="single" w:sz="8" w:space="0" w:color="4F81BD"/>
              <w:bottom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8.7</w:t>
            </w:r>
          </w:p>
        </w:tc>
      </w:tr>
      <w:tr w:rsidR="00300092" w:rsidRPr="00FA3EF4" w:rsidTr="00300092">
        <w:trPr>
          <w:trHeight w:hRule="exact" w:val="397"/>
        </w:trPr>
        <w:tc>
          <w:tcPr>
            <w:tcW w:w="1015" w:type="dxa"/>
          </w:tcPr>
          <w:p w:rsidR="00300092" w:rsidRPr="007D4A8A" w:rsidRDefault="00300092" w:rsidP="00300092">
            <w:pPr>
              <w:pStyle w:val="BodyText"/>
              <w:rPr>
                <w:rFonts w:ascii="Arial Narrow" w:hAnsi="Arial Narrow"/>
                <w:b/>
                <w:bCs/>
                <w:sz w:val="18"/>
                <w:szCs w:val="18"/>
              </w:rPr>
            </w:pPr>
            <w:r w:rsidRPr="007D4A8A">
              <w:rPr>
                <w:rFonts w:ascii="Arial Narrow" w:hAnsi="Arial Narrow"/>
                <w:bCs/>
                <w:sz w:val="18"/>
                <w:szCs w:val="18"/>
              </w:rPr>
              <w:t>LCVs</w:t>
            </w:r>
          </w:p>
        </w:tc>
        <w:tc>
          <w:tcPr>
            <w:tcW w:w="568" w:type="dxa"/>
            <w:tcBorders>
              <w:left w:val="single" w:sz="8" w:space="0" w:color="4F81BD"/>
              <w:right w:val="single" w:sz="8" w:space="0" w:color="4F81BD"/>
            </w:tcBorders>
          </w:tcPr>
          <w:p w:rsidR="00300092" w:rsidRPr="007D4A8A" w:rsidRDefault="00300092" w:rsidP="00300092">
            <w:pPr>
              <w:pStyle w:val="BodyText"/>
              <w:rPr>
                <w:rFonts w:ascii="Arial Narrow" w:hAnsi="Arial Narrow"/>
                <w:sz w:val="18"/>
                <w:szCs w:val="18"/>
              </w:rPr>
            </w:pPr>
          </w:p>
        </w:tc>
        <w:tc>
          <w:tcPr>
            <w:tcW w:w="568" w:type="dxa"/>
          </w:tcPr>
          <w:p w:rsidR="00300092" w:rsidRPr="007D4A8A" w:rsidRDefault="00300092" w:rsidP="00300092">
            <w:pPr>
              <w:pStyle w:val="BodyText"/>
              <w:rPr>
                <w:rFonts w:ascii="Arial Narrow" w:hAnsi="Arial Narrow"/>
                <w:sz w:val="18"/>
                <w:szCs w:val="18"/>
              </w:rPr>
            </w:pPr>
          </w:p>
        </w:tc>
        <w:tc>
          <w:tcPr>
            <w:tcW w:w="568" w:type="dxa"/>
            <w:tcBorders>
              <w:left w:val="single" w:sz="8" w:space="0" w:color="4F81BD"/>
              <w:right w:val="single" w:sz="8" w:space="0" w:color="4F81BD"/>
            </w:tcBorders>
          </w:tcPr>
          <w:p w:rsidR="00300092" w:rsidRPr="007D4A8A" w:rsidRDefault="00300092" w:rsidP="00300092">
            <w:pPr>
              <w:pStyle w:val="BodyText"/>
              <w:rPr>
                <w:rFonts w:ascii="Arial Narrow" w:hAnsi="Arial Narrow"/>
                <w:sz w:val="18"/>
                <w:szCs w:val="18"/>
              </w:rPr>
            </w:pPr>
          </w:p>
        </w:tc>
        <w:tc>
          <w:tcPr>
            <w:tcW w:w="567" w:type="dxa"/>
          </w:tcPr>
          <w:p w:rsidR="00300092" w:rsidRPr="007D4A8A" w:rsidRDefault="00300092" w:rsidP="00300092">
            <w:pPr>
              <w:pStyle w:val="BodyText"/>
              <w:rPr>
                <w:rFonts w:ascii="Arial Narrow" w:hAnsi="Arial Narrow"/>
                <w:sz w:val="18"/>
                <w:szCs w:val="18"/>
              </w:rPr>
            </w:pPr>
          </w:p>
        </w:tc>
        <w:tc>
          <w:tcPr>
            <w:tcW w:w="567" w:type="dxa"/>
            <w:tcBorders>
              <w:left w:val="single" w:sz="8" w:space="0" w:color="4F81BD"/>
              <w:right w:val="single" w:sz="8" w:space="0" w:color="4F81BD"/>
            </w:tcBorders>
          </w:tcPr>
          <w:p w:rsidR="00300092" w:rsidRPr="007D4A8A" w:rsidRDefault="00300092" w:rsidP="00300092">
            <w:pPr>
              <w:pStyle w:val="BodyText"/>
              <w:rPr>
                <w:rFonts w:ascii="Arial Narrow" w:hAnsi="Arial Narrow"/>
                <w:sz w:val="18"/>
                <w:szCs w:val="18"/>
              </w:rPr>
            </w:pPr>
          </w:p>
        </w:tc>
        <w:tc>
          <w:tcPr>
            <w:tcW w:w="567" w:type="dxa"/>
          </w:tcPr>
          <w:p w:rsidR="00300092" w:rsidRPr="007D4A8A" w:rsidRDefault="00300092" w:rsidP="00300092">
            <w:pPr>
              <w:pStyle w:val="BodyText"/>
              <w:rPr>
                <w:rFonts w:ascii="Arial Narrow" w:hAnsi="Arial Narrow"/>
                <w:sz w:val="18"/>
                <w:szCs w:val="18"/>
              </w:rPr>
            </w:pPr>
          </w:p>
        </w:tc>
        <w:tc>
          <w:tcPr>
            <w:tcW w:w="567" w:type="dxa"/>
            <w:tcBorders>
              <w:left w:val="single" w:sz="8" w:space="0" w:color="4F81BD"/>
              <w:right w:val="single" w:sz="8" w:space="0" w:color="4F81BD"/>
            </w:tcBorders>
          </w:tcPr>
          <w:p w:rsidR="00300092" w:rsidRPr="007D4A8A" w:rsidRDefault="00300092" w:rsidP="00300092">
            <w:pPr>
              <w:pStyle w:val="BodyText"/>
              <w:rPr>
                <w:rFonts w:ascii="Arial Narrow" w:hAnsi="Arial Narrow"/>
                <w:sz w:val="18"/>
                <w:szCs w:val="18"/>
              </w:rPr>
            </w:pPr>
          </w:p>
        </w:tc>
        <w:tc>
          <w:tcPr>
            <w:tcW w:w="567" w:type="dxa"/>
          </w:tcPr>
          <w:p w:rsidR="00300092" w:rsidRPr="007D4A8A" w:rsidRDefault="00300092" w:rsidP="00300092">
            <w:pPr>
              <w:pStyle w:val="BodyText"/>
              <w:rPr>
                <w:rFonts w:ascii="Arial Narrow" w:hAnsi="Arial Narrow"/>
                <w:sz w:val="18"/>
                <w:szCs w:val="18"/>
              </w:rPr>
            </w:pPr>
          </w:p>
        </w:tc>
        <w:tc>
          <w:tcPr>
            <w:tcW w:w="567" w:type="dxa"/>
            <w:tcBorders>
              <w:left w:val="single" w:sz="8" w:space="0" w:color="4F81BD"/>
              <w:right w:val="single" w:sz="8" w:space="0" w:color="4F81BD"/>
            </w:tcBorders>
          </w:tcPr>
          <w:p w:rsidR="00300092" w:rsidRPr="007D4A8A" w:rsidRDefault="00300092" w:rsidP="00300092">
            <w:pPr>
              <w:pStyle w:val="BodyText"/>
              <w:rPr>
                <w:rFonts w:ascii="Arial Narrow" w:hAnsi="Arial Narrow"/>
                <w:sz w:val="18"/>
                <w:szCs w:val="18"/>
              </w:rPr>
            </w:pPr>
          </w:p>
        </w:tc>
        <w:tc>
          <w:tcPr>
            <w:tcW w:w="567" w:type="dxa"/>
          </w:tcPr>
          <w:p w:rsidR="00300092" w:rsidRPr="007D4A8A" w:rsidRDefault="00300092" w:rsidP="00300092">
            <w:pPr>
              <w:pStyle w:val="BodyText"/>
              <w:rPr>
                <w:rFonts w:ascii="Arial Narrow" w:hAnsi="Arial Narrow"/>
                <w:sz w:val="18"/>
                <w:szCs w:val="18"/>
              </w:rPr>
            </w:pPr>
          </w:p>
        </w:tc>
        <w:tc>
          <w:tcPr>
            <w:tcW w:w="567" w:type="dxa"/>
            <w:tcBorders>
              <w:left w:val="single" w:sz="8" w:space="0" w:color="4F81BD"/>
              <w:right w:val="single" w:sz="8" w:space="0" w:color="4F81BD"/>
            </w:tcBorders>
          </w:tcPr>
          <w:p w:rsidR="00300092" w:rsidRPr="007D4A8A" w:rsidRDefault="00300092" w:rsidP="00300092">
            <w:pPr>
              <w:pStyle w:val="BodyText"/>
              <w:rPr>
                <w:rFonts w:ascii="Arial Narrow" w:hAnsi="Arial Narrow"/>
                <w:sz w:val="18"/>
                <w:szCs w:val="18"/>
              </w:rPr>
            </w:pPr>
          </w:p>
        </w:tc>
        <w:tc>
          <w:tcPr>
            <w:tcW w:w="567" w:type="dxa"/>
          </w:tcPr>
          <w:p w:rsidR="00300092" w:rsidRPr="007D4A8A" w:rsidRDefault="00300092" w:rsidP="00300092">
            <w:pPr>
              <w:pStyle w:val="BodyText"/>
              <w:rPr>
                <w:rFonts w:ascii="Arial Narrow" w:hAnsi="Arial Narrow"/>
                <w:sz w:val="18"/>
                <w:szCs w:val="18"/>
              </w:rPr>
            </w:pPr>
          </w:p>
        </w:tc>
        <w:tc>
          <w:tcPr>
            <w:tcW w:w="567" w:type="dxa"/>
            <w:tcBorders>
              <w:left w:val="single" w:sz="8" w:space="0" w:color="4F81BD"/>
              <w:right w:val="single" w:sz="8" w:space="0" w:color="4F81BD"/>
            </w:tcBorders>
          </w:tcPr>
          <w:p w:rsidR="00300092" w:rsidRPr="007D4A8A" w:rsidRDefault="00300092" w:rsidP="00300092">
            <w:pPr>
              <w:pStyle w:val="BodyText"/>
              <w:rPr>
                <w:rFonts w:ascii="Arial Narrow" w:hAnsi="Arial Narrow"/>
                <w:sz w:val="18"/>
                <w:szCs w:val="18"/>
              </w:rPr>
            </w:pPr>
          </w:p>
        </w:tc>
        <w:tc>
          <w:tcPr>
            <w:tcW w:w="567" w:type="dxa"/>
          </w:tcPr>
          <w:p w:rsidR="00300092" w:rsidRPr="007D4A8A" w:rsidRDefault="00300092" w:rsidP="00300092">
            <w:pPr>
              <w:pStyle w:val="BodyText"/>
              <w:rPr>
                <w:rFonts w:ascii="Arial Narrow" w:hAnsi="Arial Narrow"/>
                <w:sz w:val="18"/>
                <w:szCs w:val="18"/>
              </w:rPr>
            </w:pPr>
          </w:p>
        </w:tc>
        <w:tc>
          <w:tcPr>
            <w:tcW w:w="567" w:type="dxa"/>
            <w:tcBorders>
              <w:left w:val="single" w:sz="8" w:space="0" w:color="4F81BD"/>
              <w:right w:val="single" w:sz="8" w:space="0" w:color="4F81BD"/>
            </w:tcBorders>
          </w:tcPr>
          <w:p w:rsidR="00300092" w:rsidRPr="007D4A8A" w:rsidRDefault="00300092" w:rsidP="00300092">
            <w:pPr>
              <w:pStyle w:val="BodyText"/>
              <w:rPr>
                <w:rFonts w:ascii="Arial Narrow" w:hAnsi="Arial Narrow"/>
                <w:sz w:val="18"/>
                <w:szCs w:val="18"/>
              </w:rPr>
            </w:pPr>
          </w:p>
        </w:tc>
        <w:tc>
          <w:tcPr>
            <w:tcW w:w="545" w:type="dxa"/>
          </w:tcPr>
          <w:p w:rsidR="00300092" w:rsidRPr="007D4A8A" w:rsidRDefault="00300092" w:rsidP="00300092">
            <w:pPr>
              <w:pStyle w:val="BodyText"/>
              <w:rPr>
                <w:rFonts w:ascii="Arial Narrow" w:hAnsi="Arial Narrow"/>
                <w:sz w:val="18"/>
                <w:szCs w:val="18"/>
              </w:rPr>
            </w:pPr>
          </w:p>
        </w:tc>
        <w:tc>
          <w:tcPr>
            <w:tcW w:w="659" w:type="dxa"/>
            <w:tcBorders>
              <w:left w:val="single" w:sz="8" w:space="0" w:color="4F81BD"/>
              <w:right w:val="single" w:sz="8" w:space="0" w:color="4F81BD"/>
            </w:tcBorders>
          </w:tcPr>
          <w:p w:rsidR="00300092" w:rsidRPr="007D4A8A" w:rsidRDefault="00300092" w:rsidP="00300092">
            <w:pPr>
              <w:pStyle w:val="BodyText"/>
              <w:rPr>
                <w:rFonts w:ascii="Arial Narrow" w:hAnsi="Arial Narrow"/>
                <w:sz w:val="18"/>
                <w:szCs w:val="18"/>
              </w:rPr>
            </w:pPr>
          </w:p>
        </w:tc>
        <w:tc>
          <w:tcPr>
            <w:tcW w:w="659" w:type="dxa"/>
          </w:tcPr>
          <w:p w:rsidR="00300092" w:rsidRPr="007D4A8A" w:rsidRDefault="00300092" w:rsidP="00300092">
            <w:pPr>
              <w:pStyle w:val="BodyText"/>
              <w:rPr>
                <w:rFonts w:ascii="Arial Narrow" w:hAnsi="Arial Narrow"/>
                <w:sz w:val="18"/>
                <w:szCs w:val="18"/>
              </w:rPr>
            </w:pPr>
          </w:p>
        </w:tc>
        <w:tc>
          <w:tcPr>
            <w:tcW w:w="629" w:type="dxa"/>
            <w:tcBorders>
              <w:left w:val="single" w:sz="8" w:space="0" w:color="4F81BD"/>
              <w:right w:val="single" w:sz="8" w:space="0" w:color="4F81BD"/>
            </w:tcBorders>
          </w:tcPr>
          <w:p w:rsidR="00300092" w:rsidRPr="007D4A8A" w:rsidRDefault="00300092" w:rsidP="00300092">
            <w:pPr>
              <w:pStyle w:val="BodyText"/>
              <w:rPr>
                <w:rFonts w:ascii="Arial Narrow" w:hAnsi="Arial Narrow"/>
                <w:sz w:val="18"/>
                <w:szCs w:val="18"/>
              </w:rPr>
            </w:pPr>
          </w:p>
        </w:tc>
        <w:tc>
          <w:tcPr>
            <w:tcW w:w="709" w:type="dxa"/>
          </w:tcPr>
          <w:p w:rsidR="00300092" w:rsidRPr="007D4A8A" w:rsidRDefault="00300092" w:rsidP="00300092">
            <w:pPr>
              <w:pStyle w:val="BodyText"/>
              <w:rPr>
                <w:rFonts w:ascii="Arial Narrow" w:hAnsi="Arial Narrow"/>
                <w:sz w:val="18"/>
                <w:szCs w:val="18"/>
              </w:rPr>
            </w:pPr>
          </w:p>
        </w:tc>
      </w:tr>
      <w:tr w:rsidR="00300092" w:rsidRPr="00FA3EF4" w:rsidTr="00300092">
        <w:trPr>
          <w:trHeight w:hRule="exact" w:val="397"/>
        </w:trPr>
        <w:tc>
          <w:tcPr>
            <w:tcW w:w="1015" w:type="dxa"/>
            <w:tcBorders>
              <w:top w:val="single" w:sz="8" w:space="0" w:color="4F81BD"/>
              <w:bottom w:val="single" w:sz="8" w:space="0" w:color="4F81BD"/>
            </w:tcBorders>
          </w:tcPr>
          <w:p w:rsidR="00300092" w:rsidRPr="007D4A8A" w:rsidRDefault="00300092" w:rsidP="00300092">
            <w:pPr>
              <w:pStyle w:val="BodyText"/>
              <w:rPr>
                <w:rFonts w:ascii="Arial Narrow" w:hAnsi="Arial Narrow"/>
                <w:b/>
                <w:bCs/>
                <w:sz w:val="18"/>
                <w:szCs w:val="18"/>
              </w:rPr>
            </w:pPr>
            <w:r w:rsidRPr="007D4A8A">
              <w:rPr>
                <w:rFonts w:ascii="Arial Narrow" w:hAnsi="Arial Narrow"/>
                <w:b/>
                <w:bCs/>
                <w:sz w:val="18"/>
                <w:szCs w:val="18"/>
              </w:rPr>
              <w:t>Light</w:t>
            </w:r>
          </w:p>
        </w:tc>
        <w:tc>
          <w:tcPr>
            <w:tcW w:w="568"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10.4</w:t>
            </w:r>
          </w:p>
        </w:tc>
        <w:tc>
          <w:tcPr>
            <w:tcW w:w="568" w:type="dxa"/>
            <w:tcBorders>
              <w:top w:val="single" w:sz="8" w:space="0" w:color="4F81BD"/>
              <w:bottom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7.8</w:t>
            </w:r>
          </w:p>
        </w:tc>
        <w:tc>
          <w:tcPr>
            <w:tcW w:w="568"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7.2</w:t>
            </w:r>
          </w:p>
        </w:tc>
        <w:tc>
          <w:tcPr>
            <w:tcW w:w="567" w:type="dxa"/>
            <w:tcBorders>
              <w:top w:val="single" w:sz="8" w:space="0" w:color="4F81BD"/>
              <w:bottom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6.2</w:t>
            </w:r>
          </w:p>
        </w:tc>
        <w:tc>
          <w:tcPr>
            <w:tcW w:w="567"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13.8</w:t>
            </w:r>
          </w:p>
        </w:tc>
        <w:tc>
          <w:tcPr>
            <w:tcW w:w="567" w:type="dxa"/>
            <w:tcBorders>
              <w:top w:val="single" w:sz="8" w:space="0" w:color="4F81BD"/>
              <w:bottom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9.8</w:t>
            </w:r>
          </w:p>
        </w:tc>
        <w:tc>
          <w:tcPr>
            <w:tcW w:w="567"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9.2</w:t>
            </w:r>
          </w:p>
        </w:tc>
        <w:tc>
          <w:tcPr>
            <w:tcW w:w="567" w:type="dxa"/>
            <w:tcBorders>
              <w:top w:val="single" w:sz="8" w:space="0" w:color="4F81BD"/>
              <w:bottom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6.3</w:t>
            </w:r>
          </w:p>
        </w:tc>
        <w:tc>
          <w:tcPr>
            <w:tcW w:w="567"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8.8</w:t>
            </w:r>
          </w:p>
        </w:tc>
        <w:tc>
          <w:tcPr>
            <w:tcW w:w="567" w:type="dxa"/>
            <w:tcBorders>
              <w:top w:val="single" w:sz="8" w:space="0" w:color="4F81BD"/>
              <w:bottom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7.2</w:t>
            </w:r>
          </w:p>
        </w:tc>
        <w:tc>
          <w:tcPr>
            <w:tcW w:w="567"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7.4</w:t>
            </w:r>
          </w:p>
        </w:tc>
        <w:tc>
          <w:tcPr>
            <w:tcW w:w="567" w:type="dxa"/>
            <w:tcBorders>
              <w:top w:val="single" w:sz="8" w:space="0" w:color="4F81BD"/>
              <w:bottom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6.4</w:t>
            </w:r>
          </w:p>
        </w:tc>
        <w:tc>
          <w:tcPr>
            <w:tcW w:w="567"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14.6</w:t>
            </w:r>
          </w:p>
        </w:tc>
        <w:tc>
          <w:tcPr>
            <w:tcW w:w="567" w:type="dxa"/>
            <w:tcBorders>
              <w:top w:val="single" w:sz="8" w:space="0" w:color="4F81BD"/>
              <w:bottom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9.8</w:t>
            </w:r>
          </w:p>
        </w:tc>
        <w:tc>
          <w:tcPr>
            <w:tcW w:w="567"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10.8</w:t>
            </w:r>
          </w:p>
        </w:tc>
        <w:tc>
          <w:tcPr>
            <w:tcW w:w="545" w:type="dxa"/>
            <w:tcBorders>
              <w:top w:val="single" w:sz="8" w:space="0" w:color="4F81BD"/>
              <w:bottom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8.0</w:t>
            </w:r>
          </w:p>
        </w:tc>
        <w:tc>
          <w:tcPr>
            <w:tcW w:w="659"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41.8</w:t>
            </w:r>
          </w:p>
        </w:tc>
        <w:tc>
          <w:tcPr>
            <w:tcW w:w="659" w:type="dxa"/>
            <w:tcBorders>
              <w:top w:val="single" w:sz="8" w:space="0" w:color="4F81BD"/>
              <w:bottom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26.6</w:t>
            </w:r>
          </w:p>
        </w:tc>
        <w:tc>
          <w:tcPr>
            <w:tcW w:w="629"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7.5</w:t>
            </w:r>
          </w:p>
        </w:tc>
        <w:tc>
          <w:tcPr>
            <w:tcW w:w="709" w:type="dxa"/>
            <w:tcBorders>
              <w:top w:val="single" w:sz="8" w:space="0" w:color="4F81BD"/>
              <w:bottom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6.5</w:t>
            </w:r>
          </w:p>
        </w:tc>
      </w:tr>
      <w:tr w:rsidR="00300092" w:rsidRPr="00FA3EF4" w:rsidTr="00300092">
        <w:trPr>
          <w:trHeight w:hRule="exact" w:val="397"/>
        </w:trPr>
        <w:tc>
          <w:tcPr>
            <w:tcW w:w="1015" w:type="dxa"/>
          </w:tcPr>
          <w:p w:rsidR="00300092" w:rsidRPr="007D4A8A" w:rsidRDefault="00300092" w:rsidP="00300092">
            <w:pPr>
              <w:pStyle w:val="BodyText"/>
              <w:rPr>
                <w:rFonts w:ascii="Arial Narrow" w:hAnsi="Arial Narrow"/>
                <w:b/>
                <w:bCs/>
                <w:sz w:val="18"/>
                <w:szCs w:val="18"/>
              </w:rPr>
            </w:pPr>
            <w:r w:rsidRPr="007D4A8A">
              <w:rPr>
                <w:rFonts w:ascii="Arial Narrow" w:hAnsi="Arial Narrow"/>
                <w:b/>
                <w:bCs/>
                <w:sz w:val="18"/>
                <w:szCs w:val="18"/>
              </w:rPr>
              <w:t>Medium</w:t>
            </w:r>
          </w:p>
        </w:tc>
        <w:tc>
          <w:tcPr>
            <w:tcW w:w="568" w:type="dxa"/>
            <w:tcBorders>
              <w:left w:val="single" w:sz="8" w:space="0" w:color="4F81BD"/>
              <w:right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11.6</w:t>
            </w:r>
          </w:p>
        </w:tc>
        <w:tc>
          <w:tcPr>
            <w:tcW w:w="568" w:type="dxa"/>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8.7</w:t>
            </w:r>
          </w:p>
        </w:tc>
        <w:tc>
          <w:tcPr>
            <w:tcW w:w="568" w:type="dxa"/>
            <w:tcBorders>
              <w:left w:val="single" w:sz="8" w:space="0" w:color="4F81BD"/>
              <w:right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8.1</w:t>
            </w:r>
          </w:p>
        </w:tc>
        <w:tc>
          <w:tcPr>
            <w:tcW w:w="567" w:type="dxa"/>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7.0</w:t>
            </w:r>
          </w:p>
        </w:tc>
        <w:tc>
          <w:tcPr>
            <w:tcW w:w="567" w:type="dxa"/>
            <w:tcBorders>
              <w:left w:val="single" w:sz="8" w:space="0" w:color="4F81BD"/>
              <w:right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15.5</w:t>
            </w:r>
          </w:p>
        </w:tc>
        <w:tc>
          <w:tcPr>
            <w:tcW w:w="567" w:type="dxa"/>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11.0</w:t>
            </w:r>
          </w:p>
        </w:tc>
        <w:tc>
          <w:tcPr>
            <w:tcW w:w="567" w:type="dxa"/>
            <w:tcBorders>
              <w:left w:val="single" w:sz="8" w:space="0" w:color="4F81BD"/>
              <w:right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10.3</w:t>
            </w:r>
          </w:p>
        </w:tc>
        <w:tc>
          <w:tcPr>
            <w:tcW w:w="567" w:type="dxa"/>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7.0</w:t>
            </w:r>
          </w:p>
        </w:tc>
        <w:tc>
          <w:tcPr>
            <w:tcW w:w="567" w:type="dxa"/>
            <w:tcBorders>
              <w:left w:val="single" w:sz="8" w:space="0" w:color="4F81BD"/>
              <w:right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9.8</w:t>
            </w:r>
          </w:p>
        </w:tc>
        <w:tc>
          <w:tcPr>
            <w:tcW w:w="567" w:type="dxa"/>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8.1</w:t>
            </w:r>
          </w:p>
        </w:tc>
        <w:tc>
          <w:tcPr>
            <w:tcW w:w="567" w:type="dxa"/>
            <w:tcBorders>
              <w:left w:val="single" w:sz="8" w:space="0" w:color="4F81BD"/>
              <w:right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8.3</w:t>
            </w:r>
          </w:p>
        </w:tc>
        <w:tc>
          <w:tcPr>
            <w:tcW w:w="567" w:type="dxa"/>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7.2</w:t>
            </w:r>
          </w:p>
        </w:tc>
        <w:tc>
          <w:tcPr>
            <w:tcW w:w="567" w:type="dxa"/>
            <w:tcBorders>
              <w:left w:val="single" w:sz="8" w:space="0" w:color="4F81BD"/>
              <w:right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16.4</w:t>
            </w:r>
          </w:p>
        </w:tc>
        <w:tc>
          <w:tcPr>
            <w:tcW w:w="567" w:type="dxa"/>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11.0</w:t>
            </w:r>
          </w:p>
        </w:tc>
        <w:tc>
          <w:tcPr>
            <w:tcW w:w="567" w:type="dxa"/>
            <w:tcBorders>
              <w:left w:val="single" w:sz="8" w:space="0" w:color="4F81BD"/>
              <w:right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12.1</w:t>
            </w:r>
          </w:p>
        </w:tc>
        <w:tc>
          <w:tcPr>
            <w:tcW w:w="545" w:type="dxa"/>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9.0</w:t>
            </w:r>
          </w:p>
        </w:tc>
        <w:tc>
          <w:tcPr>
            <w:tcW w:w="659" w:type="dxa"/>
            <w:tcBorders>
              <w:left w:val="single" w:sz="8" w:space="0" w:color="4F81BD"/>
              <w:right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46.9</w:t>
            </w:r>
          </w:p>
        </w:tc>
        <w:tc>
          <w:tcPr>
            <w:tcW w:w="659" w:type="dxa"/>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29.7</w:t>
            </w:r>
          </w:p>
        </w:tc>
        <w:tc>
          <w:tcPr>
            <w:tcW w:w="629" w:type="dxa"/>
            <w:tcBorders>
              <w:left w:val="single" w:sz="8" w:space="0" w:color="4F81BD"/>
              <w:right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8.4</w:t>
            </w:r>
          </w:p>
        </w:tc>
        <w:tc>
          <w:tcPr>
            <w:tcW w:w="709" w:type="dxa"/>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7.2</w:t>
            </w:r>
          </w:p>
        </w:tc>
      </w:tr>
      <w:tr w:rsidR="00300092" w:rsidRPr="00FA3EF4" w:rsidTr="00300092">
        <w:trPr>
          <w:trHeight w:hRule="exact" w:val="397"/>
        </w:trPr>
        <w:tc>
          <w:tcPr>
            <w:tcW w:w="1015" w:type="dxa"/>
            <w:tcBorders>
              <w:top w:val="single" w:sz="8" w:space="0" w:color="4F81BD"/>
              <w:bottom w:val="single" w:sz="8" w:space="0" w:color="4F81BD"/>
            </w:tcBorders>
          </w:tcPr>
          <w:p w:rsidR="00300092" w:rsidRPr="007D4A8A" w:rsidRDefault="00300092" w:rsidP="00300092">
            <w:pPr>
              <w:pStyle w:val="BodyText"/>
              <w:rPr>
                <w:rFonts w:ascii="Arial Narrow" w:hAnsi="Arial Narrow"/>
                <w:b/>
                <w:bCs/>
                <w:sz w:val="18"/>
                <w:szCs w:val="18"/>
              </w:rPr>
            </w:pPr>
            <w:r w:rsidRPr="007D4A8A">
              <w:rPr>
                <w:rFonts w:ascii="Arial Narrow" w:hAnsi="Arial Narrow"/>
                <w:b/>
                <w:bCs/>
                <w:sz w:val="18"/>
                <w:szCs w:val="18"/>
              </w:rPr>
              <w:t>Heavy</w:t>
            </w:r>
          </w:p>
        </w:tc>
        <w:tc>
          <w:tcPr>
            <w:tcW w:w="568"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15.9</w:t>
            </w:r>
          </w:p>
        </w:tc>
        <w:tc>
          <w:tcPr>
            <w:tcW w:w="568" w:type="dxa"/>
            <w:tcBorders>
              <w:top w:val="single" w:sz="8" w:space="0" w:color="4F81BD"/>
              <w:bottom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11.9</w:t>
            </w:r>
          </w:p>
        </w:tc>
        <w:tc>
          <w:tcPr>
            <w:tcW w:w="568"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11.1</w:t>
            </w:r>
          </w:p>
        </w:tc>
        <w:tc>
          <w:tcPr>
            <w:tcW w:w="567" w:type="dxa"/>
            <w:tcBorders>
              <w:top w:val="single" w:sz="8" w:space="0" w:color="4F81BD"/>
              <w:bottom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9.5</w:t>
            </w:r>
          </w:p>
        </w:tc>
        <w:tc>
          <w:tcPr>
            <w:tcW w:w="567"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21.2</w:t>
            </w:r>
          </w:p>
        </w:tc>
        <w:tc>
          <w:tcPr>
            <w:tcW w:w="567" w:type="dxa"/>
            <w:tcBorders>
              <w:top w:val="single" w:sz="8" w:space="0" w:color="4F81BD"/>
              <w:bottom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15.0</w:t>
            </w:r>
          </w:p>
        </w:tc>
        <w:tc>
          <w:tcPr>
            <w:tcW w:w="567"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14.0</w:t>
            </w:r>
          </w:p>
        </w:tc>
        <w:tc>
          <w:tcPr>
            <w:tcW w:w="567" w:type="dxa"/>
            <w:tcBorders>
              <w:top w:val="single" w:sz="8" w:space="0" w:color="4F81BD"/>
              <w:bottom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9.6</w:t>
            </w:r>
          </w:p>
        </w:tc>
        <w:tc>
          <w:tcPr>
            <w:tcW w:w="567"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13.5</w:t>
            </w:r>
          </w:p>
        </w:tc>
        <w:tc>
          <w:tcPr>
            <w:tcW w:w="567" w:type="dxa"/>
            <w:tcBorders>
              <w:top w:val="single" w:sz="8" w:space="0" w:color="4F81BD"/>
              <w:bottom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11.0</w:t>
            </w:r>
          </w:p>
        </w:tc>
        <w:tc>
          <w:tcPr>
            <w:tcW w:w="567"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11.4</w:t>
            </w:r>
          </w:p>
        </w:tc>
        <w:tc>
          <w:tcPr>
            <w:tcW w:w="567" w:type="dxa"/>
            <w:tcBorders>
              <w:top w:val="single" w:sz="8" w:space="0" w:color="4F81BD"/>
              <w:bottom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9.8</w:t>
            </w:r>
          </w:p>
        </w:tc>
        <w:tc>
          <w:tcPr>
            <w:tcW w:w="567"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22.4</w:t>
            </w:r>
          </w:p>
        </w:tc>
        <w:tc>
          <w:tcPr>
            <w:tcW w:w="567" w:type="dxa"/>
            <w:tcBorders>
              <w:top w:val="single" w:sz="8" w:space="0" w:color="4F81BD"/>
              <w:bottom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15.0</w:t>
            </w:r>
          </w:p>
        </w:tc>
        <w:tc>
          <w:tcPr>
            <w:tcW w:w="567"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16.5</w:t>
            </w:r>
          </w:p>
        </w:tc>
        <w:tc>
          <w:tcPr>
            <w:tcW w:w="545" w:type="dxa"/>
            <w:tcBorders>
              <w:top w:val="single" w:sz="8" w:space="0" w:color="4F81BD"/>
              <w:bottom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12.3</w:t>
            </w:r>
          </w:p>
        </w:tc>
        <w:tc>
          <w:tcPr>
            <w:tcW w:w="659"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64.2</w:t>
            </w:r>
          </w:p>
        </w:tc>
        <w:tc>
          <w:tcPr>
            <w:tcW w:w="659" w:type="dxa"/>
            <w:tcBorders>
              <w:top w:val="single" w:sz="8" w:space="0" w:color="4F81BD"/>
              <w:bottom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40.7</w:t>
            </w:r>
          </w:p>
        </w:tc>
        <w:tc>
          <w:tcPr>
            <w:tcW w:w="629"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11.5</w:t>
            </w:r>
          </w:p>
        </w:tc>
        <w:tc>
          <w:tcPr>
            <w:tcW w:w="709" w:type="dxa"/>
            <w:tcBorders>
              <w:top w:val="single" w:sz="8" w:space="0" w:color="4F81BD"/>
              <w:bottom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9.9</w:t>
            </w:r>
          </w:p>
        </w:tc>
      </w:tr>
      <w:tr w:rsidR="00300092" w:rsidRPr="00FA3EF4" w:rsidTr="00300092">
        <w:trPr>
          <w:trHeight w:hRule="exact" w:val="567"/>
        </w:trPr>
        <w:tc>
          <w:tcPr>
            <w:tcW w:w="1015" w:type="dxa"/>
          </w:tcPr>
          <w:p w:rsidR="00300092" w:rsidRPr="007D4A8A" w:rsidRDefault="00300092" w:rsidP="00300092">
            <w:pPr>
              <w:pStyle w:val="BodyText"/>
              <w:rPr>
                <w:rFonts w:ascii="Arial Narrow" w:hAnsi="Arial Narrow"/>
                <w:b/>
                <w:bCs/>
                <w:sz w:val="18"/>
                <w:szCs w:val="18"/>
              </w:rPr>
            </w:pPr>
            <w:r w:rsidRPr="007D4A8A">
              <w:rPr>
                <w:rFonts w:ascii="Arial Narrow" w:hAnsi="Arial Narrow"/>
                <w:bCs/>
                <w:sz w:val="18"/>
                <w:szCs w:val="18"/>
              </w:rPr>
              <w:t>Trucks &amp; Buses</w:t>
            </w:r>
          </w:p>
        </w:tc>
        <w:tc>
          <w:tcPr>
            <w:tcW w:w="568" w:type="dxa"/>
            <w:tcBorders>
              <w:left w:val="single" w:sz="8" w:space="0" w:color="4F81BD"/>
              <w:right w:val="single" w:sz="8" w:space="0" w:color="4F81BD"/>
            </w:tcBorders>
          </w:tcPr>
          <w:p w:rsidR="00300092" w:rsidRPr="007D4A8A" w:rsidRDefault="00300092" w:rsidP="00300092">
            <w:pPr>
              <w:pStyle w:val="BodyText"/>
              <w:rPr>
                <w:rFonts w:ascii="Arial Narrow" w:hAnsi="Arial Narrow"/>
                <w:sz w:val="18"/>
                <w:szCs w:val="18"/>
              </w:rPr>
            </w:pPr>
          </w:p>
        </w:tc>
        <w:tc>
          <w:tcPr>
            <w:tcW w:w="568" w:type="dxa"/>
          </w:tcPr>
          <w:p w:rsidR="00300092" w:rsidRPr="007D4A8A" w:rsidRDefault="00300092" w:rsidP="00300092">
            <w:pPr>
              <w:pStyle w:val="BodyText"/>
              <w:rPr>
                <w:rFonts w:ascii="Arial Narrow" w:hAnsi="Arial Narrow"/>
                <w:sz w:val="18"/>
                <w:szCs w:val="18"/>
              </w:rPr>
            </w:pPr>
          </w:p>
        </w:tc>
        <w:tc>
          <w:tcPr>
            <w:tcW w:w="568" w:type="dxa"/>
            <w:tcBorders>
              <w:left w:val="single" w:sz="8" w:space="0" w:color="4F81BD"/>
              <w:right w:val="single" w:sz="8" w:space="0" w:color="4F81BD"/>
            </w:tcBorders>
          </w:tcPr>
          <w:p w:rsidR="00300092" w:rsidRPr="007D4A8A" w:rsidRDefault="00300092" w:rsidP="00300092">
            <w:pPr>
              <w:pStyle w:val="BodyText"/>
              <w:rPr>
                <w:rFonts w:ascii="Arial Narrow" w:hAnsi="Arial Narrow"/>
                <w:sz w:val="18"/>
                <w:szCs w:val="18"/>
              </w:rPr>
            </w:pPr>
          </w:p>
        </w:tc>
        <w:tc>
          <w:tcPr>
            <w:tcW w:w="567" w:type="dxa"/>
          </w:tcPr>
          <w:p w:rsidR="00300092" w:rsidRPr="007D4A8A" w:rsidRDefault="00300092" w:rsidP="00300092">
            <w:pPr>
              <w:pStyle w:val="BodyText"/>
              <w:rPr>
                <w:rFonts w:ascii="Arial Narrow" w:hAnsi="Arial Narrow"/>
                <w:sz w:val="18"/>
                <w:szCs w:val="18"/>
              </w:rPr>
            </w:pPr>
          </w:p>
        </w:tc>
        <w:tc>
          <w:tcPr>
            <w:tcW w:w="567" w:type="dxa"/>
            <w:tcBorders>
              <w:left w:val="single" w:sz="8" w:space="0" w:color="4F81BD"/>
              <w:right w:val="single" w:sz="8" w:space="0" w:color="4F81BD"/>
            </w:tcBorders>
          </w:tcPr>
          <w:p w:rsidR="00300092" w:rsidRPr="007D4A8A" w:rsidRDefault="00300092" w:rsidP="00300092">
            <w:pPr>
              <w:pStyle w:val="BodyText"/>
              <w:rPr>
                <w:rFonts w:ascii="Arial Narrow" w:hAnsi="Arial Narrow"/>
                <w:sz w:val="18"/>
                <w:szCs w:val="18"/>
              </w:rPr>
            </w:pPr>
          </w:p>
        </w:tc>
        <w:tc>
          <w:tcPr>
            <w:tcW w:w="567" w:type="dxa"/>
          </w:tcPr>
          <w:p w:rsidR="00300092" w:rsidRPr="007D4A8A" w:rsidRDefault="00300092" w:rsidP="00300092">
            <w:pPr>
              <w:pStyle w:val="BodyText"/>
              <w:rPr>
                <w:rFonts w:ascii="Arial Narrow" w:hAnsi="Arial Narrow"/>
                <w:sz w:val="18"/>
                <w:szCs w:val="18"/>
              </w:rPr>
            </w:pPr>
          </w:p>
        </w:tc>
        <w:tc>
          <w:tcPr>
            <w:tcW w:w="567" w:type="dxa"/>
            <w:tcBorders>
              <w:left w:val="single" w:sz="8" w:space="0" w:color="4F81BD"/>
              <w:right w:val="single" w:sz="8" w:space="0" w:color="4F81BD"/>
            </w:tcBorders>
          </w:tcPr>
          <w:p w:rsidR="00300092" w:rsidRPr="007D4A8A" w:rsidRDefault="00300092" w:rsidP="00300092">
            <w:pPr>
              <w:pStyle w:val="BodyText"/>
              <w:rPr>
                <w:rFonts w:ascii="Arial Narrow" w:hAnsi="Arial Narrow"/>
                <w:sz w:val="18"/>
                <w:szCs w:val="18"/>
              </w:rPr>
            </w:pPr>
          </w:p>
        </w:tc>
        <w:tc>
          <w:tcPr>
            <w:tcW w:w="567" w:type="dxa"/>
          </w:tcPr>
          <w:p w:rsidR="00300092" w:rsidRPr="007D4A8A" w:rsidRDefault="00300092" w:rsidP="00300092">
            <w:pPr>
              <w:pStyle w:val="BodyText"/>
              <w:rPr>
                <w:rFonts w:ascii="Arial Narrow" w:hAnsi="Arial Narrow"/>
                <w:sz w:val="18"/>
                <w:szCs w:val="18"/>
              </w:rPr>
            </w:pPr>
          </w:p>
        </w:tc>
        <w:tc>
          <w:tcPr>
            <w:tcW w:w="567" w:type="dxa"/>
            <w:tcBorders>
              <w:left w:val="single" w:sz="8" w:space="0" w:color="4F81BD"/>
              <w:right w:val="single" w:sz="8" w:space="0" w:color="4F81BD"/>
            </w:tcBorders>
          </w:tcPr>
          <w:p w:rsidR="00300092" w:rsidRPr="007D4A8A" w:rsidRDefault="00300092" w:rsidP="00300092">
            <w:pPr>
              <w:pStyle w:val="BodyText"/>
              <w:rPr>
                <w:rFonts w:ascii="Arial Narrow" w:hAnsi="Arial Narrow"/>
                <w:sz w:val="18"/>
                <w:szCs w:val="18"/>
              </w:rPr>
            </w:pPr>
          </w:p>
        </w:tc>
        <w:tc>
          <w:tcPr>
            <w:tcW w:w="567" w:type="dxa"/>
          </w:tcPr>
          <w:p w:rsidR="00300092" w:rsidRPr="007D4A8A" w:rsidRDefault="00300092" w:rsidP="00300092">
            <w:pPr>
              <w:pStyle w:val="BodyText"/>
              <w:rPr>
                <w:rFonts w:ascii="Arial Narrow" w:hAnsi="Arial Narrow"/>
                <w:sz w:val="18"/>
                <w:szCs w:val="18"/>
              </w:rPr>
            </w:pPr>
          </w:p>
        </w:tc>
        <w:tc>
          <w:tcPr>
            <w:tcW w:w="567" w:type="dxa"/>
            <w:tcBorders>
              <w:left w:val="single" w:sz="8" w:space="0" w:color="4F81BD"/>
              <w:right w:val="single" w:sz="8" w:space="0" w:color="4F81BD"/>
            </w:tcBorders>
          </w:tcPr>
          <w:p w:rsidR="00300092" w:rsidRPr="007D4A8A" w:rsidRDefault="00300092" w:rsidP="00300092">
            <w:pPr>
              <w:pStyle w:val="BodyText"/>
              <w:rPr>
                <w:rFonts w:ascii="Arial Narrow" w:hAnsi="Arial Narrow"/>
                <w:sz w:val="18"/>
                <w:szCs w:val="18"/>
              </w:rPr>
            </w:pPr>
          </w:p>
        </w:tc>
        <w:tc>
          <w:tcPr>
            <w:tcW w:w="567" w:type="dxa"/>
          </w:tcPr>
          <w:p w:rsidR="00300092" w:rsidRPr="007D4A8A" w:rsidRDefault="00300092" w:rsidP="00300092">
            <w:pPr>
              <w:pStyle w:val="BodyText"/>
              <w:rPr>
                <w:rFonts w:ascii="Arial Narrow" w:hAnsi="Arial Narrow"/>
                <w:sz w:val="18"/>
                <w:szCs w:val="18"/>
              </w:rPr>
            </w:pPr>
          </w:p>
        </w:tc>
        <w:tc>
          <w:tcPr>
            <w:tcW w:w="567" w:type="dxa"/>
            <w:tcBorders>
              <w:left w:val="single" w:sz="8" w:space="0" w:color="4F81BD"/>
              <w:right w:val="single" w:sz="8" w:space="0" w:color="4F81BD"/>
            </w:tcBorders>
          </w:tcPr>
          <w:p w:rsidR="00300092" w:rsidRPr="007D4A8A" w:rsidRDefault="00300092" w:rsidP="00300092">
            <w:pPr>
              <w:pStyle w:val="BodyText"/>
              <w:rPr>
                <w:rFonts w:ascii="Arial Narrow" w:hAnsi="Arial Narrow"/>
                <w:sz w:val="18"/>
                <w:szCs w:val="18"/>
              </w:rPr>
            </w:pPr>
          </w:p>
        </w:tc>
        <w:tc>
          <w:tcPr>
            <w:tcW w:w="567" w:type="dxa"/>
          </w:tcPr>
          <w:p w:rsidR="00300092" w:rsidRPr="007D4A8A" w:rsidRDefault="00300092" w:rsidP="00300092">
            <w:pPr>
              <w:pStyle w:val="BodyText"/>
              <w:rPr>
                <w:rFonts w:ascii="Arial Narrow" w:hAnsi="Arial Narrow"/>
                <w:sz w:val="18"/>
                <w:szCs w:val="18"/>
              </w:rPr>
            </w:pPr>
          </w:p>
        </w:tc>
        <w:tc>
          <w:tcPr>
            <w:tcW w:w="567" w:type="dxa"/>
            <w:tcBorders>
              <w:left w:val="single" w:sz="8" w:space="0" w:color="4F81BD"/>
              <w:right w:val="single" w:sz="8" w:space="0" w:color="4F81BD"/>
            </w:tcBorders>
          </w:tcPr>
          <w:p w:rsidR="00300092" w:rsidRPr="007D4A8A" w:rsidRDefault="00300092" w:rsidP="00300092">
            <w:pPr>
              <w:pStyle w:val="BodyText"/>
              <w:rPr>
                <w:rFonts w:ascii="Arial Narrow" w:hAnsi="Arial Narrow"/>
                <w:sz w:val="18"/>
                <w:szCs w:val="18"/>
              </w:rPr>
            </w:pPr>
          </w:p>
        </w:tc>
        <w:tc>
          <w:tcPr>
            <w:tcW w:w="545" w:type="dxa"/>
          </w:tcPr>
          <w:p w:rsidR="00300092" w:rsidRPr="007D4A8A" w:rsidRDefault="00300092" w:rsidP="00300092">
            <w:pPr>
              <w:pStyle w:val="BodyText"/>
              <w:rPr>
                <w:rFonts w:ascii="Arial Narrow" w:hAnsi="Arial Narrow"/>
                <w:sz w:val="18"/>
                <w:szCs w:val="18"/>
              </w:rPr>
            </w:pPr>
          </w:p>
        </w:tc>
        <w:tc>
          <w:tcPr>
            <w:tcW w:w="659" w:type="dxa"/>
            <w:tcBorders>
              <w:left w:val="single" w:sz="8" w:space="0" w:color="4F81BD"/>
              <w:right w:val="single" w:sz="8" w:space="0" w:color="4F81BD"/>
            </w:tcBorders>
          </w:tcPr>
          <w:p w:rsidR="00300092" w:rsidRPr="007D4A8A" w:rsidRDefault="00300092" w:rsidP="00300092">
            <w:pPr>
              <w:pStyle w:val="BodyText"/>
              <w:rPr>
                <w:rFonts w:ascii="Arial Narrow" w:hAnsi="Arial Narrow"/>
                <w:sz w:val="18"/>
                <w:szCs w:val="18"/>
              </w:rPr>
            </w:pPr>
          </w:p>
        </w:tc>
        <w:tc>
          <w:tcPr>
            <w:tcW w:w="659" w:type="dxa"/>
          </w:tcPr>
          <w:p w:rsidR="00300092" w:rsidRPr="007D4A8A" w:rsidRDefault="00300092" w:rsidP="00300092">
            <w:pPr>
              <w:pStyle w:val="BodyText"/>
              <w:rPr>
                <w:rFonts w:ascii="Arial Narrow" w:hAnsi="Arial Narrow"/>
                <w:sz w:val="18"/>
                <w:szCs w:val="18"/>
              </w:rPr>
            </w:pPr>
          </w:p>
        </w:tc>
        <w:tc>
          <w:tcPr>
            <w:tcW w:w="629" w:type="dxa"/>
            <w:tcBorders>
              <w:left w:val="single" w:sz="8" w:space="0" w:color="4F81BD"/>
              <w:right w:val="single" w:sz="8" w:space="0" w:color="4F81BD"/>
            </w:tcBorders>
          </w:tcPr>
          <w:p w:rsidR="00300092" w:rsidRPr="007D4A8A" w:rsidRDefault="00300092" w:rsidP="00300092">
            <w:pPr>
              <w:pStyle w:val="BodyText"/>
              <w:rPr>
                <w:rFonts w:ascii="Arial Narrow" w:hAnsi="Arial Narrow"/>
                <w:sz w:val="18"/>
                <w:szCs w:val="18"/>
              </w:rPr>
            </w:pPr>
          </w:p>
        </w:tc>
        <w:tc>
          <w:tcPr>
            <w:tcW w:w="709" w:type="dxa"/>
          </w:tcPr>
          <w:p w:rsidR="00300092" w:rsidRPr="007D4A8A" w:rsidRDefault="00300092" w:rsidP="00300092">
            <w:pPr>
              <w:pStyle w:val="BodyText"/>
              <w:rPr>
                <w:rFonts w:ascii="Arial Narrow" w:hAnsi="Arial Narrow"/>
                <w:sz w:val="18"/>
                <w:szCs w:val="18"/>
              </w:rPr>
            </w:pPr>
          </w:p>
        </w:tc>
      </w:tr>
      <w:tr w:rsidR="00300092" w:rsidRPr="00FA3EF4" w:rsidTr="00300092">
        <w:trPr>
          <w:trHeight w:hRule="exact" w:val="397"/>
        </w:trPr>
        <w:tc>
          <w:tcPr>
            <w:tcW w:w="1015" w:type="dxa"/>
            <w:tcBorders>
              <w:top w:val="single" w:sz="8" w:space="0" w:color="4F81BD"/>
              <w:bottom w:val="single" w:sz="8" w:space="0" w:color="4F81BD"/>
            </w:tcBorders>
          </w:tcPr>
          <w:p w:rsidR="00300092" w:rsidRPr="007D4A8A" w:rsidRDefault="00300092" w:rsidP="00300092">
            <w:pPr>
              <w:pStyle w:val="BodyText"/>
              <w:rPr>
                <w:rFonts w:ascii="Arial Narrow" w:hAnsi="Arial Narrow"/>
                <w:b/>
                <w:bCs/>
                <w:sz w:val="18"/>
                <w:szCs w:val="18"/>
              </w:rPr>
            </w:pPr>
            <w:r w:rsidRPr="007D4A8A">
              <w:rPr>
                <w:rFonts w:ascii="Arial Narrow" w:hAnsi="Arial Narrow"/>
                <w:b/>
                <w:bCs/>
                <w:sz w:val="18"/>
                <w:szCs w:val="18"/>
              </w:rPr>
              <w:t>Rigid</w:t>
            </w:r>
          </w:p>
        </w:tc>
        <w:tc>
          <w:tcPr>
            <w:tcW w:w="568"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39.2</w:t>
            </w:r>
          </w:p>
        </w:tc>
        <w:tc>
          <w:tcPr>
            <w:tcW w:w="568" w:type="dxa"/>
            <w:tcBorders>
              <w:top w:val="single" w:sz="8" w:space="0" w:color="4F81BD"/>
              <w:bottom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29.3</w:t>
            </w:r>
          </w:p>
        </w:tc>
        <w:tc>
          <w:tcPr>
            <w:tcW w:w="568"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28.9</w:t>
            </w:r>
          </w:p>
        </w:tc>
        <w:tc>
          <w:tcPr>
            <w:tcW w:w="567" w:type="dxa"/>
            <w:tcBorders>
              <w:top w:val="single" w:sz="8" w:space="0" w:color="4F81BD"/>
              <w:bottom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24.9</w:t>
            </w:r>
          </w:p>
        </w:tc>
        <w:tc>
          <w:tcPr>
            <w:tcW w:w="567"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52.2</w:t>
            </w:r>
          </w:p>
        </w:tc>
        <w:tc>
          <w:tcPr>
            <w:tcW w:w="567" w:type="dxa"/>
            <w:tcBorders>
              <w:top w:val="single" w:sz="8" w:space="0" w:color="4F81BD"/>
              <w:bottom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37.0</w:t>
            </w:r>
          </w:p>
        </w:tc>
        <w:tc>
          <w:tcPr>
            <w:tcW w:w="567"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34.5</w:t>
            </w:r>
          </w:p>
        </w:tc>
        <w:tc>
          <w:tcPr>
            <w:tcW w:w="567" w:type="dxa"/>
            <w:tcBorders>
              <w:top w:val="single" w:sz="8" w:space="0" w:color="4F81BD"/>
              <w:bottom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23.7</w:t>
            </w:r>
          </w:p>
        </w:tc>
        <w:tc>
          <w:tcPr>
            <w:tcW w:w="567"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35.2</w:t>
            </w:r>
          </w:p>
        </w:tc>
        <w:tc>
          <w:tcPr>
            <w:tcW w:w="567" w:type="dxa"/>
            <w:tcBorders>
              <w:top w:val="single" w:sz="8" w:space="0" w:color="4F81BD"/>
              <w:bottom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28.8</w:t>
            </w:r>
          </w:p>
        </w:tc>
        <w:tc>
          <w:tcPr>
            <w:tcW w:w="567"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29.8</w:t>
            </w:r>
          </w:p>
        </w:tc>
        <w:tc>
          <w:tcPr>
            <w:tcW w:w="567" w:type="dxa"/>
            <w:tcBorders>
              <w:top w:val="single" w:sz="8" w:space="0" w:color="4F81BD"/>
              <w:bottom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25.6</w:t>
            </w:r>
          </w:p>
        </w:tc>
        <w:tc>
          <w:tcPr>
            <w:tcW w:w="567"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55.1</w:t>
            </w:r>
          </w:p>
        </w:tc>
        <w:tc>
          <w:tcPr>
            <w:tcW w:w="567" w:type="dxa"/>
            <w:tcBorders>
              <w:top w:val="single" w:sz="8" w:space="0" w:color="4F81BD"/>
              <w:bottom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37.0</w:t>
            </w:r>
          </w:p>
        </w:tc>
        <w:tc>
          <w:tcPr>
            <w:tcW w:w="567"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40.6</w:t>
            </w:r>
          </w:p>
        </w:tc>
        <w:tc>
          <w:tcPr>
            <w:tcW w:w="545" w:type="dxa"/>
            <w:tcBorders>
              <w:top w:val="single" w:sz="8" w:space="0" w:color="4F81BD"/>
              <w:bottom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30.3</w:t>
            </w:r>
          </w:p>
        </w:tc>
        <w:tc>
          <w:tcPr>
            <w:tcW w:w="659"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157.8</w:t>
            </w:r>
          </w:p>
        </w:tc>
        <w:tc>
          <w:tcPr>
            <w:tcW w:w="659" w:type="dxa"/>
            <w:tcBorders>
              <w:top w:val="single" w:sz="8" w:space="0" w:color="4F81BD"/>
              <w:bottom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100.1</w:t>
            </w:r>
          </w:p>
        </w:tc>
        <w:tc>
          <w:tcPr>
            <w:tcW w:w="629"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30.1</w:t>
            </w:r>
          </w:p>
        </w:tc>
        <w:tc>
          <w:tcPr>
            <w:tcW w:w="709" w:type="dxa"/>
            <w:tcBorders>
              <w:top w:val="single" w:sz="8" w:space="0" w:color="4F81BD"/>
              <w:bottom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25.9</w:t>
            </w:r>
          </w:p>
        </w:tc>
      </w:tr>
      <w:tr w:rsidR="00300092" w:rsidRPr="00FA3EF4" w:rsidTr="00300092">
        <w:trPr>
          <w:trHeight w:hRule="exact" w:val="397"/>
        </w:trPr>
        <w:tc>
          <w:tcPr>
            <w:tcW w:w="1015" w:type="dxa"/>
          </w:tcPr>
          <w:p w:rsidR="00300092" w:rsidRPr="007D4A8A" w:rsidRDefault="00300092" w:rsidP="00300092">
            <w:pPr>
              <w:pStyle w:val="BodyText"/>
              <w:rPr>
                <w:rFonts w:ascii="Arial Narrow" w:hAnsi="Arial Narrow"/>
                <w:b/>
                <w:bCs/>
                <w:sz w:val="18"/>
                <w:szCs w:val="18"/>
              </w:rPr>
            </w:pPr>
            <w:r w:rsidRPr="007D4A8A">
              <w:rPr>
                <w:rFonts w:ascii="Arial Narrow" w:hAnsi="Arial Narrow"/>
                <w:b/>
                <w:bCs/>
                <w:sz w:val="18"/>
                <w:szCs w:val="18"/>
              </w:rPr>
              <w:t>Art’d</w:t>
            </w:r>
          </w:p>
        </w:tc>
        <w:tc>
          <w:tcPr>
            <w:tcW w:w="568" w:type="dxa"/>
            <w:tcBorders>
              <w:left w:val="single" w:sz="8" w:space="0" w:color="4F81BD"/>
              <w:right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73.1</w:t>
            </w:r>
          </w:p>
        </w:tc>
        <w:tc>
          <w:tcPr>
            <w:tcW w:w="568" w:type="dxa"/>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54.6</w:t>
            </w:r>
          </w:p>
        </w:tc>
        <w:tc>
          <w:tcPr>
            <w:tcW w:w="568" w:type="dxa"/>
            <w:tcBorders>
              <w:left w:val="single" w:sz="8" w:space="0" w:color="4F81BD"/>
              <w:right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54.0</w:t>
            </w:r>
          </w:p>
        </w:tc>
        <w:tc>
          <w:tcPr>
            <w:tcW w:w="567" w:type="dxa"/>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46.4</w:t>
            </w:r>
          </w:p>
        </w:tc>
        <w:tc>
          <w:tcPr>
            <w:tcW w:w="567" w:type="dxa"/>
            <w:tcBorders>
              <w:left w:val="single" w:sz="8" w:space="0" w:color="4F81BD"/>
              <w:right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85.2</w:t>
            </w:r>
          </w:p>
        </w:tc>
        <w:tc>
          <w:tcPr>
            <w:tcW w:w="567" w:type="dxa"/>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69.7</w:t>
            </w:r>
          </w:p>
        </w:tc>
        <w:tc>
          <w:tcPr>
            <w:tcW w:w="567" w:type="dxa"/>
            <w:tcBorders>
              <w:left w:val="single" w:sz="8" w:space="0" w:color="4F81BD"/>
              <w:right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83.4</w:t>
            </w:r>
          </w:p>
        </w:tc>
        <w:tc>
          <w:tcPr>
            <w:tcW w:w="567" w:type="dxa"/>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68.3</w:t>
            </w:r>
          </w:p>
        </w:tc>
        <w:tc>
          <w:tcPr>
            <w:tcW w:w="567" w:type="dxa"/>
            <w:tcBorders>
              <w:left w:val="single" w:sz="8" w:space="0" w:color="4F81BD"/>
              <w:right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65.7</w:t>
            </w:r>
          </w:p>
        </w:tc>
        <w:tc>
          <w:tcPr>
            <w:tcW w:w="567" w:type="dxa"/>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53.8</w:t>
            </w:r>
          </w:p>
        </w:tc>
        <w:tc>
          <w:tcPr>
            <w:tcW w:w="567" w:type="dxa"/>
            <w:tcBorders>
              <w:left w:val="single" w:sz="8" w:space="0" w:color="4F81BD"/>
              <w:right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55.6</w:t>
            </w:r>
          </w:p>
        </w:tc>
        <w:tc>
          <w:tcPr>
            <w:tcW w:w="567" w:type="dxa"/>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47.8</w:t>
            </w:r>
          </w:p>
        </w:tc>
        <w:tc>
          <w:tcPr>
            <w:tcW w:w="567" w:type="dxa"/>
            <w:tcBorders>
              <w:left w:val="single" w:sz="8" w:space="0" w:color="4F81BD"/>
              <w:right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89.9</w:t>
            </w:r>
          </w:p>
        </w:tc>
        <w:tc>
          <w:tcPr>
            <w:tcW w:w="567" w:type="dxa"/>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69.6</w:t>
            </w:r>
          </w:p>
        </w:tc>
        <w:tc>
          <w:tcPr>
            <w:tcW w:w="567" w:type="dxa"/>
            <w:tcBorders>
              <w:left w:val="single" w:sz="8" w:space="0" w:color="4F81BD"/>
              <w:right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75.8</w:t>
            </w:r>
          </w:p>
        </w:tc>
        <w:tc>
          <w:tcPr>
            <w:tcW w:w="545" w:type="dxa"/>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56.6</w:t>
            </w:r>
          </w:p>
        </w:tc>
        <w:tc>
          <w:tcPr>
            <w:tcW w:w="659" w:type="dxa"/>
            <w:tcBorders>
              <w:left w:val="single" w:sz="8" w:space="0" w:color="4F81BD"/>
              <w:right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257.6</w:t>
            </w:r>
          </w:p>
        </w:tc>
        <w:tc>
          <w:tcPr>
            <w:tcW w:w="659" w:type="dxa"/>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199.4</w:t>
            </w:r>
          </w:p>
        </w:tc>
        <w:tc>
          <w:tcPr>
            <w:tcW w:w="629" w:type="dxa"/>
            <w:tcBorders>
              <w:left w:val="single" w:sz="8" w:space="0" w:color="4F81BD"/>
              <w:right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56.2</w:t>
            </w:r>
          </w:p>
        </w:tc>
        <w:tc>
          <w:tcPr>
            <w:tcW w:w="709" w:type="dxa"/>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48.4</w:t>
            </w:r>
          </w:p>
        </w:tc>
      </w:tr>
      <w:tr w:rsidR="00300092" w:rsidRPr="00FA3EF4" w:rsidTr="00300092">
        <w:trPr>
          <w:trHeight w:hRule="exact" w:val="397"/>
        </w:trPr>
        <w:tc>
          <w:tcPr>
            <w:tcW w:w="1015" w:type="dxa"/>
            <w:tcBorders>
              <w:top w:val="single" w:sz="8" w:space="0" w:color="4F81BD"/>
              <w:bottom w:val="single" w:sz="8" w:space="0" w:color="4F81BD"/>
            </w:tcBorders>
          </w:tcPr>
          <w:p w:rsidR="00300092" w:rsidRPr="007D4A8A" w:rsidRDefault="00300092" w:rsidP="00300092">
            <w:pPr>
              <w:pStyle w:val="BodyText"/>
              <w:rPr>
                <w:rFonts w:ascii="Arial Narrow" w:hAnsi="Arial Narrow"/>
                <w:b/>
                <w:bCs/>
                <w:sz w:val="18"/>
                <w:szCs w:val="18"/>
              </w:rPr>
            </w:pPr>
            <w:r w:rsidRPr="007D4A8A">
              <w:rPr>
                <w:rFonts w:ascii="Arial Narrow" w:hAnsi="Arial Narrow"/>
                <w:b/>
                <w:bCs/>
                <w:sz w:val="18"/>
                <w:szCs w:val="18"/>
              </w:rPr>
              <w:t>Buses</w:t>
            </w:r>
          </w:p>
        </w:tc>
        <w:tc>
          <w:tcPr>
            <w:tcW w:w="568"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36.2</w:t>
            </w:r>
          </w:p>
        </w:tc>
        <w:tc>
          <w:tcPr>
            <w:tcW w:w="568" w:type="dxa"/>
            <w:tcBorders>
              <w:top w:val="single" w:sz="8" w:space="0" w:color="4F81BD"/>
              <w:bottom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27.0</w:t>
            </w:r>
          </w:p>
        </w:tc>
        <w:tc>
          <w:tcPr>
            <w:tcW w:w="568"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26.7</w:t>
            </w:r>
          </w:p>
        </w:tc>
        <w:tc>
          <w:tcPr>
            <w:tcW w:w="567" w:type="dxa"/>
            <w:tcBorders>
              <w:top w:val="single" w:sz="8" w:space="0" w:color="4F81BD"/>
              <w:bottom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23.0</w:t>
            </w:r>
          </w:p>
        </w:tc>
        <w:tc>
          <w:tcPr>
            <w:tcW w:w="567"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48.1</w:t>
            </w:r>
          </w:p>
        </w:tc>
        <w:tc>
          <w:tcPr>
            <w:tcW w:w="567" w:type="dxa"/>
            <w:tcBorders>
              <w:top w:val="single" w:sz="8" w:space="0" w:color="4F81BD"/>
              <w:bottom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34.1</w:t>
            </w:r>
          </w:p>
        </w:tc>
        <w:tc>
          <w:tcPr>
            <w:tcW w:w="567"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31.9</w:t>
            </w:r>
          </w:p>
        </w:tc>
        <w:tc>
          <w:tcPr>
            <w:tcW w:w="567" w:type="dxa"/>
            <w:tcBorders>
              <w:top w:val="single" w:sz="8" w:space="0" w:color="4F81BD"/>
              <w:bottom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21.9</w:t>
            </w:r>
          </w:p>
        </w:tc>
        <w:tc>
          <w:tcPr>
            <w:tcW w:w="567"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32.5</w:t>
            </w:r>
          </w:p>
        </w:tc>
        <w:tc>
          <w:tcPr>
            <w:tcW w:w="567" w:type="dxa"/>
            <w:tcBorders>
              <w:top w:val="single" w:sz="8" w:space="0" w:color="4F81BD"/>
              <w:bottom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26.6</w:t>
            </w:r>
          </w:p>
        </w:tc>
        <w:tc>
          <w:tcPr>
            <w:tcW w:w="567"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27.5</w:t>
            </w:r>
          </w:p>
        </w:tc>
        <w:tc>
          <w:tcPr>
            <w:tcW w:w="567" w:type="dxa"/>
            <w:tcBorders>
              <w:top w:val="single" w:sz="8" w:space="0" w:color="4F81BD"/>
              <w:bottom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23.6</w:t>
            </w:r>
          </w:p>
        </w:tc>
        <w:tc>
          <w:tcPr>
            <w:tcW w:w="567"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50.8</w:t>
            </w:r>
          </w:p>
        </w:tc>
        <w:tc>
          <w:tcPr>
            <w:tcW w:w="567" w:type="dxa"/>
            <w:tcBorders>
              <w:top w:val="single" w:sz="8" w:space="0" w:color="4F81BD"/>
              <w:bottom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34.1</w:t>
            </w:r>
          </w:p>
        </w:tc>
        <w:tc>
          <w:tcPr>
            <w:tcW w:w="567"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37.5</w:t>
            </w:r>
          </w:p>
        </w:tc>
        <w:tc>
          <w:tcPr>
            <w:tcW w:w="545" w:type="dxa"/>
            <w:tcBorders>
              <w:top w:val="single" w:sz="8" w:space="0" w:color="4F81BD"/>
              <w:bottom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28.0</w:t>
            </w:r>
          </w:p>
        </w:tc>
        <w:tc>
          <w:tcPr>
            <w:tcW w:w="659"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145.6</w:t>
            </w:r>
          </w:p>
        </w:tc>
        <w:tc>
          <w:tcPr>
            <w:tcW w:w="659" w:type="dxa"/>
            <w:tcBorders>
              <w:top w:val="single" w:sz="8" w:space="0" w:color="4F81BD"/>
              <w:bottom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92.4</w:t>
            </w:r>
          </w:p>
        </w:tc>
        <w:tc>
          <w:tcPr>
            <w:tcW w:w="629" w:type="dxa"/>
            <w:tcBorders>
              <w:top w:val="single" w:sz="8" w:space="0" w:color="4F81BD"/>
              <w:left w:val="single" w:sz="8" w:space="0" w:color="4F81BD"/>
              <w:bottom w:val="single" w:sz="8" w:space="0" w:color="4F81BD"/>
              <w:right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27.8</w:t>
            </w:r>
          </w:p>
        </w:tc>
        <w:tc>
          <w:tcPr>
            <w:tcW w:w="709" w:type="dxa"/>
            <w:tcBorders>
              <w:top w:val="single" w:sz="8" w:space="0" w:color="4F81BD"/>
              <w:bottom w:val="single" w:sz="8" w:space="0" w:color="4F81BD"/>
            </w:tcBorders>
          </w:tcPr>
          <w:p w:rsidR="00300092" w:rsidRPr="007D4A8A" w:rsidRDefault="00300092" w:rsidP="00300092">
            <w:pPr>
              <w:pStyle w:val="BodyText"/>
              <w:rPr>
                <w:rFonts w:ascii="Arial Narrow" w:hAnsi="Arial Narrow"/>
                <w:sz w:val="18"/>
                <w:szCs w:val="18"/>
              </w:rPr>
            </w:pPr>
            <w:r w:rsidRPr="007D4A8A">
              <w:rPr>
                <w:rFonts w:ascii="Arial Narrow" w:hAnsi="Arial Narrow"/>
                <w:sz w:val="18"/>
                <w:szCs w:val="18"/>
              </w:rPr>
              <w:t>23.9</w:t>
            </w:r>
          </w:p>
        </w:tc>
      </w:tr>
    </w:tbl>
    <w:p w:rsidR="00300092" w:rsidRPr="00243D8A" w:rsidRDefault="00300092" w:rsidP="00300092">
      <w:pPr>
        <w:pStyle w:val="BodyText"/>
        <w:rPr>
          <w:rFonts w:ascii="Arial" w:hAnsi="Arial"/>
          <w:sz w:val="18"/>
          <w:szCs w:val="18"/>
        </w:rPr>
        <w:sectPr w:rsidR="00300092" w:rsidRPr="00243D8A" w:rsidSect="00300092">
          <w:pgSz w:w="16840" w:h="11900" w:orient="landscape" w:code="9"/>
          <w:pgMar w:top="1418" w:right="1701" w:bottom="1418" w:left="1701" w:header="720" w:footer="567" w:gutter="567"/>
          <w:cols w:space="720"/>
          <w:docGrid w:linePitch="299"/>
        </w:sectPr>
      </w:pPr>
      <w:r w:rsidRPr="0027414C">
        <w:rPr>
          <w:rFonts w:ascii="Arial" w:hAnsi="Arial"/>
          <w:sz w:val="18"/>
          <w:szCs w:val="18"/>
        </w:rPr>
        <w:t>Sources: Graham et al. (2008); BITRE</w:t>
      </w:r>
      <w:r>
        <w:rPr>
          <w:rFonts w:ascii="Arial" w:hAnsi="Arial"/>
          <w:sz w:val="18"/>
          <w:szCs w:val="18"/>
        </w:rPr>
        <w:t xml:space="preserve"> and </w:t>
      </w:r>
      <w:r w:rsidRPr="0027414C">
        <w:rPr>
          <w:rFonts w:ascii="Arial" w:hAnsi="Arial"/>
          <w:sz w:val="18"/>
          <w:szCs w:val="18"/>
        </w:rPr>
        <w:t>CSIRO (2008)</w:t>
      </w:r>
      <w:r>
        <w:rPr>
          <w:rFonts w:ascii="Arial" w:hAnsi="Arial"/>
          <w:sz w:val="18"/>
          <w:szCs w:val="18"/>
        </w:rPr>
        <w:t>.</w:t>
      </w:r>
    </w:p>
    <w:p w:rsidR="000D142D" w:rsidRDefault="000D142D" w:rsidP="00AF37BE"/>
    <w:p w:rsidR="00A943B2" w:rsidRDefault="00A943B2" w:rsidP="00AF37BE"/>
    <w:p w:rsidR="00A943B2" w:rsidRDefault="00A943B2" w:rsidP="00840B15">
      <w:pPr>
        <w:pStyle w:val="BackCoverContactHeading"/>
        <w:sectPr w:rsidR="00A943B2" w:rsidSect="00224254">
          <w:headerReference w:type="default" r:id="rId94"/>
          <w:pgSz w:w="11906" w:h="16838" w:code="9"/>
          <w:pgMar w:top="1134" w:right="1134" w:bottom="1134" w:left="1134" w:header="510" w:footer="624" w:gutter="0"/>
          <w:pgNumType w:start="96"/>
          <w:cols w:space="284"/>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119"/>
        <w:gridCol w:w="454"/>
        <w:gridCol w:w="4536"/>
      </w:tblGrid>
      <w:tr w:rsidR="00A943B2" w:rsidTr="00BC46FA">
        <w:trPr>
          <w:trHeight w:hRule="exact" w:val="1588"/>
        </w:trPr>
        <w:tc>
          <w:tcPr>
            <w:tcW w:w="8109" w:type="dxa"/>
            <w:gridSpan w:val="3"/>
          </w:tcPr>
          <w:p w:rsidR="005F573F" w:rsidRDefault="00C14EF7" w:rsidP="003D6565">
            <w:pPr>
              <w:pStyle w:val="BackCoverContactDetails"/>
              <w:rPr>
                <w:szCs w:val="22"/>
              </w:rPr>
            </w:pPr>
            <w:r>
              <w:rPr>
                <w:noProof/>
              </w:rPr>
              <w:lastRenderedPageBreak/>
              <w:pict>
                <v:rect id="_x0000_s1038" style="position:absolute;margin-left:-59.8pt;margin-top:-58.75pt;width:598.3pt;height:605.25pt;z-index:-251593730" fillcolor="#00a9ce [3204]" stroked="f"/>
              </w:pict>
            </w:r>
            <w:r>
              <w:rPr>
                <w:noProof/>
              </w:rPr>
              <w:pict>
                <v:group id="Group 283" o:spid="_x0000_s1043" style="position:absolute;margin-left:-119.4pt;margin-top:-9.9pt;width:1164.8pt;height:774pt;z-index:-251582464" coordorigin="-1254,936" coordsize="23296,15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">
                  <v:group id="Canvas 1059" o:spid="_x0000_s1044" style="position:absolute;left:-85;top:936;width:14100;height:986" coordsize="89528,6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rect id="AutoShape 26" o:spid="_x0000_s1045" style="position:absolute;width:89528;height:62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TeAcUA&#10;AADbAAAADwAAAGRycy9kb3ducmV2LnhtbESPQWvCQBSE7wX/w/KEXkrdWKRImo2IIA1FkCbW8yP7&#10;mgSzb2N2m6T/3i0UPA4z8w2TbCbTioF611hWsFxEIIhLqxuuFJyK/fMahPPIGlvLpOCXHGzS2UOC&#10;sbYjf9KQ+0oECLsYFdTed7GUrqzJoFvYjjh437Y36IPsK6l7HAPctPIlil6lwYbDQo0d7WoqL/mP&#10;UTCWx+FcHN7l8emcWb5m113+9aHU43zavoHwNPl7+L+daQWrFfx9CT9A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hN4BxQAAANsAAAAPAAAAAAAAAAAAAAAAAJgCAABkcnMv&#10;ZG93bnJldi54bWxQSwUGAAAAAAQABAD1AAAAigMAAAAA&#10;" filled="f" stroked="f">
                      <o:lock v:ext="edit" aspectratio="t"/>
                    </v:rect>
                    <v:rect id="Rectangle 34" o:spid="_x0000_s1046" style="position:absolute;left:146;top:190;width:89223;height:59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bB8UA&#10;AADbAAAADwAAAGRycy9kb3ducmV2LnhtbESPQWsCMRSE7wX/Q3hCL0vN1lopq1GkpUUQhGrr+bF5&#10;boKbl+0mXdd/3whCj8PMfMPMl72rRUdtsJ4VPI5yEMSl15YrBV/794cXECEia6w9k4ILBVguBndz&#10;LLQ/8yd1u1iJBOFQoAITY1NIGUpDDsPIN8TJO/rWYUyyraRu8ZzgrpbjPJ9Kh5bTgsGGXg2Vp92v&#10;UzC+fLw1drsOp4Pts83Pd2aeukyp+2G/moGI1Mf/8K291gomz3D9kn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5tsHxQAAANsAAAAPAAAAAAAAAAAAAAAAAJgCAABkcnMv&#10;ZG93bnJldi54bWxQSwUGAAAAAAQABAD1AAAAigMAAAAA&#10;" fillcolor="#c8c7c7" stroked="f"/>
                    <v:group id="Group 91" o:spid="_x0000_s1047" style="position:absolute;left:114;top:190;width:89255;height:5950" coordorigin="114,190" coordsize="89255,5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rect id="Rectangle 35" o:spid="_x0000_s1048" style="position:absolute;left:146;top:190;width:89223;height:59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ZAdsQA&#10;AADbAAAADwAAAGRycy9kb3ducmV2LnhtbESPQWvCQBSE7wX/w/IEL6IbpVRJXUUEMUhBjNbzI/ua&#10;hGbfxuyapP++WxB6HGbmG2a16U0lWmpcaVnBbBqBIM6sLjlXcL3sJ0sQziNrrCyTgh9ysFkPXlYY&#10;a9vxmdrU5yJA2MWooPC+jqV0WUEG3dTWxMH7so1BH2STS91gF+CmkvMoepMGSw4LBda0Kyj7Th9G&#10;QZed2tvl4yBP41ti+Z7cd+nnUanRsN++g/DU+//ws51oBa8L+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WQHbEAAAA2wAAAA8AAAAAAAAAAAAAAAAAmAIAAGRycy9k&#10;b3ducmV2LnhtbFBLBQYAAAAABAAEAPUAAACJAwAAAAA=&#10;" fillcolor="#007e9a [2404]" stroked="f"/>
                      <v:rect id="Rectangle 36" o:spid="_x0000_s1049" style="position:absolute;left:114;top:984;width:89255;height:51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UOycEA&#10;AADbAAAADwAAAGRycy9kb3ducmV2LnhtbERPz2vCMBS+C/sfwht403QiMjqjlIEoehCr4I7P5tmU&#10;Ni+libX775eDsOPH93u5Hmwjeup85VjBxzQBQVw4XXGp4HLeTD5B+ICssXFMCn7Jw3r1Nlpiqt2T&#10;T9TnoRQxhH2KCkwIbSqlLwxZ9FPXEkfu7jqLIcKulLrDZwy3jZwlyUJarDg2GGzp21BR5w+rYPeT&#10;he3+9ti7a3aq84M59nV9VGr8PmRfIAIN4V/8cu+0gnkcG7/EHy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7lDsnBAAAA2wAAAA8AAAAAAAAAAAAAAAAAmAIAAGRycy9kb3du&#10;cmV2LnhtbFBLBQYAAAAABAAEAPUAAACGAwAAAAA=&#10;" fillcolor="#00313c [3205]" stroked="f"/>
                    </v:group>
                  </v:group>
                  <v:group id="Group 90" o:spid="_x0000_s1050" style="position:absolute;left:-1254;top:10163;width:23296;height:6253" coordorigin="31" coordsize="147930,39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rect id="Rectangle 48" o:spid="_x0000_s1051" style="position:absolute;left:6432;top:10363;width:76968;height:293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Ii5sEA&#10;AADbAAAADwAAAGRycy9kb3ducmV2LnhtbERPy2rCQBTdF/yH4RbcNTN9GDQ6SikIgu1CI7i9ZK5J&#10;MHMnZsYk/n1nUejycN6rzWgb0VPna8caXhMFgrhwpuZSwynfvsxB+IBssHFMGh7kYbOePK0wM27g&#10;A/XHUIoYwj5DDVUIbSalLyqy6BPXEkfu4jqLIcKulKbDIYbbRr4plUqLNceGClv6qqi4Hu9WA6Yf&#10;5vZzef/O9/cUF+WotrOz0nr6PH4uQQQaw7/4z70zGmZxffwSf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IubBAAAA2wAAAA8AAAAAAAAAAAAAAAAAmAIAAGRycy9kb3du&#10;cmV2LnhtbFBLBQYAAAAABAAEAPUAAACGAwAAAAA=&#10;" stroked="f"/>
                    <v:shape id="Freeform 49" o:spid="_x0000_s1052" style="position:absolute;left:31;width:123844;height:12071;visibility:visible;mso-wrap-style:square;v-text-anchor:top" coordsize="3831,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bHhMQA&#10;AADbAAAADwAAAGRycy9kb3ducmV2LnhtbESP3YrCMBSE7wXfIRzBuzVVdHepRhFBERXBH9DLs83Z&#10;ttqclCZqfXuzsODlMDPfMKNJbQpxp8rllhV0OxEI4sTqnFMFx8P84xuE88gaC8uk4EkOJuNmY4Sx&#10;tg/e0X3vUxEg7GJUkHlfxlK6JCODrmNL4uD92sqgD7JKpa7wEeCmkL0o+pQGcw4LGZY0yyi57m9G&#10;gb6Up/lqyn39s6Gz2S7Wm0P+pVS7VU+HIDzV/h3+by+1gkEX/r6EHyDH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Gx4TEAAAA2wAAAA8AAAAAAAAAAAAAAAAAmAIAAGRycy9k&#10;b3ducmV2LnhtbFBLBQYAAAAABAAEAPUAAACJAwAAAAA=&#10;" path="m3831,321c3531,150,3119,,2922,,,,,,,,,374,,374,,374v3389,,3389,,3389,c3559,374,3724,362,3831,321e" fillcolor="#00313c [3205]" stroked="f">
                      <v:path arrowok="t" o:connecttype="custom" o:connectlocs="400348278,33439575;305355695,0;0,0;0,38960766;354158281,38960766;400348278,33439575" o:connectangles="0,0,0,0,0,0"/>
                    </v:shape>
                    <v:shape id="Freeform 50" o:spid="_x0000_s1053" style="position:absolute;left:31;top:14014;width:98273;height:6198;visibility:visible;mso-wrap-style:square;v-text-anchor:top" coordsize="3040,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o0i8UA&#10;AADbAAAADwAAAGRycy9kb3ducmV2LnhtbESPT2sCMRTE7wW/Q3iCt5p1oSKrWaktRaV46Laox8fm&#10;7R+6eQmbqNtv3xSEHoeZ+Q2zWg+mE1fqfWtZwWyagCAurW65VvD1+fa4AOEDssbOMin4IQ/rfPSw&#10;wkzbG3/QtQi1iBD2GSpoQnCZlL5syKCfWkccvcr2BkOUfS11j7cIN51Mk2QuDbYcFxp09NJQ+V1c&#10;jIIt7lPv5GF+3GwP72V3spV7PSs1GQ/PSxCBhvAfvrd3WsFTCn9f4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GjSLxQAAANsAAAAPAAAAAAAAAAAAAAAAAJgCAABkcnMv&#10;ZG93bnJldi54bWxQSwUGAAAAAAQABAD1AAAAigMAAAAA&#10;" path="m3040,165c2886,77,2675,,2402,,,,,,,,,192,,192,,192v2641,,2641,,2641,c2901,192,2985,186,3040,165e" fillcolor="#00a9ce [3204]" stroked="f">
                      <v:path arrowok="t" o:connecttype="custom" o:connectlocs="317682343,17193187;251010836,0;0,0;0,20006628;275986531,20006628;317682343,17193187" o:connectangles="0,0,0,0,0,0"/>
                    </v:shape>
                    <v:shape id="Freeform 51" o:spid="_x0000_s1054" style="position:absolute;left:31;top:22694;width:147930;height:1423;visibility:visible;mso-wrap-style:square;v-text-anchor:top" coordsize="457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vazcMA&#10;AADbAAAADwAAAGRycy9kb3ducmV2LnhtbESPT4vCMBTE7wt+h/AEL6Kpiv+qUXRBKJ52VTw/m2db&#10;bF5Kk631228WhD0OM/MbZr1tTSkaql1hWcFoGIEgTq0uOFNwOR8GCxDOI2ssLZOCFznYbjofa4y1&#10;ffI3NSefiQBhF6OC3PsqltKlORl0Q1sRB+9ua4M+yDqTusZngJtSjqNoJg0WHBZyrOgzp/Rx+jEK&#10;9s1cft3S2/n4uh4mbf+SOFomSvW67W4FwlPr/8PvdqIVTCfw9yX8A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vazcMAAADbAAAADwAAAAAAAAAAAAAAAACYAgAAZHJzL2Rv&#10;d25yZXYueG1sUEsFBgAAAAAEAAQA9QAAAIgDAAAAAA==&#10;" path="m4576,38c4542,21,4493,,4431,,,,,,,,,44,,44,,44v4485,,4485,,4485,c4485,44,4566,40,4576,38e" fillcolor="#00313c [3205]" stroked="f">
                      <v:path arrowok="t" o:connecttype="custom" o:connectlocs="478217345,3972887;463064057,0;0,0;0,4600171;468707347,4600171;478217345,3972887" o:connectangles="0,0,0,0,0,0"/>
                    </v:shape>
                  </v:group>
                </v:group>
              </w:pict>
            </w:r>
          </w:p>
          <w:p w:rsidR="005F573F" w:rsidRPr="005F573F" w:rsidRDefault="005F573F" w:rsidP="005F573F"/>
          <w:p w:rsidR="005F573F" w:rsidRDefault="005F573F" w:rsidP="005F573F"/>
          <w:p w:rsidR="00A943B2" w:rsidRPr="005F573F" w:rsidRDefault="005F573F" w:rsidP="005F573F">
            <w:pPr>
              <w:tabs>
                <w:tab w:val="left" w:pos="6156"/>
              </w:tabs>
            </w:pPr>
            <w:r>
              <w:tab/>
            </w:r>
          </w:p>
        </w:tc>
      </w:tr>
      <w:tr w:rsidR="00A943B2" w:rsidRPr="00683E9B" w:rsidTr="003D6565">
        <w:tc>
          <w:tcPr>
            <w:tcW w:w="3119" w:type="dxa"/>
          </w:tcPr>
          <w:p w:rsidR="00A943B2" w:rsidRPr="00840B15" w:rsidRDefault="00A943B2" w:rsidP="00E7095D">
            <w:pPr>
              <w:pStyle w:val="BackCoverContactHeading"/>
            </w:pPr>
            <w:r w:rsidRPr="00840B15">
              <w:t>CONTACT US</w:t>
            </w:r>
          </w:p>
          <w:p w:rsidR="00A943B2" w:rsidRDefault="00A943B2" w:rsidP="00E7095D">
            <w:pPr>
              <w:pStyle w:val="BackCoverContactDetails"/>
              <w:rPr>
                <w:szCs w:val="22"/>
              </w:rPr>
            </w:pPr>
            <w:r w:rsidRPr="00840B15">
              <w:rPr>
                <w:rStyle w:val="BackCoverContactBold"/>
                <w:szCs w:val="22"/>
              </w:rPr>
              <w:t>t</w:t>
            </w:r>
            <w:r>
              <w:rPr>
                <w:szCs w:val="22"/>
              </w:rPr>
              <w:t xml:space="preserve"> </w:t>
            </w:r>
            <w:r>
              <w:rPr>
                <w:szCs w:val="22"/>
              </w:rPr>
              <w:tab/>
              <w:t>1300 363 400</w:t>
            </w:r>
          </w:p>
          <w:p w:rsidR="00A943B2" w:rsidRDefault="00A943B2" w:rsidP="00E7095D">
            <w:pPr>
              <w:pStyle w:val="BackCoverContactDetails"/>
              <w:rPr>
                <w:szCs w:val="22"/>
              </w:rPr>
            </w:pPr>
            <w:r>
              <w:tab/>
              <w:t>+61 3 9545 2176</w:t>
            </w:r>
          </w:p>
          <w:p w:rsidR="00A943B2" w:rsidRDefault="00A943B2" w:rsidP="00E7095D">
            <w:pPr>
              <w:pStyle w:val="BackCoverContactDetails"/>
              <w:rPr>
                <w:szCs w:val="22"/>
              </w:rPr>
            </w:pPr>
            <w:r w:rsidRPr="00840B15">
              <w:rPr>
                <w:rStyle w:val="BackCoverContactBold"/>
                <w:szCs w:val="22"/>
              </w:rPr>
              <w:t>e</w:t>
            </w:r>
            <w:r>
              <w:rPr>
                <w:szCs w:val="22"/>
              </w:rPr>
              <w:t xml:space="preserve"> </w:t>
            </w:r>
            <w:r>
              <w:rPr>
                <w:szCs w:val="22"/>
              </w:rPr>
              <w:tab/>
              <w:t>enquiries@csiro.au</w:t>
            </w:r>
          </w:p>
          <w:p w:rsidR="00A943B2" w:rsidRDefault="00A943B2" w:rsidP="00E7095D">
            <w:pPr>
              <w:pStyle w:val="BackCoverContactDetails"/>
              <w:rPr>
                <w:szCs w:val="22"/>
              </w:rPr>
            </w:pPr>
            <w:r w:rsidRPr="00840B15">
              <w:rPr>
                <w:rStyle w:val="BackCoverContactBold"/>
                <w:szCs w:val="22"/>
              </w:rPr>
              <w:t>w</w:t>
            </w:r>
            <w:r>
              <w:rPr>
                <w:szCs w:val="22"/>
              </w:rPr>
              <w:t xml:space="preserve"> </w:t>
            </w:r>
            <w:r>
              <w:rPr>
                <w:szCs w:val="22"/>
              </w:rPr>
              <w:tab/>
              <w:t>www.csiro.au</w:t>
            </w:r>
          </w:p>
          <w:p w:rsidR="00A943B2" w:rsidRDefault="00A943B2" w:rsidP="00E7095D">
            <w:pPr>
              <w:pStyle w:val="BackCoverContactHeading"/>
            </w:pPr>
            <w:r>
              <w:t xml:space="preserve">Your CSIRO </w:t>
            </w:r>
          </w:p>
          <w:p w:rsidR="00A943B2" w:rsidRDefault="00A943B2" w:rsidP="00E7095D">
            <w:pPr>
              <w:pStyle w:val="BackCoverContactDetails"/>
              <w:rPr>
                <w:szCs w:val="22"/>
              </w:rPr>
            </w:pPr>
            <w:smartTag w:uri="urn:schemas-microsoft-com:office:smarttags" w:element="place">
              <w:r>
                <w:rPr>
                  <w:szCs w:val="22"/>
                </w:rPr>
                <w:t>Australia</w:t>
              </w:r>
            </w:smartTag>
            <w:r>
              <w:rPr>
                <w:szCs w:val="22"/>
              </w:rPr>
              <w:t xml:space="preserve"> is founding its future on science and innovation. Its national science agency, CSIRO, is a powerhouse of ideas, technologies and skills for building prosperity, growth, health and sustainability. It serves governments, industries, business and communities across the nation.</w:t>
            </w:r>
          </w:p>
        </w:tc>
        <w:tc>
          <w:tcPr>
            <w:tcW w:w="454" w:type="dxa"/>
          </w:tcPr>
          <w:p w:rsidR="00A943B2" w:rsidRDefault="00A943B2" w:rsidP="00E7095D">
            <w:pPr>
              <w:pStyle w:val="BackCoverContactHeading"/>
            </w:pPr>
          </w:p>
        </w:tc>
        <w:tc>
          <w:tcPr>
            <w:tcW w:w="4536" w:type="dxa"/>
          </w:tcPr>
          <w:p w:rsidR="00A943B2" w:rsidRDefault="00A943B2" w:rsidP="00E7095D">
            <w:pPr>
              <w:pStyle w:val="BackCoverContactHeading"/>
            </w:pPr>
            <w:r>
              <w:t>For further information</w:t>
            </w:r>
          </w:p>
          <w:p w:rsidR="00A943B2" w:rsidRPr="00214440" w:rsidRDefault="00683E9B" w:rsidP="00E7095D">
            <w:pPr>
              <w:pStyle w:val="BackCoverContactDetails"/>
              <w:rPr>
                <w:rStyle w:val="BackCoverContactBold"/>
                <w:szCs w:val="22"/>
              </w:rPr>
            </w:pPr>
            <w:r>
              <w:rPr>
                <w:rStyle w:val="BackCoverContactBold"/>
                <w:szCs w:val="22"/>
              </w:rPr>
              <w:t>Energy Flagship</w:t>
            </w:r>
          </w:p>
          <w:p w:rsidR="00A943B2" w:rsidRDefault="00683E9B" w:rsidP="00E7095D">
            <w:pPr>
              <w:pStyle w:val="BackCoverContactDetails"/>
              <w:rPr>
                <w:szCs w:val="22"/>
              </w:rPr>
            </w:pPr>
            <w:r>
              <w:rPr>
                <w:szCs w:val="22"/>
              </w:rPr>
              <w:t>Paul Graham</w:t>
            </w:r>
          </w:p>
          <w:p w:rsidR="00A943B2" w:rsidRPr="00325FD8" w:rsidRDefault="00A943B2" w:rsidP="00E7095D">
            <w:pPr>
              <w:pStyle w:val="BackCoverContactDetails"/>
              <w:rPr>
                <w:szCs w:val="22"/>
                <w:lang w:val="nn-NO"/>
              </w:rPr>
            </w:pPr>
            <w:r w:rsidRPr="00325FD8">
              <w:rPr>
                <w:rStyle w:val="BackCoverContactBold"/>
                <w:szCs w:val="22"/>
                <w:lang w:val="nn-NO"/>
              </w:rPr>
              <w:t>t</w:t>
            </w:r>
            <w:r w:rsidR="00683E9B" w:rsidRPr="00325FD8">
              <w:rPr>
                <w:szCs w:val="22"/>
                <w:lang w:val="nn-NO"/>
              </w:rPr>
              <w:t xml:space="preserve"> </w:t>
            </w:r>
            <w:r w:rsidR="00683E9B" w:rsidRPr="00325FD8">
              <w:rPr>
                <w:szCs w:val="22"/>
                <w:lang w:val="nn-NO"/>
              </w:rPr>
              <w:tab/>
              <w:t xml:space="preserve">+61 </w:t>
            </w:r>
            <w:r w:rsidR="001A39A6" w:rsidRPr="00325FD8">
              <w:rPr>
                <w:szCs w:val="22"/>
                <w:lang w:val="nn-NO"/>
              </w:rPr>
              <w:t>2 4960 6061</w:t>
            </w:r>
          </w:p>
          <w:p w:rsidR="00A943B2" w:rsidRPr="00683E9B" w:rsidRDefault="00A943B2" w:rsidP="00E7095D">
            <w:pPr>
              <w:pStyle w:val="BackCoverContactDetails"/>
              <w:rPr>
                <w:szCs w:val="22"/>
                <w:lang w:val="nn-NO"/>
              </w:rPr>
            </w:pPr>
            <w:r w:rsidRPr="00683E9B">
              <w:rPr>
                <w:rStyle w:val="BackCoverContactBold"/>
                <w:szCs w:val="22"/>
                <w:lang w:val="nn-NO"/>
              </w:rPr>
              <w:t>e</w:t>
            </w:r>
            <w:r w:rsidR="00683E9B" w:rsidRPr="00683E9B">
              <w:rPr>
                <w:szCs w:val="22"/>
                <w:lang w:val="nn-NO"/>
              </w:rPr>
              <w:t xml:space="preserve"> </w:t>
            </w:r>
            <w:r w:rsidR="00683E9B" w:rsidRPr="00683E9B">
              <w:rPr>
                <w:szCs w:val="22"/>
                <w:lang w:val="nn-NO"/>
              </w:rPr>
              <w:tab/>
            </w:r>
            <w:r w:rsidR="00683E9B">
              <w:rPr>
                <w:szCs w:val="22"/>
                <w:lang w:val="nn-NO"/>
              </w:rPr>
              <w:t>paul.graham</w:t>
            </w:r>
            <w:r w:rsidRPr="00683E9B">
              <w:rPr>
                <w:szCs w:val="22"/>
                <w:lang w:val="nn-NO"/>
              </w:rPr>
              <w:t>@csiro.au</w:t>
            </w:r>
          </w:p>
          <w:p w:rsidR="00A943B2" w:rsidRPr="00683E9B" w:rsidRDefault="00A943B2" w:rsidP="00E7095D">
            <w:pPr>
              <w:pStyle w:val="BackCoverContactDetails"/>
              <w:rPr>
                <w:szCs w:val="22"/>
              </w:rPr>
            </w:pPr>
            <w:r w:rsidRPr="00683E9B">
              <w:rPr>
                <w:rStyle w:val="BackCoverContactBold"/>
                <w:szCs w:val="22"/>
              </w:rPr>
              <w:t>w</w:t>
            </w:r>
            <w:r w:rsidR="00683E9B" w:rsidRPr="00683E9B">
              <w:rPr>
                <w:szCs w:val="22"/>
              </w:rPr>
              <w:t xml:space="preserve"> </w:t>
            </w:r>
            <w:r w:rsidR="00683E9B" w:rsidRPr="00683E9B">
              <w:rPr>
                <w:szCs w:val="22"/>
              </w:rPr>
              <w:tab/>
              <w:t>www.csiro.au/Organisation-Structure/Flagships/Energy-Flagship.aspx</w:t>
            </w:r>
          </w:p>
          <w:p w:rsidR="00A943B2" w:rsidRPr="00683E9B" w:rsidRDefault="00A943B2" w:rsidP="00E7095D">
            <w:pPr>
              <w:pStyle w:val="BackCoverContactDetails"/>
              <w:rPr>
                <w:rStyle w:val="BackCoverContactBold"/>
                <w:szCs w:val="22"/>
              </w:rPr>
            </w:pPr>
          </w:p>
          <w:p w:rsidR="00A943B2" w:rsidRPr="00683E9B" w:rsidRDefault="00A943B2" w:rsidP="00E7095D">
            <w:pPr>
              <w:pStyle w:val="BackCoverContactDetails"/>
              <w:rPr>
                <w:szCs w:val="22"/>
              </w:rPr>
            </w:pPr>
          </w:p>
          <w:p w:rsidR="00A943B2" w:rsidRPr="00683E9B" w:rsidRDefault="00A943B2" w:rsidP="00E7095D">
            <w:pPr>
              <w:pStyle w:val="BackCoverContactDetails"/>
              <w:rPr>
                <w:szCs w:val="22"/>
              </w:rPr>
            </w:pPr>
          </w:p>
        </w:tc>
      </w:tr>
    </w:tbl>
    <w:p w:rsidR="00A943B2" w:rsidRPr="00683E9B" w:rsidRDefault="00A943B2" w:rsidP="003D6565">
      <w:pPr>
        <w:pStyle w:val="BackCoverContactHeading"/>
      </w:pPr>
    </w:p>
    <w:p w:rsidR="00A14107" w:rsidRPr="00683E9B" w:rsidRDefault="00C14EF7" w:rsidP="006C2F7A">
      <w:pPr>
        <w:spacing w:after="0"/>
        <w:rPr>
          <w:sz w:val="18"/>
          <w:lang w:val="nn-NO"/>
        </w:rPr>
      </w:pPr>
      <w:r w:rsidRPr="00C14EF7">
        <w:rPr>
          <w:noProof/>
        </w:rPr>
        <w:pict>
          <v:group id="Canvas 1072" o:spid="_x0000_s1040" editas="canvas" style="position:absolute;margin-left:-119.65pt;margin-top:584.85pt;width:1165.3pt;height:312.65pt;z-index:-251584512;mso-position-vertical-relative:page" coordsize="147993,39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">
            <v:shape id="_x0000_s1041" type="#_x0000_t75" style="position:absolute;width:147993;height:39706;visibility:visible">
              <v:fill o:detectmouseclick="t"/>
              <v:path o:connecttype="none"/>
            </v:shape>
            <v:shape id="Freeform 52" o:spid="_x0000_s1042" style="position:absolute;left:31;top:18434;width:136843;height:2806;visibility:visible;mso-wrap-style:square;v-text-anchor:top" coordsize="423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hAXMUA&#10;AADbAAAADwAAAGRycy9kb3ducmV2LnhtbESPT2sCMRTE70K/Q3gFb5qtoujWKP5piwcvtYXS2+vm&#10;dbN087Ik0V2/fSMIHoeZ+Q2zWHW2FmfyoXKs4GmYgSAunK64VPD58TqYgQgRWWPtmBRcKMBq+dBb&#10;YK5dy+90PsZSJAiHHBWYGJtcylAYshiGriFO3q/zFmOSvpTaY5vgtpajLJtKixWnBYMNbQ0Vf8eT&#10;VfC1O7xg+7Mt/PdsMm9av9Fva6NU/7FbP4OI1MV7+NbeawXjOVy/pB8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EBcxQAAANsAAAAPAAAAAAAAAAAAAAAAAJgCAABkcnMv&#10;ZG93bnJldi54bWxQSwUGAAAAAAQABAD1AAAAigMAAAAA&#10;" path="m4080,87v93,,127,-28,153,-37c4192,26,4159,,4082,,,,,,,,,87,,87,,87r4080,xe" stroked="f">
              <v:path arrowok="t" o:connecttype="custom" o:connectlocs="2147483647,905254307;2147483647,520262393;2147483647,0;0,0;0,905254307;2147483647,905254307" o:connectangles="0,0,0,0,0,0"/>
            </v:shape>
            <w10:wrap anchory="page"/>
          </v:group>
        </w:pict>
      </w:r>
    </w:p>
    <w:sectPr w:rsidR="00A14107" w:rsidRPr="00683E9B" w:rsidSect="005D5D01">
      <w:type w:val="evenPage"/>
      <w:pgSz w:w="11906" w:h="16838" w:code="9"/>
      <w:pgMar w:top="1134" w:right="1134" w:bottom="1134" w:left="1134" w:header="510" w:footer="624" w:gutter="0"/>
      <w:cols w:space="284"/>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7B8A" w:rsidRDefault="00957B8A" w:rsidP="009964E7">
      <w:r>
        <w:separator/>
      </w:r>
    </w:p>
    <w:p w:rsidR="00957B8A" w:rsidRDefault="00957B8A"/>
  </w:endnote>
  <w:endnote w:type="continuationSeparator" w:id="0">
    <w:p w:rsidR="00957B8A" w:rsidRDefault="00957B8A" w:rsidP="009964E7">
      <w:r>
        <w:continuationSeparator/>
      </w:r>
    </w:p>
    <w:p w:rsidR="00957B8A" w:rsidRDefault="00957B8A"/>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Feijoa Medium">
    <w:altName w:val="Arial"/>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Arial Bold">
    <w:altName w:val="Times New Roman"/>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Palatino">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ayout w:type="fixed"/>
      <w:tblCellMar>
        <w:left w:w="0" w:type="dxa"/>
        <w:right w:w="0" w:type="dxa"/>
      </w:tblCellMar>
      <w:tblLook w:val="00A0"/>
    </w:tblPr>
    <w:tblGrid>
      <w:gridCol w:w="9239"/>
    </w:tblGrid>
    <w:tr w:rsidR="00957B8A" w:rsidRPr="00CD5B9E" w:rsidTr="00CD5B9E">
      <w:trPr>
        <w:trHeight w:hRule="exact" w:val="737"/>
      </w:trPr>
      <w:tc>
        <w:tcPr>
          <w:tcW w:w="9239" w:type="dxa"/>
          <w:vAlign w:val="bottom"/>
        </w:tcPr>
        <w:p w:rsidR="00957B8A" w:rsidRPr="00CD5B9E" w:rsidRDefault="00957B8A" w:rsidP="00782488">
          <w:pPr>
            <w:pStyle w:val="Footer"/>
          </w:pPr>
        </w:p>
      </w:tc>
    </w:tr>
    <w:tr w:rsidR="00957B8A" w:rsidRPr="00CD5B9E" w:rsidTr="00CD5B9E">
      <w:trPr>
        <w:trHeight w:val="113"/>
      </w:trPr>
      <w:tc>
        <w:tcPr>
          <w:tcW w:w="9239" w:type="dxa"/>
        </w:tcPr>
        <w:p w:rsidR="00957B8A" w:rsidRPr="00CD5B9E" w:rsidRDefault="00957B8A">
          <w:pPr>
            <w:pStyle w:val="Footer"/>
          </w:pPr>
        </w:p>
      </w:tc>
    </w:tr>
  </w:tbl>
  <w:p w:rsidR="00957B8A" w:rsidRDefault="00957B8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7B8A" w:rsidRDefault="00957B8A" w:rsidP="004A575F">
    <w:pPr>
      <w:pStyle w:val="Footer"/>
      <w:tabs>
        <w:tab w:val="clear" w:pos="4513"/>
        <w:tab w:val="clear" w:pos="9026"/>
      </w:tabs>
    </w:pPr>
    <w:r>
      <w:rPr>
        <w:rStyle w:val="PageNumber"/>
      </w:rPr>
      <w:fldChar w:fldCharType="begin"/>
    </w:r>
    <w:r>
      <w:rPr>
        <w:rStyle w:val="PageNumber"/>
      </w:rPr>
      <w:instrText xml:space="preserve"> PAGE </w:instrText>
    </w:r>
    <w:r>
      <w:rPr>
        <w:rStyle w:val="PageNumber"/>
      </w:rPr>
      <w:fldChar w:fldCharType="separate"/>
    </w:r>
    <w:r w:rsidR="0053176E">
      <w:rPr>
        <w:rStyle w:val="PageNumber"/>
        <w:noProof/>
      </w:rPr>
      <w:t>vi</w:t>
    </w:r>
    <w:r>
      <w:rPr>
        <w:rStyle w:val="PageNumber"/>
      </w:rPr>
      <w:fldChar w:fldCharType="end"/>
    </w:r>
    <w:r>
      <w:rPr>
        <w:rStyle w:val="PageNumber"/>
      </w:rPr>
      <w:t xml:space="preserve">   </w:t>
    </w:r>
    <w:proofErr w:type="gramStart"/>
    <w:r>
      <w:rPr>
        <w:rStyle w:val="PageNumber"/>
      </w:rPr>
      <w:t xml:space="preserve">|  </w:t>
    </w:r>
    <w:proofErr w:type="gramEnd"/>
    <w:r>
      <w:fldChar w:fldCharType="begin"/>
    </w:r>
    <w:r>
      <w:instrText xml:space="preserve"> STYLEREF  CoverTitle </w:instrText>
    </w:r>
    <w:r>
      <w:fldChar w:fldCharType="separate"/>
    </w:r>
    <w:r w:rsidR="0053176E">
      <w:rPr>
        <w:noProof/>
      </w:rPr>
      <w:t>Transport Greenhouse Gas Emissions Projections 2013-2050</w:t>
    </w:r>
    <w: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7B8A" w:rsidRDefault="00957B8A" w:rsidP="004A575F">
    <w:pPr>
      <w:pStyle w:val="Footer"/>
      <w:tabs>
        <w:tab w:val="clear" w:pos="4513"/>
        <w:tab w:val="clear" w:pos="9026"/>
      </w:tabs>
      <w:jc w:val="right"/>
    </w:pPr>
    <w:fldSimple w:instr=" STYLEREF  CoverTitle ">
      <w:r w:rsidR="0053176E">
        <w:rPr>
          <w:noProof/>
        </w:rPr>
        <w:t>Transport Greenhouse Gas Emissions Projections 2013-2050</w:t>
      </w:r>
    </w:fldSimple>
    <w:r>
      <w:t xml:space="preserve">  </w:t>
    </w:r>
    <w:proofErr w:type="gramStart"/>
    <w:r>
      <w:t xml:space="preserve">|  </w:t>
    </w:r>
    <w:proofErr w:type="gramEnd"/>
    <w:r>
      <w:rPr>
        <w:rStyle w:val="PageNumber"/>
      </w:rPr>
      <w:fldChar w:fldCharType="begin"/>
    </w:r>
    <w:r>
      <w:rPr>
        <w:rStyle w:val="PageNumber"/>
      </w:rPr>
      <w:instrText xml:space="preserve"> PAGE </w:instrText>
    </w:r>
    <w:r>
      <w:rPr>
        <w:rStyle w:val="PageNumber"/>
      </w:rPr>
      <w:fldChar w:fldCharType="separate"/>
    </w:r>
    <w:r w:rsidR="0053176E">
      <w:rPr>
        <w:rStyle w:val="PageNumber"/>
        <w:noProof/>
      </w:rPr>
      <w:t>i</w:t>
    </w:r>
    <w:r>
      <w:rPr>
        <w:rStyle w:val="PageNumber"/>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7B8A" w:rsidRPr="008F06E7" w:rsidRDefault="00957B8A" w:rsidP="00300092">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7B8A" w:rsidRDefault="00957B8A" w:rsidP="00224254">
    <w:pPr>
      <w:pStyle w:val="Footer"/>
      <w:tabs>
        <w:tab w:val="clear" w:pos="4513"/>
        <w:tab w:val="clear" w:pos="9026"/>
      </w:tabs>
      <w:jc w:val="right"/>
    </w:pPr>
    <w:fldSimple w:instr=" STYLEREF  CoverTitle ">
      <w:r w:rsidR="0053176E">
        <w:rPr>
          <w:noProof/>
        </w:rPr>
        <w:t>Transport Greenhouse Gas Emissions Projections 2013-2050</w:t>
      </w:r>
    </w:fldSimple>
    <w:r>
      <w:t xml:space="preserve">  </w:t>
    </w:r>
    <w:proofErr w:type="gramStart"/>
    <w:r>
      <w:t xml:space="preserve">|  </w:t>
    </w:r>
    <w:proofErr w:type="gramEnd"/>
    <w:r>
      <w:rPr>
        <w:rStyle w:val="PageNumber"/>
      </w:rPr>
      <w:fldChar w:fldCharType="begin"/>
    </w:r>
    <w:r>
      <w:rPr>
        <w:rStyle w:val="PageNumber"/>
      </w:rPr>
      <w:instrText xml:space="preserve"> PAGE </w:instrText>
    </w:r>
    <w:r>
      <w:rPr>
        <w:rStyle w:val="PageNumber"/>
      </w:rPr>
      <w:fldChar w:fldCharType="separate"/>
    </w:r>
    <w:r w:rsidR="0053176E">
      <w:rPr>
        <w:rStyle w:val="PageNumber"/>
        <w:noProof/>
      </w:rPr>
      <w:t>97</w:t>
    </w:r>
    <w:r>
      <w:rPr>
        <w:rStyle w:val="PageNumber"/>
      </w:rPr>
      <w:fldChar w:fldCharType="end"/>
    </w:r>
  </w:p>
  <w:p w:rsidR="00957B8A" w:rsidRPr="00EC4147" w:rsidRDefault="00957B8A" w:rsidP="00300092">
    <w:pPr>
      <w:pStyle w:val="Footer"/>
      <w:tabs>
        <w:tab w:val="left" w:pos="284"/>
      </w:tabs>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7B8A" w:rsidRDefault="00957B8A" w:rsidP="009964E7">
      <w:r>
        <w:separator/>
      </w:r>
    </w:p>
    <w:p w:rsidR="00957B8A" w:rsidRDefault="00957B8A"/>
  </w:footnote>
  <w:footnote w:type="continuationSeparator" w:id="0">
    <w:p w:rsidR="00957B8A" w:rsidRDefault="00957B8A" w:rsidP="009964E7">
      <w:r>
        <w:continuationSeparator/>
      </w:r>
    </w:p>
    <w:p w:rsidR="00957B8A" w:rsidRDefault="00957B8A"/>
  </w:footnote>
  <w:footnote w:id="1">
    <w:p w:rsidR="00957B8A" w:rsidRDefault="00957B8A" w:rsidP="001A6556">
      <w:pPr>
        <w:pStyle w:val="FootnoteText"/>
      </w:pPr>
      <w:r>
        <w:rPr>
          <w:rStyle w:val="FootnoteReference"/>
        </w:rPr>
        <w:footnoteRef/>
      </w:r>
      <w:r>
        <w:t xml:space="preserve"> Electricity sector emissions have been declining since 2009</w:t>
      </w:r>
    </w:p>
  </w:footnote>
  <w:footnote w:id="2">
    <w:p w:rsidR="00957B8A" w:rsidRDefault="00957B8A" w:rsidP="001A6556">
      <w:pPr>
        <w:pStyle w:val="FootnoteText"/>
      </w:pPr>
      <w:r>
        <w:rPr>
          <w:rStyle w:val="FootnoteReference"/>
        </w:rPr>
        <w:footnoteRef/>
      </w:r>
      <w:r>
        <w:t xml:space="preserve"> These are explored in road sector modelling</w:t>
      </w:r>
    </w:p>
  </w:footnote>
  <w:footnote w:id="3">
    <w:p w:rsidR="00957B8A" w:rsidRDefault="00957B8A" w:rsidP="001A6556">
      <w:pPr>
        <w:pStyle w:val="FootnoteText"/>
      </w:pPr>
      <w:r>
        <w:rPr>
          <w:rStyle w:val="FootnoteReference"/>
        </w:rPr>
        <w:footnoteRef/>
      </w:r>
      <w:r>
        <w:t xml:space="preserve"> Electricity demand for biomass is inputted as a constant assumption based on modelling conducted outside of ESM. However, ESM can determine this amount independently as required.</w:t>
      </w:r>
    </w:p>
  </w:footnote>
  <w:footnote w:id="4">
    <w:p w:rsidR="00957B8A" w:rsidRDefault="00957B8A" w:rsidP="001A6556">
      <w:pPr>
        <w:pStyle w:val="FootnoteText"/>
      </w:pPr>
      <w:r>
        <w:rPr>
          <w:rStyle w:val="FootnoteReference"/>
        </w:rPr>
        <w:footnoteRef/>
      </w:r>
      <w:r>
        <w:t xml:space="preserve"> </w:t>
      </w:r>
      <w:r w:rsidRPr="00CD42FB">
        <w:rPr>
          <w:szCs w:val="16"/>
        </w:rPr>
        <w:t xml:space="preserve">Available at this web site: </w:t>
      </w:r>
      <w:hyperlink r:id="rId1" w:history="1">
        <w:r w:rsidRPr="00CD42FB">
          <w:rPr>
            <w:rStyle w:val="Hyperlink"/>
            <w:szCs w:val="16"/>
          </w:rPr>
          <w:t>http://www.csiro.au/science/Sustainable-Aviation-Fuels-Road-Map.html</w:t>
        </w:r>
      </w:hyperlink>
    </w:p>
  </w:footnote>
  <w:footnote w:id="5">
    <w:p w:rsidR="00957B8A" w:rsidRDefault="00957B8A" w:rsidP="001A6556">
      <w:pPr>
        <w:pStyle w:val="FootnoteText"/>
      </w:pPr>
      <w:r>
        <w:rPr>
          <w:rStyle w:val="FootnoteReference"/>
        </w:rPr>
        <w:footnoteRef/>
      </w:r>
      <w:r>
        <w:t xml:space="preserve"> </w:t>
      </w:r>
      <w:hyperlink r:id="rId2" w:history="1">
        <w:r w:rsidRPr="004C40A8">
          <w:rPr>
            <w:rStyle w:val="Hyperlink"/>
          </w:rPr>
          <w:t>http://www.comlaw.gov.au/Details/F2013L00990</w:t>
        </w:r>
      </w:hyperlink>
    </w:p>
  </w:footnote>
  <w:footnote w:id="6">
    <w:p w:rsidR="00957B8A" w:rsidRDefault="00957B8A" w:rsidP="001A6556">
      <w:pPr>
        <w:pStyle w:val="FootnoteText"/>
      </w:pPr>
      <w:r>
        <w:rPr>
          <w:rStyle w:val="FootnoteReference"/>
        </w:rPr>
        <w:footnoteRef/>
      </w:r>
      <w:r>
        <w:t xml:space="preserve"> For simplicity, we assume the policy remains in place indefinitely.</w:t>
      </w:r>
    </w:p>
  </w:footnote>
  <w:footnote w:id="7">
    <w:p w:rsidR="00957B8A" w:rsidRDefault="00957B8A" w:rsidP="001A6556">
      <w:pPr>
        <w:pStyle w:val="FootnoteText"/>
      </w:pPr>
      <w:r>
        <w:rPr>
          <w:rStyle w:val="FootnoteReference"/>
        </w:rPr>
        <w:footnoteRef/>
      </w:r>
      <w:r>
        <w:t xml:space="preserve"> See </w:t>
      </w:r>
      <w:hyperlink r:id="rId3" w:history="1">
        <w:r w:rsidRPr="00C73313">
          <w:rPr>
            <w:rStyle w:val="Hyperlink"/>
          </w:rPr>
          <w:t>http://www.biofuels.nsw.gov.au/legislation</w:t>
        </w:r>
      </w:hyperlink>
      <w:r>
        <w:t xml:space="preserve"> for further details beyond this summary</w:t>
      </w:r>
    </w:p>
  </w:footnote>
  <w:footnote w:id="8">
    <w:p w:rsidR="00957B8A" w:rsidRDefault="00957B8A" w:rsidP="001A6556">
      <w:pPr>
        <w:pStyle w:val="FootnoteText"/>
      </w:pPr>
      <w:r>
        <w:rPr>
          <w:rStyle w:val="FootnoteReference"/>
        </w:rPr>
        <w:footnoteRef/>
      </w:r>
      <w:r>
        <w:t xml:space="preserve"> </w:t>
      </w:r>
      <w:hyperlink r:id="rId4" w:history="1">
        <w:r w:rsidRPr="004C40A8">
          <w:rPr>
            <w:rStyle w:val="Hyperlink"/>
            <w:rFonts w:asciiTheme="minorHAnsi" w:hAnsiTheme="minorHAnsi"/>
          </w:rPr>
          <w:t>http://www.ausindustry.gov.au/programs/energy-fuels/lpgvs/Pages/default.aspx</w:t>
        </w:r>
      </w:hyperlink>
    </w:p>
  </w:footnote>
  <w:footnote w:id="9">
    <w:p w:rsidR="00957B8A" w:rsidRDefault="00957B8A">
      <w:pPr>
        <w:pStyle w:val="FootnoteText"/>
      </w:pPr>
      <w:r>
        <w:rPr>
          <w:rStyle w:val="FootnoteReference"/>
        </w:rPr>
        <w:footnoteRef/>
      </w:r>
      <w:r>
        <w:t xml:space="preserve"> For greenhouse gas emission calculations, CSIRO uses the AR2 global warming potentials (21 for CH</w:t>
      </w:r>
      <w:r>
        <w:rPr>
          <w:vertAlign w:val="subscript"/>
        </w:rPr>
        <w:t>4</w:t>
      </w:r>
      <w:r>
        <w:t xml:space="preserve"> and 310 for N</w:t>
      </w:r>
      <w:r>
        <w:rPr>
          <w:vertAlign w:val="subscript"/>
        </w:rPr>
        <w:t>2</w:t>
      </w:r>
      <w:r>
        <w:t>O).</w:t>
      </w:r>
    </w:p>
  </w:footnote>
  <w:footnote w:id="10">
    <w:p w:rsidR="00957B8A" w:rsidRDefault="00957B8A" w:rsidP="00300092">
      <w:pPr>
        <w:pStyle w:val="FootnoteText"/>
      </w:pPr>
      <w:r>
        <w:rPr>
          <w:rStyle w:val="FootnoteReference"/>
        </w:rPr>
        <w:footnoteRef/>
      </w:r>
      <w:r>
        <w:t xml:space="preserve"> </w:t>
      </w:r>
      <w:r w:rsidRPr="00F2641F">
        <w:rPr>
          <w:sz w:val="20"/>
        </w:rPr>
        <w:t>Consistent with experience overseas, there is expected to be seasonal variation in the ethanol content as ambient temperature affects performance of the fuel. This translates to lower ethanol content during the winter months.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7B8A" w:rsidRPr="00856EBB" w:rsidRDefault="00957B8A" w:rsidP="00300092">
    <w:pPr>
      <w:pStyle w:val="Header"/>
    </w:pPr>
    <w:fldSimple w:instr=" STYLEREF  &quot;Heading 1&quot;  \* MERGEFORMAT ">
      <w:r w:rsidR="0053176E">
        <w:rPr>
          <w:noProof/>
        </w:rPr>
        <w:t>Introduction</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7B8A" w:rsidRDefault="00957B8A" w:rsidP="00300092">
    <w:pPr>
      <w:pStyle w:val="Header"/>
      <w:jc w:val="right"/>
    </w:pPr>
    <w:fldSimple w:instr=" STYLEREF  &quot;Heading 1&quot;  \* MERGEFORMAT ">
      <w:r w:rsidR="0053176E">
        <w:rPr>
          <w:noProof/>
        </w:rPr>
        <w:t>Introduction</w:t>
      </w:r>
    </w:fldSimple>
    <w:r>
      <w:t>1</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7B8A" w:rsidRPr="00856EBB" w:rsidRDefault="00957B8A" w:rsidP="00300092">
    <w:pPr>
      <w:pStyle w:val="Header"/>
    </w:pPr>
    <w:fldSimple w:instr=" STYLEREF  &quot;Heading 1&quot;  \* MERGEFORMAT ">
      <w:r w:rsidR="0053176E">
        <w:rPr>
          <w:noProof/>
        </w:rPr>
        <w:t>Sensitivity cases</w:t>
      </w:r>
    </w:fldSimple>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7B8A" w:rsidRDefault="00957B8A" w:rsidP="00300092">
    <w:pPr>
      <w:pStyle w:val="Header"/>
      <w:jc w:val="right"/>
    </w:pPr>
    <w:fldSimple w:instr=" STYLEREF  &quot;Heading 1&quot;  \* MERGEFORMAT ">
      <w:r w:rsidR="0053176E">
        <w:rPr>
          <w:noProof/>
        </w:rPr>
        <w:t>Sensitivity cases</w:t>
      </w:r>
    </w:fldSimple>
    <w:r>
      <w:t>1</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7B8A" w:rsidRDefault="00957B8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style="position:absolute;margin-left:0;margin-top:0;width:427.85pt;height:171.15pt;rotation:315;z-index:-25165875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7B8A" w:rsidRDefault="00957B8A" w:rsidP="002A47D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CC3EF2D2"/>
    <w:lvl w:ilvl="0">
      <w:start w:val="1"/>
      <w:numFmt w:val="lowerLetter"/>
      <w:pStyle w:val="ListNumber2"/>
      <w:lvlText w:val="%1."/>
      <w:lvlJc w:val="left"/>
      <w:pPr>
        <w:ind w:left="643" w:hanging="360"/>
      </w:pPr>
    </w:lvl>
  </w:abstractNum>
  <w:abstractNum w:abstractNumId="1">
    <w:nsid w:val="FFFFFF80"/>
    <w:multiLevelType w:val="singleLevel"/>
    <w:tmpl w:val="B442ECCC"/>
    <w:lvl w:ilvl="0">
      <w:start w:val="1"/>
      <w:numFmt w:val="bullet"/>
      <w:pStyle w:val="ListNumber5"/>
      <w:lvlText w:val=""/>
      <w:lvlJc w:val="left"/>
      <w:pPr>
        <w:tabs>
          <w:tab w:val="num" w:pos="1492"/>
        </w:tabs>
        <w:ind w:left="1492" w:hanging="360"/>
      </w:pPr>
      <w:rPr>
        <w:rFonts w:ascii="Symbol" w:hAnsi="Symbol" w:hint="default"/>
      </w:rPr>
    </w:lvl>
  </w:abstractNum>
  <w:abstractNum w:abstractNumId="2">
    <w:nsid w:val="FFFFFF81"/>
    <w:multiLevelType w:val="singleLevel"/>
    <w:tmpl w:val="B77C9CB0"/>
    <w:lvl w:ilvl="0">
      <w:start w:val="1"/>
      <w:numFmt w:val="bullet"/>
      <w:pStyle w:val="ListNumber4"/>
      <w:lvlText w:val=""/>
      <w:lvlJc w:val="left"/>
      <w:pPr>
        <w:tabs>
          <w:tab w:val="num" w:pos="1209"/>
        </w:tabs>
        <w:ind w:left="1209" w:hanging="360"/>
      </w:pPr>
      <w:rPr>
        <w:rFonts w:ascii="Symbol" w:hAnsi="Symbol" w:hint="default"/>
      </w:rPr>
    </w:lvl>
  </w:abstractNum>
  <w:abstractNum w:abstractNumId="3">
    <w:nsid w:val="FFFFFF82"/>
    <w:multiLevelType w:val="singleLevel"/>
    <w:tmpl w:val="860A9B14"/>
    <w:lvl w:ilvl="0">
      <w:start w:val="1"/>
      <w:numFmt w:val="bullet"/>
      <w:pStyle w:val="ListNumber3"/>
      <w:lvlText w:val=""/>
      <w:lvlJc w:val="left"/>
      <w:pPr>
        <w:tabs>
          <w:tab w:val="num" w:pos="926"/>
        </w:tabs>
        <w:ind w:left="926" w:hanging="360"/>
      </w:pPr>
      <w:rPr>
        <w:rFonts w:ascii="Symbol" w:hAnsi="Symbol" w:hint="default"/>
      </w:rPr>
    </w:lvl>
  </w:abstractNum>
  <w:abstractNum w:abstractNumId="4">
    <w:nsid w:val="FFFFFF83"/>
    <w:multiLevelType w:val="singleLevel"/>
    <w:tmpl w:val="2716FB9A"/>
    <w:lvl w:ilvl="0">
      <w:start w:val="1"/>
      <w:numFmt w:val="bullet"/>
      <w:pStyle w:val="ListBullet5"/>
      <w:lvlText w:val="–"/>
      <w:lvlJc w:val="left"/>
      <w:pPr>
        <w:ind w:left="360" w:hanging="360"/>
      </w:pPr>
      <w:rPr>
        <w:rFonts w:ascii="Feijoa Medium" w:hAnsi="Feijoa Medium" w:hint="default"/>
      </w:rPr>
    </w:lvl>
  </w:abstractNum>
  <w:abstractNum w:abstractNumId="5">
    <w:nsid w:val="FFFFFF88"/>
    <w:multiLevelType w:val="singleLevel"/>
    <w:tmpl w:val="87D43BCA"/>
    <w:lvl w:ilvl="0">
      <w:start w:val="1"/>
      <w:numFmt w:val="decimal"/>
      <w:pStyle w:val="ListBullet4"/>
      <w:lvlText w:val="%1."/>
      <w:lvlJc w:val="left"/>
      <w:pPr>
        <w:ind w:left="360" w:hanging="360"/>
      </w:pPr>
      <w:rPr>
        <w:rFonts w:cs="Times New Roman"/>
      </w:rPr>
    </w:lvl>
  </w:abstractNum>
  <w:abstractNum w:abstractNumId="6">
    <w:nsid w:val="FFFFFFFE"/>
    <w:multiLevelType w:val="singleLevel"/>
    <w:tmpl w:val="A17464F8"/>
    <w:lvl w:ilvl="0">
      <w:numFmt w:val="decimal"/>
      <w:pStyle w:val="Dot1"/>
      <w:lvlText w:val="*"/>
      <w:lvlJc w:val="left"/>
      <w:rPr>
        <w:rFonts w:cs="Times New Roman"/>
      </w:rPr>
    </w:lvl>
  </w:abstractNum>
  <w:abstractNum w:abstractNumId="7">
    <w:nsid w:val="03922217"/>
    <w:multiLevelType w:val="hybridMultilevel"/>
    <w:tmpl w:val="F41C7B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5A71813"/>
    <w:multiLevelType w:val="hybridMultilevel"/>
    <w:tmpl w:val="7E62D63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nsid w:val="0E016837"/>
    <w:multiLevelType w:val="hybridMultilevel"/>
    <w:tmpl w:val="9A4822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E1C0584"/>
    <w:multiLevelType w:val="singleLevel"/>
    <w:tmpl w:val="320C8674"/>
    <w:lvl w:ilvl="0">
      <w:start w:val="1"/>
      <w:numFmt w:val="decimal"/>
      <w:pStyle w:val="Tablelistnumber"/>
      <w:lvlText w:val="%1."/>
      <w:lvlJc w:val="left"/>
      <w:pPr>
        <w:tabs>
          <w:tab w:val="num" w:pos="170"/>
        </w:tabs>
        <w:ind w:left="170" w:hanging="227"/>
      </w:pPr>
      <w:rPr>
        <w:rFonts w:cs="Times New Roman" w:hint="default"/>
      </w:rPr>
    </w:lvl>
  </w:abstractNum>
  <w:abstractNum w:abstractNumId="11">
    <w:nsid w:val="0FAA13C6"/>
    <w:multiLevelType w:val="hybridMultilevel"/>
    <w:tmpl w:val="920680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FCD5BE7"/>
    <w:multiLevelType w:val="singleLevel"/>
    <w:tmpl w:val="CA500FD4"/>
    <w:lvl w:ilvl="0">
      <w:start w:val="1"/>
      <w:numFmt w:val="bullet"/>
      <w:pStyle w:val="KeyPoints"/>
      <w:lvlText w:val=""/>
      <w:lvlJc w:val="left"/>
      <w:pPr>
        <w:ind w:left="360" w:hanging="360"/>
      </w:pPr>
      <w:rPr>
        <w:rFonts w:ascii="Wingdings" w:hAnsi="Wingdings" w:hint="default"/>
        <w:color w:val="17365D"/>
      </w:rPr>
    </w:lvl>
  </w:abstractNum>
  <w:abstractNum w:abstractNumId="13">
    <w:nsid w:val="0FD50E2C"/>
    <w:multiLevelType w:val="multilevel"/>
    <w:tmpl w:val="71F6571A"/>
    <w:styleLink w:val="ATbulletedlist"/>
    <w:lvl w:ilvl="0">
      <w:start w:val="1"/>
      <w:numFmt w:val="bullet"/>
      <w:lvlText w:val="•"/>
      <w:lvlJc w:val="left"/>
      <w:pPr>
        <w:ind w:left="340" w:hanging="340"/>
      </w:pPr>
      <w:rPr>
        <w:rFonts w:ascii="Garamond" w:hAnsi="Garamond" w:hint="default"/>
      </w:rPr>
    </w:lvl>
    <w:lvl w:ilvl="1">
      <w:start w:val="1"/>
      <w:numFmt w:val="bullet"/>
      <w:lvlText w:val="−"/>
      <w:lvlJc w:val="left"/>
      <w:pPr>
        <w:ind w:left="680" w:hanging="340"/>
      </w:pPr>
      <w:rPr>
        <w:rFonts w:ascii="Garamond" w:hAnsi="Garamond"/>
        <w:sz w:val="24"/>
      </w:rPr>
    </w:lvl>
    <w:lvl w:ilvl="2">
      <w:start w:val="1"/>
      <w:numFmt w:val="bullet"/>
      <w:lvlText w:val="…"/>
      <w:lvlJc w:val="left"/>
      <w:pPr>
        <w:ind w:left="1020" w:hanging="340"/>
      </w:pPr>
      <w:rPr>
        <w:rFonts w:ascii="Garamond" w:hAnsi="Garamond" w:hint="default"/>
      </w:rPr>
    </w:lvl>
    <w:lvl w:ilvl="3">
      <w:start w:val="1"/>
      <w:numFmt w:val="bullet"/>
      <w:lvlText w:val="•"/>
      <w:lvlJc w:val="left"/>
      <w:pPr>
        <w:ind w:left="1360" w:hanging="340"/>
      </w:pPr>
      <w:rPr>
        <w:rFonts w:ascii="Garamond" w:hAnsi="Garamond" w:hint="default"/>
      </w:rPr>
    </w:lvl>
    <w:lvl w:ilvl="4">
      <w:start w:val="1"/>
      <w:numFmt w:val="bullet"/>
      <w:lvlText w:val="−"/>
      <w:lvlJc w:val="left"/>
      <w:pPr>
        <w:ind w:left="1700" w:hanging="340"/>
      </w:pPr>
      <w:rPr>
        <w:rFonts w:ascii="Garamond" w:hAnsi="Garamond" w:hint="default"/>
      </w:rPr>
    </w:lvl>
    <w:lvl w:ilvl="5">
      <w:start w:val="1"/>
      <w:numFmt w:val="bullet"/>
      <w:lvlText w:val="…"/>
      <w:lvlJc w:val="left"/>
      <w:pPr>
        <w:ind w:left="2040" w:hanging="340"/>
      </w:pPr>
      <w:rPr>
        <w:rFonts w:ascii="Garamond" w:hAnsi="Garamond" w:hint="default"/>
      </w:rPr>
    </w:lvl>
    <w:lvl w:ilvl="6">
      <w:start w:val="1"/>
      <w:numFmt w:val="none"/>
      <w:lvlText w:val="%7"/>
      <w:lvlJc w:val="left"/>
      <w:pPr>
        <w:ind w:left="2380" w:hanging="340"/>
      </w:pPr>
      <w:rPr>
        <w:rFonts w:ascii="Garamond" w:hAnsi="Garamond" w:cs="Times New Roman" w:hint="default"/>
      </w:rPr>
    </w:lvl>
    <w:lvl w:ilvl="7">
      <w:start w:val="1"/>
      <w:numFmt w:val="none"/>
      <w:lvlText w:val="%8"/>
      <w:lvlJc w:val="left"/>
      <w:pPr>
        <w:ind w:left="2720" w:hanging="340"/>
      </w:pPr>
      <w:rPr>
        <w:rFonts w:ascii="Garamond" w:hAnsi="Garamond" w:cs="Times New Roman" w:hint="default"/>
      </w:rPr>
    </w:lvl>
    <w:lvl w:ilvl="8">
      <w:start w:val="1"/>
      <w:numFmt w:val="none"/>
      <w:lvlText w:val="%9"/>
      <w:lvlJc w:val="left"/>
      <w:pPr>
        <w:ind w:left="3060" w:hanging="340"/>
      </w:pPr>
      <w:rPr>
        <w:rFonts w:ascii="Garamond" w:hAnsi="Garamond" w:cs="Times New Roman" w:hint="default"/>
      </w:rPr>
    </w:lvl>
  </w:abstractNum>
  <w:abstractNum w:abstractNumId="14">
    <w:nsid w:val="122679AB"/>
    <w:multiLevelType w:val="hybridMultilevel"/>
    <w:tmpl w:val="7B8ADE0C"/>
    <w:lvl w:ilvl="0" w:tplc="0C090001">
      <w:start w:val="1"/>
      <w:numFmt w:val="bullet"/>
      <w:pStyle w:val="IGbullet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086735F"/>
    <w:multiLevelType w:val="multilevel"/>
    <w:tmpl w:val="F1420D32"/>
    <w:styleLink w:val="TableBullets"/>
    <w:lvl w:ilvl="0">
      <w:start w:val="1"/>
      <w:numFmt w:val="bullet"/>
      <w:pStyle w:val="TableBullet"/>
      <w:lvlText w:val=""/>
      <w:lvlJc w:val="left"/>
      <w:pPr>
        <w:tabs>
          <w:tab w:val="num" w:pos="170"/>
        </w:tabs>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nsid w:val="21050236"/>
    <w:multiLevelType w:val="multilevel"/>
    <w:tmpl w:val="FD7E8B74"/>
    <w:styleLink w:val="Sources"/>
    <w:lvl w:ilvl="0">
      <w:start w:val="1"/>
      <w:numFmt w:val="none"/>
      <w:lvlText w:val="Source:"/>
      <w:lvlJc w:val="left"/>
      <w:pPr>
        <w:tabs>
          <w:tab w:val="num" w:pos="624"/>
        </w:tabs>
        <w:ind w:left="624" w:hanging="624"/>
      </w:pPr>
      <w:rPr>
        <w:rFonts w:cs="Times New Roman" w:hint="default"/>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17">
    <w:nsid w:val="21A14E74"/>
    <w:multiLevelType w:val="hybridMultilevel"/>
    <w:tmpl w:val="2108977E"/>
    <w:lvl w:ilvl="0" w:tplc="7D56D05A">
      <w:start w:val="1"/>
      <w:numFmt w:val="decimal"/>
      <w:pStyle w:val="NumberedList"/>
      <w:lvlText w:val="%1."/>
      <w:lvlJc w:val="left"/>
      <w:pPr>
        <w:tabs>
          <w:tab w:val="num" w:pos="360"/>
        </w:tabs>
        <w:ind w:left="360" w:hanging="360"/>
      </w:pPr>
      <w:rPr>
        <w:rFonts w:cs="Times New Roman" w:hint="default"/>
      </w:rPr>
    </w:lvl>
    <w:lvl w:ilvl="1" w:tplc="9358359A" w:tentative="1">
      <w:start w:val="1"/>
      <w:numFmt w:val="lowerLetter"/>
      <w:lvlText w:val="%2."/>
      <w:lvlJc w:val="left"/>
      <w:pPr>
        <w:tabs>
          <w:tab w:val="num" w:pos="1440"/>
        </w:tabs>
        <w:ind w:left="1440" w:hanging="360"/>
      </w:pPr>
      <w:rPr>
        <w:rFonts w:cs="Times New Roman"/>
      </w:rPr>
    </w:lvl>
    <w:lvl w:ilvl="2" w:tplc="D7BA9F90" w:tentative="1">
      <w:start w:val="1"/>
      <w:numFmt w:val="lowerRoman"/>
      <w:lvlText w:val="%3."/>
      <w:lvlJc w:val="right"/>
      <w:pPr>
        <w:tabs>
          <w:tab w:val="num" w:pos="2160"/>
        </w:tabs>
        <w:ind w:left="2160" w:hanging="180"/>
      </w:pPr>
      <w:rPr>
        <w:rFonts w:cs="Times New Roman"/>
      </w:rPr>
    </w:lvl>
    <w:lvl w:ilvl="3" w:tplc="D826C212" w:tentative="1">
      <w:start w:val="1"/>
      <w:numFmt w:val="decimal"/>
      <w:lvlText w:val="%4."/>
      <w:lvlJc w:val="left"/>
      <w:pPr>
        <w:tabs>
          <w:tab w:val="num" w:pos="2880"/>
        </w:tabs>
        <w:ind w:left="2880" w:hanging="360"/>
      </w:pPr>
      <w:rPr>
        <w:rFonts w:cs="Times New Roman"/>
      </w:rPr>
    </w:lvl>
    <w:lvl w:ilvl="4" w:tplc="D8444EE6" w:tentative="1">
      <w:start w:val="1"/>
      <w:numFmt w:val="lowerLetter"/>
      <w:lvlText w:val="%5."/>
      <w:lvlJc w:val="left"/>
      <w:pPr>
        <w:tabs>
          <w:tab w:val="num" w:pos="3600"/>
        </w:tabs>
        <w:ind w:left="3600" w:hanging="360"/>
      </w:pPr>
      <w:rPr>
        <w:rFonts w:cs="Times New Roman"/>
      </w:rPr>
    </w:lvl>
    <w:lvl w:ilvl="5" w:tplc="50D09208" w:tentative="1">
      <w:start w:val="1"/>
      <w:numFmt w:val="lowerRoman"/>
      <w:lvlText w:val="%6."/>
      <w:lvlJc w:val="right"/>
      <w:pPr>
        <w:tabs>
          <w:tab w:val="num" w:pos="4320"/>
        </w:tabs>
        <w:ind w:left="4320" w:hanging="180"/>
      </w:pPr>
      <w:rPr>
        <w:rFonts w:cs="Times New Roman"/>
      </w:rPr>
    </w:lvl>
    <w:lvl w:ilvl="6" w:tplc="BC44EF80" w:tentative="1">
      <w:start w:val="1"/>
      <w:numFmt w:val="decimal"/>
      <w:lvlText w:val="%7."/>
      <w:lvlJc w:val="left"/>
      <w:pPr>
        <w:tabs>
          <w:tab w:val="num" w:pos="5040"/>
        </w:tabs>
        <w:ind w:left="5040" w:hanging="360"/>
      </w:pPr>
      <w:rPr>
        <w:rFonts w:cs="Times New Roman"/>
      </w:rPr>
    </w:lvl>
    <w:lvl w:ilvl="7" w:tplc="9E5838EC" w:tentative="1">
      <w:start w:val="1"/>
      <w:numFmt w:val="lowerLetter"/>
      <w:lvlText w:val="%8."/>
      <w:lvlJc w:val="left"/>
      <w:pPr>
        <w:tabs>
          <w:tab w:val="num" w:pos="5760"/>
        </w:tabs>
        <w:ind w:left="5760" w:hanging="360"/>
      </w:pPr>
      <w:rPr>
        <w:rFonts w:cs="Times New Roman"/>
      </w:rPr>
    </w:lvl>
    <w:lvl w:ilvl="8" w:tplc="403A4786" w:tentative="1">
      <w:start w:val="1"/>
      <w:numFmt w:val="lowerRoman"/>
      <w:lvlText w:val="%9."/>
      <w:lvlJc w:val="right"/>
      <w:pPr>
        <w:tabs>
          <w:tab w:val="num" w:pos="6480"/>
        </w:tabs>
        <w:ind w:left="6480" w:hanging="180"/>
      </w:pPr>
      <w:rPr>
        <w:rFonts w:cs="Times New Roman"/>
      </w:rPr>
    </w:lvl>
  </w:abstractNum>
  <w:abstractNum w:abstractNumId="18">
    <w:nsid w:val="27440C8B"/>
    <w:multiLevelType w:val="multilevel"/>
    <w:tmpl w:val="CE4E3C82"/>
    <w:lvl w:ilvl="0">
      <w:start w:val="1"/>
      <w:numFmt w:val="bullet"/>
      <w:pStyle w:val="Bullet"/>
      <w:lvlText w:val="•"/>
      <w:lvlJc w:val="left"/>
      <w:pPr>
        <w:tabs>
          <w:tab w:val="num" w:pos="567"/>
        </w:tabs>
        <w:ind w:left="567" w:hanging="284"/>
      </w:pPr>
      <w:rPr>
        <w:rFonts w:ascii="Garamond" w:hAnsi="Garamond" w:hint="default"/>
        <w:b w:val="0"/>
        <w:i w:val="0"/>
        <w:color w:val="0072AB"/>
        <w:sz w:val="20"/>
        <w:szCs w:val="20"/>
      </w:rPr>
    </w:lvl>
    <w:lvl w:ilvl="1">
      <w:start w:val="1"/>
      <w:numFmt w:val="bullet"/>
      <w:pStyle w:val="Dash"/>
      <w:lvlText w:val="–"/>
      <w:lvlJc w:val="left"/>
      <w:pPr>
        <w:tabs>
          <w:tab w:val="num" w:pos="850"/>
        </w:tabs>
        <w:ind w:left="850" w:hanging="283"/>
      </w:pPr>
      <w:rPr>
        <w:rFonts w:ascii="Garamond" w:hAnsi="Garamond" w:hint="default"/>
        <w:b w:val="0"/>
        <w:i w:val="0"/>
        <w:color w:val="215379"/>
      </w:rPr>
    </w:lvl>
    <w:lvl w:ilvl="2">
      <w:start w:val="1"/>
      <w:numFmt w:val="bullet"/>
      <w:pStyle w:val="DoubleDot"/>
      <w:lvlText w:val=":"/>
      <w:lvlJc w:val="left"/>
      <w:pPr>
        <w:tabs>
          <w:tab w:val="num" w:pos="1134"/>
        </w:tabs>
        <w:ind w:left="1134" w:hanging="284"/>
      </w:pPr>
      <w:rPr>
        <w:rFonts w:ascii="Times New Roman" w:hAnsi="Times New Roman" w:cs="Times New Roman" w:hint="default"/>
        <w:b w:val="0"/>
        <w:i w:val="0"/>
        <w:color w:val="A45606"/>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9">
    <w:nsid w:val="275F1B68"/>
    <w:multiLevelType w:val="hybridMultilevel"/>
    <w:tmpl w:val="475AB1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28B57485"/>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1">
    <w:nsid w:val="2B953D92"/>
    <w:multiLevelType w:val="singleLevel"/>
    <w:tmpl w:val="27E615B8"/>
    <w:lvl w:ilvl="0">
      <w:start w:val="1"/>
      <w:numFmt w:val="bullet"/>
      <w:pStyle w:val="Tablelistbullet"/>
      <w:lvlText w:val="•"/>
      <w:lvlJc w:val="left"/>
      <w:pPr>
        <w:tabs>
          <w:tab w:val="num" w:pos="170"/>
        </w:tabs>
        <w:ind w:left="170" w:hanging="227"/>
      </w:pPr>
      <w:rPr>
        <w:rFonts w:ascii="Arial" w:hAnsi="Arial" w:hint="default"/>
      </w:rPr>
    </w:lvl>
  </w:abstractNum>
  <w:abstractNum w:abstractNumId="22">
    <w:nsid w:val="2D2063FC"/>
    <w:multiLevelType w:val="multilevel"/>
    <w:tmpl w:val="0C09001D"/>
    <w:styleLink w:val="ATNumberedList"/>
    <w:lvl w:ilvl="0">
      <w:start w:val="1"/>
      <w:numFmt w:val="decimal"/>
      <w:lvlText w:val="%1)"/>
      <w:lvlJc w:val="left"/>
      <w:pPr>
        <w:ind w:left="360" w:hanging="360"/>
      </w:pPr>
      <w:rPr>
        <w:rFonts w:ascii="Calibri" w:hAnsi="Calibri"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3">
    <w:nsid w:val="2D8502EA"/>
    <w:multiLevelType w:val="singleLevel"/>
    <w:tmpl w:val="FC8AD55C"/>
    <w:lvl w:ilvl="0">
      <w:start w:val="1"/>
      <w:numFmt w:val="decimal"/>
      <w:pStyle w:val="BoxListNumber"/>
      <w:lvlText w:val="%1."/>
      <w:lvlJc w:val="left"/>
      <w:pPr>
        <w:tabs>
          <w:tab w:val="num" w:pos="227"/>
        </w:tabs>
        <w:ind w:left="227" w:hanging="227"/>
      </w:pPr>
      <w:rPr>
        <w:rFonts w:cs="Times New Roman" w:hint="default"/>
      </w:rPr>
    </w:lvl>
  </w:abstractNum>
  <w:abstractNum w:abstractNumId="24">
    <w:nsid w:val="2FE34A8E"/>
    <w:multiLevelType w:val="hybridMultilevel"/>
    <w:tmpl w:val="E5D6C5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342E02F8"/>
    <w:multiLevelType w:val="hybridMultilevel"/>
    <w:tmpl w:val="12F82E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36466AE5"/>
    <w:multiLevelType w:val="hybridMultilevel"/>
    <w:tmpl w:val="45A08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367614C6"/>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8">
    <w:nsid w:val="36F5130E"/>
    <w:multiLevelType w:val="hybridMultilevel"/>
    <w:tmpl w:val="86A0523C"/>
    <w:lvl w:ilvl="0" w:tplc="2C68FE30">
      <w:start w:val="1"/>
      <w:numFmt w:val="bullet"/>
      <w:lvlText w:val=""/>
      <w:lvlJc w:val="left"/>
      <w:pPr>
        <w:ind w:left="720" w:hanging="360"/>
      </w:pPr>
      <w:rPr>
        <w:rFonts w:ascii="Symbol" w:hAnsi="Symbol" w:hint="default"/>
      </w:rPr>
    </w:lvl>
    <w:lvl w:ilvl="1" w:tplc="FC6AF6B0" w:tentative="1">
      <w:start w:val="1"/>
      <w:numFmt w:val="bullet"/>
      <w:lvlText w:val="o"/>
      <w:lvlJc w:val="left"/>
      <w:pPr>
        <w:ind w:left="1440" w:hanging="360"/>
      </w:pPr>
      <w:rPr>
        <w:rFonts w:ascii="Courier New" w:hAnsi="Courier New" w:cs="Courier New" w:hint="default"/>
      </w:rPr>
    </w:lvl>
    <w:lvl w:ilvl="2" w:tplc="83561696" w:tentative="1">
      <w:start w:val="1"/>
      <w:numFmt w:val="bullet"/>
      <w:lvlText w:val=""/>
      <w:lvlJc w:val="left"/>
      <w:pPr>
        <w:ind w:left="2160" w:hanging="360"/>
      </w:pPr>
      <w:rPr>
        <w:rFonts w:ascii="Wingdings" w:hAnsi="Wingdings" w:hint="default"/>
      </w:rPr>
    </w:lvl>
    <w:lvl w:ilvl="3" w:tplc="F056ABC8" w:tentative="1">
      <w:start w:val="1"/>
      <w:numFmt w:val="bullet"/>
      <w:lvlText w:val=""/>
      <w:lvlJc w:val="left"/>
      <w:pPr>
        <w:ind w:left="2880" w:hanging="360"/>
      </w:pPr>
      <w:rPr>
        <w:rFonts w:ascii="Symbol" w:hAnsi="Symbol" w:hint="default"/>
      </w:rPr>
    </w:lvl>
    <w:lvl w:ilvl="4" w:tplc="9C38AAB8" w:tentative="1">
      <w:start w:val="1"/>
      <w:numFmt w:val="bullet"/>
      <w:lvlText w:val="o"/>
      <w:lvlJc w:val="left"/>
      <w:pPr>
        <w:ind w:left="3600" w:hanging="360"/>
      </w:pPr>
      <w:rPr>
        <w:rFonts w:ascii="Courier New" w:hAnsi="Courier New" w:cs="Courier New" w:hint="default"/>
      </w:rPr>
    </w:lvl>
    <w:lvl w:ilvl="5" w:tplc="BF943292" w:tentative="1">
      <w:start w:val="1"/>
      <w:numFmt w:val="bullet"/>
      <w:lvlText w:val=""/>
      <w:lvlJc w:val="left"/>
      <w:pPr>
        <w:ind w:left="4320" w:hanging="360"/>
      </w:pPr>
      <w:rPr>
        <w:rFonts w:ascii="Wingdings" w:hAnsi="Wingdings" w:hint="default"/>
      </w:rPr>
    </w:lvl>
    <w:lvl w:ilvl="6" w:tplc="608EBA7C" w:tentative="1">
      <w:start w:val="1"/>
      <w:numFmt w:val="bullet"/>
      <w:lvlText w:val=""/>
      <w:lvlJc w:val="left"/>
      <w:pPr>
        <w:ind w:left="5040" w:hanging="360"/>
      </w:pPr>
      <w:rPr>
        <w:rFonts w:ascii="Symbol" w:hAnsi="Symbol" w:hint="default"/>
      </w:rPr>
    </w:lvl>
    <w:lvl w:ilvl="7" w:tplc="C0BA525C" w:tentative="1">
      <w:start w:val="1"/>
      <w:numFmt w:val="bullet"/>
      <w:lvlText w:val="o"/>
      <w:lvlJc w:val="left"/>
      <w:pPr>
        <w:ind w:left="5760" w:hanging="360"/>
      </w:pPr>
      <w:rPr>
        <w:rFonts w:ascii="Courier New" w:hAnsi="Courier New" w:cs="Courier New" w:hint="default"/>
      </w:rPr>
    </w:lvl>
    <w:lvl w:ilvl="8" w:tplc="17E622B4" w:tentative="1">
      <w:start w:val="1"/>
      <w:numFmt w:val="bullet"/>
      <w:lvlText w:val=""/>
      <w:lvlJc w:val="left"/>
      <w:pPr>
        <w:ind w:left="6480" w:hanging="360"/>
      </w:pPr>
      <w:rPr>
        <w:rFonts w:ascii="Wingdings" w:hAnsi="Wingdings" w:hint="default"/>
      </w:rPr>
    </w:lvl>
  </w:abstractNum>
  <w:abstractNum w:abstractNumId="29">
    <w:nsid w:val="39227B43"/>
    <w:multiLevelType w:val="hybridMultilevel"/>
    <w:tmpl w:val="FAA67B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3A650594"/>
    <w:multiLevelType w:val="multilevel"/>
    <w:tmpl w:val="689CA9B8"/>
    <w:styleLink w:val="ATNumberedlist0"/>
    <w:lvl w:ilvl="0">
      <w:start w:val="1"/>
      <w:numFmt w:val="decimal"/>
      <w:lvlText w:val="%1."/>
      <w:lvlJc w:val="left"/>
      <w:pPr>
        <w:ind w:left="360" w:hanging="360"/>
      </w:pPr>
      <w:rPr>
        <w:rFonts w:ascii="Calibri" w:hAnsi="Calibri" w:cs="Times New Roman" w:hint="default"/>
      </w:rPr>
    </w:lvl>
    <w:lvl w:ilvl="1">
      <w:start w:val="1"/>
      <w:numFmt w:val="lowerLetter"/>
      <w:lvlText w:val="%2)"/>
      <w:lvlJc w:val="left"/>
      <w:pPr>
        <w:ind w:left="907" w:hanging="227"/>
      </w:pPr>
      <w:rPr>
        <w:rFonts w:cs="Times New Roman" w:hint="default"/>
      </w:rPr>
    </w:lvl>
    <w:lvl w:ilvl="2">
      <w:start w:val="1"/>
      <w:numFmt w:val="lowerRoman"/>
      <w:lvlText w:val="%3)"/>
      <w:lvlJc w:val="right"/>
      <w:pPr>
        <w:ind w:left="1800" w:hanging="180"/>
      </w:pPr>
      <w:rPr>
        <w:rFonts w:cs="Times New Roman" w:hint="default"/>
      </w:rPr>
    </w:lvl>
    <w:lvl w:ilvl="3">
      <w:start w:val="1"/>
      <w:numFmt w:val="none"/>
      <w:lvlText w:val="%4."/>
      <w:lvlJc w:val="left"/>
      <w:pPr>
        <w:ind w:left="2520" w:hanging="360"/>
      </w:pPr>
      <w:rPr>
        <w:rFonts w:cs="Times New Roman" w:hint="default"/>
      </w:rPr>
    </w:lvl>
    <w:lvl w:ilvl="4">
      <w:start w:val="1"/>
      <w:numFmt w:val="none"/>
      <w:lvlText w:val="%5."/>
      <w:lvlJc w:val="left"/>
      <w:pPr>
        <w:ind w:left="3240" w:hanging="360"/>
      </w:pPr>
      <w:rPr>
        <w:rFonts w:cs="Times New Roman" w:hint="default"/>
      </w:rPr>
    </w:lvl>
    <w:lvl w:ilvl="5">
      <w:start w:val="1"/>
      <w:numFmt w:val="lowerRoman"/>
      <w:lvlText w:val="%6."/>
      <w:lvlJc w:val="right"/>
      <w:pPr>
        <w:ind w:left="3960" w:hanging="180"/>
      </w:pPr>
      <w:rPr>
        <w:rFonts w:cs="Times New Roman" w:hint="default"/>
      </w:rPr>
    </w:lvl>
    <w:lvl w:ilvl="6">
      <w:start w:val="1"/>
      <w:numFmt w:val="decimal"/>
      <w:lvlText w:val="%7."/>
      <w:lvlJc w:val="left"/>
      <w:pPr>
        <w:ind w:left="4680" w:hanging="360"/>
      </w:pPr>
      <w:rPr>
        <w:rFonts w:cs="Times New Roman" w:hint="default"/>
      </w:rPr>
    </w:lvl>
    <w:lvl w:ilvl="7">
      <w:start w:val="1"/>
      <w:numFmt w:val="lowerLetter"/>
      <w:lvlText w:val="%8."/>
      <w:lvlJc w:val="left"/>
      <w:pPr>
        <w:ind w:left="5400" w:hanging="360"/>
      </w:pPr>
      <w:rPr>
        <w:rFonts w:cs="Times New Roman" w:hint="default"/>
      </w:rPr>
    </w:lvl>
    <w:lvl w:ilvl="8">
      <w:start w:val="1"/>
      <w:numFmt w:val="lowerRoman"/>
      <w:lvlText w:val="%9."/>
      <w:lvlJc w:val="right"/>
      <w:pPr>
        <w:ind w:left="6120" w:hanging="180"/>
      </w:pPr>
      <w:rPr>
        <w:rFonts w:cs="Times New Roman" w:hint="default"/>
      </w:rPr>
    </w:lvl>
  </w:abstractNum>
  <w:abstractNum w:abstractNumId="31">
    <w:nsid w:val="3EEE7BDB"/>
    <w:multiLevelType w:val="hybridMultilevel"/>
    <w:tmpl w:val="9AEA8BBC"/>
    <w:lvl w:ilvl="0" w:tplc="63BEEE04">
      <w:start w:val="1"/>
      <w:numFmt w:val="bullet"/>
      <w:lvlText w:val=""/>
      <w:lvlJc w:val="left"/>
      <w:pPr>
        <w:ind w:left="720" w:hanging="360"/>
      </w:pPr>
      <w:rPr>
        <w:rFonts w:ascii="Symbol" w:hAnsi="Symbol" w:hint="default"/>
      </w:rPr>
    </w:lvl>
    <w:lvl w:ilvl="1" w:tplc="C298BF84" w:tentative="1">
      <w:start w:val="1"/>
      <w:numFmt w:val="bullet"/>
      <w:lvlText w:val="o"/>
      <w:lvlJc w:val="left"/>
      <w:pPr>
        <w:ind w:left="1440" w:hanging="360"/>
      </w:pPr>
      <w:rPr>
        <w:rFonts w:ascii="Courier New" w:hAnsi="Courier New" w:cs="Courier New" w:hint="default"/>
      </w:rPr>
    </w:lvl>
    <w:lvl w:ilvl="2" w:tplc="9F18CEC4" w:tentative="1">
      <w:start w:val="1"/>
      <w:numFmt w:val="bullet"/>
      <w:lvlText w:val=""/>
      <w:lvlJc w:val="left"/>
      <w:pPr>
        <w:ind w:left="2160" w:hanging="360"/>
      </w:pPr>
      <w:rPr>
        <w:rFonts w:ascii="Wingdings" w:hAnsi="Wingdings" w:hint="default"/>
      </w:rPr>
    </w:lvl>
    <w:lvl w:ilvl="3" w:tplc="CA46746C" w:tentative="1">
      <w:start w:val="1"/>
      <w:numFmt w:val="bullet"/>
      <w:lvlText w:val=""/>
      <w:lvlJc w:val="left"/>
      <w:pPr>
        <w:ind w:left="2880" w:hanging="360"/>
      </w:pPr>
      <w:rPr>
        <w:rFonts w:ascii="Symbol" w:hAnsi="Symbol" w:hint="default"/>
      </w:rPr>
    </w:lvl>
    <w:lvl w:ilvl="4" w:tplc="E1DEB8CA" w:tentative="1">
      <w:start w:val="1"/>
      <w:numFmt w:val="bullet"/>
      <w:lvlText w:val="o"/>
      <w:lvlJc w:val="left"/>
      <w:pPr>
        <w:ind w:left="3600" w:hanging="360"/>
      </w:pPr>
      <w:rPr>
        <w:rFonts w:ascii="Courier New" w:hAnsi="Courier New" w:cs="Courier New" w:hint="default"/>
      </w:rPr>
    </w:lvl>
    <w:lvl w:ilvl="5" w:tplc="BB84273A" w:tentative="1">
      <w:start w:val="1"/>
      <w:numFmt w:val="bullet"/>
      <w:lvlText w:val=""/>
      <w:lvlJc w:val="left"/>
      <w:pPr>
        <w:ind w:left="4320" w:hanging="360"/>
      </w:pPr>
      <w:rPr>
        <w:rFonts w:ascii="Wingdings" w:hAnsi="Wingdings" w:hint="default"/>
      </w:rPr>
    </w:lvl>
    <w:lvl w:ilvl="6" w:tplc="2190E498" w:tentative="1">
      <w:start w:val="1"/>
      <w:numFmt w:val="bullet"/>
      <w:lvlText w:val=""/>
      <w:lvlJc w:val="left"/>
      <w:pPr>
        <w:ind w:left="5040" w:hanging="360"/>
      </w:pPr>
      <w:rPr>
        <w:rFonts w:ascii="Symbol" w:hAnsi="Symbol" w:hint="default"/>
      </w:rPr>
    </w:lvl>
    <w:lvl w:ilvl="7" w:tplc="573CFF70" w:tentative="1">
      <w:start w:val="1"/>
      <w:numFmt w:val="bullet"/>
      <w:lvlText w:val="o"/>
      <w:lvlJc w:val="left"/>
      <w:pPr>
        <w:ind w:left="5760" w:hanging="360"/>
      </w:pPr>
      <w:rPr>
        <w:rFonts w:ascii="Courier New" w:hAnsi="Courier New" w:cs="Courier New" w:hint="default"/>
      </w:rPr>
    </w:lvl>
    <w:lvl w:ilvl="8" w:tplc="3A1A6D08" w:tentative="1">
      <w:start w:val="1"/>
      <w:numFmt w:val="bullet"/>
      <w:lvlText w:val=""/>
      <w:lvlJc w:val="left"/>
      <w:pPr>
        <w:ind w:left="6480" w:hanging="360"/>
      </w:pPr>
      <w:rPr>
        <w:rFonts w:ascii="Wingdings" w:hAnsi="Wingdings" w:hint="default"/>
      </w:rPr>
    </w:lvl>
  </w:abstractNum>
  <w:abstractNum w:abstractNumId="32">
    <w:nsid w:val="418D0F3A"/>
    <w:multiLevelType w:val="hybridMultilevel"/>
    <w:tmpl w:val="C1D22CD8"/>
    <w:lvl w:ilvl="0" w:tplc="0BD4025E">
      <w:start w:val="1"/>
      <w:numFmt w:val="bullet"/>
      <w:lvlText w:val=""/>
      <w:lvlJc w:val="left"/>
      <w:pPr>
        <w:ind w:left="720" w:hanging="360"/>
      </w:pPr>
      <w:rPr>
        <w:rFonts w:ascii="Symbol" w:hAnsi="Symbol" w:hint="default"/>
      </w:rPr>
    </w:lvl>
    <w:lvl w:ilvl="1" w:tplc="327AE900" w:tentative="1">
      <w:start w:val="1"/>
      <w:numFmt w:val="bullet"/>
      <w:lvlText w:val="o"/>
      <w:lvlJc w:val="left"/>
      <w:pPr>
        <w:ind w:left="1440" w:hanging="360"/>
      </w:pPr>
      <w:rPr>
        <w:rFonts w:ascii="Courier New" w:hAnsi="Courier New" w:cs="Courier New" w:hint="default"/>
      </w:rPr>
    </w:lvl>
    <w:lvl w:ilvl="2" w:tplc="3EE09732" w:tentative="1">
      <w:start w:val="1"/>
      <w:numFmt w:val="bullet"/>
      <w:lvlText w:val=""/>
      <w:lvlJc w:val="left"/>
      <w:pPr>
        <w:ind w:left="2160" w:hanging="360"/>
      </w:pPr>
      <w:rPr>
        <w:rFonts w:ascii="Wingdings" w:hAnsi="Wingdings" w:hint="default"/>
      </w:rPr>
    </w:lvl>
    <w:lvl w:ilvl="3" w:tplc="F5625F70" w:tentative="1">
      <w:start w:val="1"/>
      <w:numFmt w:val="bullet"/>
      <w:lvlText w:val=""/>
      <w:lvlJc w:val="left"/>
      <w:pPr>
        <w:ind w:left="2880" w:hanging="360"/>
      </w:pPr>
      <w:rPr>
        <w:rFonts w:ascii="Symbol" w:hAnsi="Symbol" w:hint="default"/>
      </w:rPr>
    </w:lvl>
    <w:lvl w:ilvl="4" w:tplc="BE2AE534" w:tentative="1">
      <w:start w:val="1"/>
      <w:numFmt w:val="bullet"/>
      <w:lvlText w:val="o"/>
      <w:lvlJc w:val="left"/>
      <w:pPr>
        <w:ind w:left="3600" w:hanging="360"/>
      </w:pPr>
      <w:rPr>
        <w:rFonts w:ascii="Courier New" w:hAnsi="Courier New" w:cs="Courier New" w:hint="default"/>
      </w:rPr>
    </w:lvl>
    <w:lvl w:ilvl="5" w:tplc="7F789512" w:tentative="1">
      <w:start w:val="1"/>
      <w:numFmt w:val="bullet"/>
      <w:lvlText w:val=""/>
      <w:lvlJc w:val="left"/>
      <w:pPr>
        <w:ind w:left="4320" w:hanging="360"/>
      </w:pPr>
      <w:rPr>
        <w:rFonts w:ascii="Wingdings" w:hAnsi="Wingdings" w:hint="default"/>
      </w:rPr>
    </w:lvl>
    <w:lvl w:ilvl="6" w:tplc="6730FD44" w:tentative="1">
      <w:start w:val="1"/>
      <w:numFmt w:val="bullet"/>
      <w:lvlText w:val=""/>
      <w:lvlJc w:val="left"/>
      <w:pPr>
        <w:ind w:left="5040" w:hanging="360"/>
      </w:pPr>
      <w:rPr>
        <w:rFonts w:ascii="Symbol" w:hAnsi="Symbol" w:hint="default"/>
      </w:rPr>
    </w:lvl>
    <w:lvl w:ilvl="7" w:tplc="BFB40F52" w:tentative="1">
      <w:start w:val="1"/>
      <w:numFmt w:val="bullet"/>
      <w:lvlText w:val="o"/>
      <w:lvlJc w:val="left"/>
      <w:pPr>
        <w:ind w:left="5760" w:hanging="360"/>
      </w:pPr>
      <w:rPr>
        <w:rFonts w:ascii="Courier New" w:hAnsi="Courier New" w:cs="Courier New" w:hint="default"/>
      </w:rPr>
    </w:lvl>
    <w:lvl w:ilvl="8" w:tplc="3F90CEC6" w:tentative="1">
      <w:start w:val="1"/>
      <w:numFmt w:val="bullet"/>
      <w:lvlText w:val=""/>
      <w:lvlJc w:val="left"/>
      <w:pPr>
        <w:ind w:left="6480" w:hanging="360"/>
      </w:pPr>
      <w:rPr>
        <w:rFonts w:ascii="Wingdings" w:hAnsi="Wingdings" w:hint="default"/>
      </w:rPr>
    </w:lvl>
  </w:abstractNum>
  <w:abstractNum w:abstractNumId="33">
    <w:nsid w:val="4265682E"/>
    <w:multiLevelType w:val="multilevel"/>
    <w:tmpl w:val="D9CAA11C"/>
    <w:styleLink w:val="Bullets"/>
    <w:lvl w:ilvl="0">
      <w:start w:val="1"/>
      <w:numFmt w:val="bullet"/>
      <w:pStyle w:val="ListBullet"/>
      <w:lvlText w:val=""/>
      <w:lvlJc w:val="left"/>
      <w:pPr>
        <w:tabs>
          <w:tab w:val="num" w:pos="199"/>
        </w:tabs>
        <w:ind w:left="199" w:hanging="199"/>
      </w:pPr>
      <w:rPr>
        <w:rFonts w:ascii="Symbol" w:hAnsi="Symbol" w:hint="default"/>
      </w:rPr>
    </w:lvl>
    <w:lvl w:ilvl="1">
      <w:start w:val="1"/>
      <w:numFmt w:val="bullet"/>
      <w:pStyle w:val="ListBullet2"/>
      <w:lvlText w:val="–"/>
      <w:lvlJc w:val="left"/>
      <w:pPr>
        <w:tabs>
          <w:tab w:val="num" w:pos="397"/>
        </w:tabs>
        <w:ind w:left="397" w:hanging="198"/>
      </w:pPr>
      <w:rPr>
        <w:rFonts w:ascii="Arial" w:hAnsi="Arial" w:hint="default"/>
      </w:rPr>
    </w:lvl>
    <w:lvl w:ilvl="2">
      <w:start w:val="1"/>
      <w:numFmt w:val="bullet"/>
      <w:pStyle w:val="ListBullet3"/>
      <w:lvlText w:val="–"/>
      <w:lvlJc w:val="left"/>
      <w:pPr>
        <w:tabs>
          <w:tab w:val="num" w:pos="595"/>
        </w:tabs>
        <w:ind w:left="595" w:hanging="198"/>
      </w:pPr>
      <w:rPr>
        <w:rFonts w:ascii="Arial" w:hAnsi="Arial"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left"/>
      <w:pPr>
        <w:ind w:left="4320" w:hanging="36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left"/>
      <w:pPr>
        <w:ind w:left="6480" w:hanging="360"/>
      </w:pPr>
      <w:rPr>
        <w:rFonts w:cs="Times New Roman" w:hint="default"/>
      </w:rPr>
    </w:lvl>
  </w:abstractNum>
  <w:abstractNum w:abstractNumId="34">
    <w:nsid w:val="43222DA2"/>
    <w:multiLevelType w:val="hybridMultilevel"/>
    <w:tmpl w:val="7C08BE8A"/>
    <w:lvl w:ilvl="0" w:tplc="5CE6508C">
      <w:start w:val="1"/>
      <w:numFmt w:val="bullet"/>
      <w:pStyle w:val="BoxQuoteListBullet"/>
      <w:lvlText w:val="•"/>
      <w:lvlJc w:val="left"/>
      <w:pPr>
        <w:ind w:left="947" w:hanging="360"/>
      </w:pPr>
      <w:rPr>
        <w:rFonts w:ascii="Century" w:hAnsi="Century" w:hint="default"/>
        <w:sz w:val="16"/>
      </w:rPr>
    </w:lvl>
    <w:lvl w:ilvl="1" w:tplc="0C090003" w:tentative="1">
      <w:start w:val="1"/>
      <w:numFmt w:val="bullet"/>
      <w:lvlText w:val="o"/>
      <w:lvlJc w:val="left"/>
      <w:pPr>
        <w:ind w:left="1667" w:hanging="360"/>
      </w:pPr>
      <w:rPr>
        <w:rFonts w:ascii="Courier New" w:hAnsi="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5">
    <w:nsid w:val="43D200A3"/>
    <w:multiLevelType w:val="singleLevel"/>
    <w:tmpl w:val="5B28AA70"/>
    <w:lvl w:ilvl="0">
      <w:start w:val="1"/>
      <w:numFmt w:val="bullet"/>
      <w:pStyle w:val="SideDash"/>
      <w:lvlText w:val="–"/>
      <w:lvlJc w:val="left"/>
      <w:pPr>
        <w:tabs>
          <w:tab w:val="num" w:pos="170"/>
        </w:tabs>
        <w:ind w:left="170" w:hanging="170"/>
      </w:pPr>
      <w:rPr>
        <w:rFonts w:ascii="Times New Roman" w:hAnsi="Times New Roman" w:hint="default"/>
        <w:b w:val="0"/>
        <w:i/>
        <w:sz w:val="20"/>
      </w:rPr>
    </w:lvl>
  </w:abstractNum>
  <w:abstractNum w:abstractNumId="36">
    <w:nsid w:val="479723A4"/>
    <w:multiLevelType w:val="hybridMultilevel"/>
    <w:tmpl w:val="02AAA8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4811070C"/>
    <w:multiLevelType w:val="singleLevel"/>
    <w:tmpl w:val="E5C689E2"/>
    <w:lvl w:ilvl="0">
      <w:start w:val="1"/>
      <w:numFmt w:val="bullet"/>
      <w:pStyle w:val="Tablelistbullet2"/>
      <w:lvlText w:val="–"/>
      <w:lvlJc w:val="left"/>
      <w:pPr>
        <w:tabs>
          <w:tab w:val="num" w:pos="454"/>
        </w:tabs>
        <w:ind w:left="454" w:hanging="227"/>
      </w:pPr>
      <w:rPr>
        <w:rFonts w:ascii="Arial" w:hAnsi="Arial" w:hint="default"/>
      </w:rPr>
    </w:lvl>
  </w:abstractNum>
  <w:abstractNum w:abstractNumId="38">
    <w:nsid w:val="57134BC1"/>
    <w:multiLevelType w:val="hybridMultilevel"/>
    <w:tmpl w:val="DC50A1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58A735A5"/>
    <w:multiLevelType w:val="hybridMultilevel"/>
    <w:tmpl w:val="6D98C5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59444BE6"/>
    <w:multiLevelType w:val="multilevel"/>
    <w:tmpl w:val="C7441070"/>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576" w:hanging="576"/>
      </w:pPr>
      <w:rPr>
        <w:rFonts w:cs="Times New Roman" w:hint="default"/>
      </w:rPr>
    </w:lvl>
    <w:lvl w:ilvl="2">
      <w:start w:val="1"/>
      <w:numFmt w:val="decimal"/>
      <w:pStyle w:val="Heading3"/>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41">
    <w:nsid w:val="59FB3BD0"/>
    <w:multiLevelType w:val="hybridMultilevel"/>
    <w:tmpl w:val="B62EA4DE"/>
    <w:lvl w:ilvl="0" w:tplc="0C090001">
      <w:start w:val="1"/>
      <w:numFmt w:val="bullet"/>
      <w:pStyle w:val="Bullet1"/>
      <w:lvlText w:val=""/>
      <w:lvlJc w:val="left"/>
      <w:pPr>
        <w:tabs>
          <w:tab w:val="num" w:pos="720"/>
        </w:tabs>
        <w:ind w:left="720" w:hanging="720"/>
      </w:pPr>
      <w:rPr>
        <w:rFonts w:ascii="Symbol" w:hAnsi="Symbol" w:hint="default"/>
        <w:sz w:val="24"/>
      </w:rPr>
    </w:lvl>
    <w:lvl w:ilvl="1" w:tplc="0C090003">
      <w:start w:val="1"/>
      <w:numFmt w:val="lowerLetter"/>
      <w:lvlRestart w:val="0"/>
      <w:lvlText w:val="%2)"/>
      <w:lvlJc w:val="left"/>
      <w:pPr>
        <w:tabs>
          <w:tab w:val="num" w:pos="720"/>
        </w:tabs>
        <w:ind w:left="720" w:hanging="720"/>
      </w:pPr>
      <w:rPr>
        <w:rFonts w:cs="Times New Roman"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2">
    <w:nsid w:val="5A1767B6"/>
    <w:multiLevelType w:val="multilevel"/>
    <w:tmpl w:val="A83EDF48"/>
    <w:styleLink w:val="Numbers"/>
    <w:lvl w:ilvl="0">
      <w:start w:val="1"/>
      <w:numFmt w:val="decimal"/>
      <w:pStyle w:val="ListNumber"/>
      <w:lvlText w:val="%1."/>
      <w:lvlJc w:val="left"/>
      <w:pPr>
        <w:tabs>
          <w:tab w:val="num" w:pos="227"/>
        </w:tabs>
        <w:ind w:left="227" w:hanging="227"/>
      </w:pPr>
      <w:rPr>
        <w:rFonts w:cs="Times New Roman" w:hint="default"/>
      </w:rPr>
    </w:lvl>
    <w:lvl w:ilvl="1">
      <w:start w:val="1"/>
      <w:numFmt w:val="none"/>
      <w:lvlText w:val=""/>
      <w:lvlJc w:val="left"/>
      <w:pPr>
        <w:ind w:left="1440" w:hanging="360"/>
      </w:pPr>
      <w:rPr>
        <w:rFonts w:cs="Times New Roman" w:hint="default"/>
      </w:rPr>
    </w:lvl>
    <w:lvl w:ilvl="2">
      <w:start w:val="1"/>
      <w:numFmt w:val="none"/>
      <w:lvlText w:val=""/>
      <w:lvlJc w:val="right"/>
      <w:pPr>
        <w:ind w:left="2160" w:hanging="180"/>
      </w:pPr>
      <w:rPr>
        <w:rFonts w:cs="Times New Roman"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43">
    <w:nsid w:val="5E3E420B"/>
    <w:multiLevelType w:val="hybridMultilevel"/>
    <w:tmpl w:val="C952D8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5F4C27FB"/>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45">
    <w:nsid w:val="657B6291"/>
    <w:multiLevelType w:val="hybridMultilevel"/>
    <w:tmpl w:val="1A9EA6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66063429"/>
    <w:multiLevelType w:val="multilevel"/>
    <w:tmpl w:val="3C8E6CBE"/>
    <w:lvl w:ilvl="0">
      <w:start w:val="1"/>
      <w:numFmt w:val="upperLetter"/>
      <w:pStyle w:val="AppendixHeading1base"/>
      <w:lvlText w:val="Appendix %1 "/>
      <w:lvlJc w:val="left"/>
      <w:pPr>
        <w:ind w:left="0" w:firstLine="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pStyle w:val="AppendixHeading2"/>
      <w:lvlText w:val="%1.%2"/>
      <w:lvlJc w:val="left"/>
      <w:pPr>
        <w:ind w:left="0" w:firstLine="0"/>
      </w:pPr>
      <w:rPr>
        <w:rFonts w:hint="default"/>
      </w:rPr>
    </w:lvl>
    <w:lvl w:ilvl="2">
      <w:start w:val="1"/>
      <w:numFmt w:val="decimal"/>
      <w:pStyle w:val="AppendixHeading3"/>
      <w:lvlText w:val="%1.%2.%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47">
    <w:nsid w:val="671F6F56"/>
    <w:multiLevelType w:val="singleLevel"/>
    <w:tmpl w:val="FEA821EE"/>
    <w:lvl w:ilvl="0">
      <w:start w:val="1"/>
      <w:numFmt w:val="bullet"/>
      <w:pStyle w:val="BoxListBullet"/>
      <w:lvlText w:val="•"/>
      <w:lvlJc w:val="left"/>
      <w:pPr>
        <w:tabs>
          <w:tab w:val="num" w:pos="227"/>
        </w:tabs>
        <w:ind w:left="227" w:hanging="227"/>
      </w:pPr>
      <w:rPr>
        <w:rFonts w:ascii="Arial" w:hAnsi="Arial" w:hint="default"/>
        <w:sz w:val="18"/>
      </w:rPr>
    </w:lvl>
  </w:abstractNum>
  <w:abstractNum w:abstractNumId="48">
    <w:nsid w:val="6A3137E4"/>
    <w:multiLevelType w:val="hybridMultilevel"/>
    <w:tmpl w:val="EAE28818"/>
    <w:lvl w:ilvl="0" w:tplc="545011A8">
      <w:start w:val="1"/>
      <w:numFmt w:val="decimal"/>
      <w:pStyle w:val="Heading1NewPage"/>
      <w:lvlText w:val="%1"/>
      <w:lvlJc w:val="left"/>
      <w:pPr>
        <w:ind w:left="720" w:hanging="360"/>
      </w:pPr>
      <w:rPr>
        <w:rFonts w:cs="Times New Roman" w:hint="default"/>
      </w:rPr>
    </w:lvl>
    <w:lvl w:ilvl="1" w:tplc="C1AEE11A" w:tentative="1">
      <w:start w:val="1"/>
      <w:numFmt w:val="lowerLetter"/>
      <w:lvlText w:val="%2."/>
      <w:lvlJc w:val="left"/>
      <w:pPr>
        <w:ind w:left="1440" w:hanging="360"/>
      </w:pPr>
      <w:rPr>
        <w:rFonts w:cs="Times New Roman"/>
      </w:rPr>
    </w:lvl>
    <w:lvl w:ilvl="2" w:tplc="48CE6C6E" w:tentative="1">
      <w:start w:val="1"/>
      <w:numFmt w:val="lowerRoman"/>
      <w:lvlText w:val="%3."/>
      <w:lvlJc w:val="right"/>
      <w:pPr>
        <w:ind w:left="2160" w:hanging="180"/>
      </w:pPr>
      <w:rPr>
        <w:rFonts w:cs="Times New Roman"/>
      </w:rPr>
    </w:lvl>
    <w:lvl w:ilvl="3" w:tplc="551EB9FA" w:tentative="1">
      <w:start w:val="1"/>
      <w:numFmt w:val="decimal"/>
      <w:lvlText w:val="%4."/>
      <w:lvlJc w:val="left"/>
      <w:pPr>
        <w:ind w:left="2880" w:hanging="360"/>
      </w:pPr>
      <w:rPr>
        <w:rFonts w:cs="Times New Roman"/>
      </w:rPr>
    </w:lvl>
    <w:lvl w:ilvl="4" w:tplc="4784E55C" w:tentative="1">
      <w:start w:val="1"/>
      <w:numFmt w:val="lowerLetter"/>
      <w:lvlText w:val="%5."/>
      <w:lvlJc w:val="left"/>
      <w:pPr>
        <w:ind w:left="3600" w:hanging="360"/>
      </w:pPr>
      <w:rPr>
        <w:rFonts w:cs="Times New Roman"/>
      </w:rPr>
    </w:lvl>
    <w:lvl w:ilvl="5" w:tplc="7DDA77BA" w:tentative="1">
      <w:start w:val="1"/>
      <w:numFmt w:val="lowerRoman"/>
      <w:lvlText w:val="%6."/>
      <w:lvlJc w:val="right"/>
      <w:pPr>
        <w:ind w:left="4320" w:hanging="180"/>
      </w:pPr>
      <w:rPr>
        <w:rFonts w:cs="Times New Roman"/>
      </w:rPr>
    </w:lvl>
    <w:lvl w:ilvl="6" w:tplc="B588B31E" w:tentative="1">
      <w:start w:val="1"/>
      <w:numFmt w:val="decimal"/>
      <w:lvlText w:val="%7."/>
      <w:lvlJc w:val="left"/>
      <w:pPr>
        <w:ind w:left="5040" w:hanging="360"/>
      </w:pPr>
      <w:rPr>
        <w:rFonts w:cs="Times New Roman"/>
      </w:rPr>
    </w:lvl>
    <w:lvl w:ilvl="7" w:tplc="1062F882" w:tentative="1">
      <w:start w:val="1"/>
      <w:numFmt w:val="lowerLetter"/>
      <w:lvlText w:val="%8."/>
      <w:lvlJc w:val="left"/>
      <w:pPr>
        <w:ind w:left="5760" w:hanging="360"/>
      </w:pPr>
      <w:rPr>
        <w:rFonts w:cs="Times New Roman"/>
      </w:rPr>
    </w:lvl>
    <w:lvl w:ilvl="8" w:tplc="3D22C5D6" w:tentative="1">
      <w:start w:val="1"/>
      <w:numFmt w:val="lowerRoman"/>
      <w:lvlText w:val="%9."/>
      <w:lvlJc w:val="right"/>
      <w:pPr>
        <w:ind w:left="6480" w:hanging="180"/>
      </w:pPr>
      <w:rPr>
        <w:rFonts w:cs="Times New Roman"/>
      </w:rPr>
    </w:lvl>
  </w:abstractNum>
  <w:abstractNum w:abstractNumId="49">
    <w:nsid w:val="6C72215E"/>
    <w:multiLevelType w:val="singleLevel"/>
    <w:tmpl w:val="F5E03030"/>
    <w:lvl w:ilvl="0">
      <w:numFmt w:val="bullet"/>
      <w:pStyle w:val="BoxListBullet2"/>
      <w:lvlText w:val="–"/>
      <w:lvlJc w:val="left"/>
      <w:pPr>
        <w:tabs>
          <w:tab w:val="num" w:pos="454"/>
        </w:tabs>
        <w:ind w:left="454" w:hanging="227"/>
      </w:pPr>
      <w:rPr>
        <w:rFonts w:ascii="Arial" w:hAnsi="Arial" w:hint="default"/>
      </w:rPr>
    </w:lvl>
  </w:abstractNum>
  <w:abstractNum w:abstractNumId="50">
    <w:nsid w:val="74907FE1"/>
    <w:multiLevelType w:val="hybridMultilevel"/>
    <w:tmpl w:val="DFE0450A"/>
    <w:lvl w:ilvl="0" w:tplc="46D81E80">
      <w:start w:val="1"/>
      <w:numFmt w:val="bullet"/>
      <w:pStyle w:val="QuoteListBullet"/>
      <w:lvlText w:val="•"/>
      <w:lvlJc w:val="left"/>
      <w:pPr>
        <w:ind w:left="1060" w:hanging="360"/>
      </w:pPr>
      <w:rPr>
        <w:rFonts w:ascii="Century" w:hAnsi="Century" w:hint="default"/>
      </w:rPr>
    </w:lvl>
    <w:lvl w:ilvl="1" w:tplc="693CA4E0" w:tentative="1">
      <w:start w:val="1"/>
      <w:numFmt w:val="bullet"/>
      <w:lvlText w:val="o"/>
      <w:lvlJc w:val="left"/>
      <w:pPr>
        <w:ind w:left="1780" w:hanging="360"/>
      </w:pPr>
      <w:rPr>
        <w:rFonts w:ascii="Courier New" w:hAnsi="Courier New" w:hint="default"/>
      </w:rPr>
    </w:lvl>
    <w:lvl w:ilvl="2" w:tplc="C6F40C3E" w:tentative="1">
      <w:start w:val="1"/>
      <w:numFmt w:val="bullet"/>
      <w:lvlText w:val=""/>
      <w:lvlJc w:val="left"/>
      <w:pPr>
        <w:ind w:left="2500" w:hanging="360"/>
      </w:pPr>
      <w:rPr>
        <w:rFonts w:ascii="Wingdings" w:hAnsi="Wingdings" w:hint="default"/>
      </w:rPr>
    </w:lvl>
    <w:lvl w:ilvl="3" w:tplc="297CE8A0" w:tentative="1">
      <w:start w:val="1"/>
      <w:numFmt w:val="bullet"/>
      <w:lvlText w:val=""/>
      <w:lvlJc w:val="left"/>
      <w:pPr>
        <w:ind w:left="3220" w:hanging="360"/>
      </w:pPr>
      <w:rPr>
        <w:rFonts w:ascii="Symbol" w:hAnsi="Symbol" w:hint="default"/>
      </w:rPr>
    </w:lvl>
    <w:lvl w:ilvl="4" w:tplc="F4EA51BC" w:tentative="1">
      <w:start w:val="1"/>
      <w:numFmt w:val="bullet"/>
      <w:lvlText w:val="o"/>
      <w:lvlJc w:val="left"/>
      <w:pPr>
        <w:ind w:left="3940" w:hanging="360"/>
      </w:pPr>
      <w:rPr>
        <w:rFonts w:ascii="Courier New" w:hAnsi="Courier New" w:hint="default"/>
      </w:rPr>
    </w:lvl>
    <w:lvl w:ilvl="5" w:tplc="0C509468" w:tentative="1">
      <w:start w:val="1"/>
      <w:numFmt w:val="bullet"/>
      <w:lvlText w:val=""/>
      <w:lvlJc w:val="left"/>
      <w:pPr>
        <w:ind w:left="4660" w:hanging="360"/>
      </w:pPr>
      <w:rPr>
        <w:rFonts w:ascii="Wingdings" w:hAnsi="Wingdings" w:hint="default"/>
      </w:rPr>
    </w:lvl>
    <w:lvl w:ilvl="6" w:tplc="D5A49FB8" w:tentative="1">
      <w:start w:val="1"/>
      <w:numFmt w:val="bullet"/>
      <w:lvlText w:val=""/>
      <w:lvlJc w:val="left"/>
      <w:pPr>
        <w:ind w:left="5380" w:hanging="360"/>
      </w:pPr>
      <w:rPr>
        <w:rFonts w:ascii="Symbol" w:hAnsi="Symbol" w:hint="default"/>
      </w:rPr>
    </w:lvl>
    <w:lvl w:ilvl="7" w:tplc="F1086F10" w:tentative="1">
      <w:start w:val="1"/>
      <w:numFmt w:val="bullet"/>
      <w:lvlText w:val="o"/>
      <w:lvlJc w:val="left"/>
      <w:pPr>
        <w:ind w:left="6100" w:hanging="360"/>
      </w:pPr>
      <w:rPr>
        <w:rFonts w:ascii="Courier New" w:hAnsi="Courier New" w:hint="default"/>
      </w:rPr>
    </w:lvl>
    <w:lvl w:ilvl="8" w:tplc="2766B738" w:tentative="1">
      <w:start w:val="1"/>
      <w:numFmt w:val="bullet"/>
      <w:lvlText w:val=""/>
      <w:lvlJc w:val="left"/>
      <w:pPr>
        <w:ind w:left="6820" w:hanging="360"/>
      </w:pPr>
      <w:rPr>
        <w:rFonts w:ascii="Wingdings" w:hAnsi="Wingdings" w:hint="default"/>
      </w:rPr>
    </w:lvl>
  </w:abstractNum>
  <w:abstractNum w:abstractNumId="51">
    <w:nsid w:val="787A2D49"/>
    <w:multiLevelType w:val="singleLevel"/>
    <w:tmpl w:val="93B0593E"/>
    <w:lvl w:ilvl="0">
      <w:start w:val="1"/>
      <w:numFmt w:val="lowerLetter"/>
      <w:pStyle w:val="BoxListNumber2"/>
      <w:lvlText w:val="%1)"/>
      <w:lvlJc w:val="left"/>
      <w:pPr>
        <w:tabs>
          <w:tab w:val="num" w:pos="709"/>
        </w:tabs>
        <w:ind w:left="709" w:hanging="369"/>
      </w:pPr>
      <w:rPr>
        <w:rFonts w:cs="Times New Roman"/>
      </w:rPr>
    </w:lvl>
  </w:abstractNum>
  <w:abstractNum w:abstractNumId="52">
    <w:nsid w:val="7C0B7F25"/>
    <w:multiLevelType w:val="multilevel"/>
    <w:tmpl w:val="4496B328"/>
    <w:lvl w:ilvl="0">
      <w:start w:val="1"/>
      <w:numFmt w:val="decimal"/>
      <w:pStyle w:val="ScheduleHeading"/>
      <w:lvlText w:val="Schedule %1"/>
      <w:lvlJc w:val="left"/>
      <w:pPr>
        <w:tabs>
          <w:tab w:val="num" w:pos="1418"/>
        </w:tabs>
        <w:ind w:left="1418" w:hanging="1418"/>
      </w:pPr>
      <w:rPr>
        <w:rFonts w:hint="default"/>
      </w:rPr>
    </w:lvl>
    <w:lvl w:ilvl="1">
      <w:start w:val="1"/>
      <w:numFmt w:val="upperLetter"/>
      <w:pStyle w:val="ScheduleLevel1"/>
      <w:lvlText w:val="%2."/>
      <w:lvlJc w:val="left"/>
      <w:pPr>
        <w:tabs>
          <w:tab w:val="num" w:pos="1134"/>
        </w:tabs>
        <w:ind w:left="1134" w:hanging="1134"/>
      </w:pPr>
      <w:rPr>
        <w:rFonts w:hint="default"/>
      </w:rPr>
    </w:lvl>
    <w:lvl w:ilvl="2">
      <w:start w:val="1"/>
      <w:numFmt w:val="decimal"/>
      <w:pStyle w:val="ScheduleLevel2"/>
      <w:lvlText w:val="%3."/>
      <w:lvlJc w:val="left"/>
      <w:pPr>
        <w:tabs>
          <w:tab w:val="num" w:pos="1134"/>
        </w:tabs>
        <w:ind w:left="1134" w:hanging="1134"/>
      </w:pPr>
      <w:rPr>
        <w:rFonts w:hint="default"/>
        <w:b/>
        <w:i w:val="0"/>
        <w:sz w:val="22"/>
      </w:rPr>
    </w:lvl>
    <w:lvl w:ilvl="3">
      <w:start w:val="1"/>
      <w:numFmt w:val="decimal"/>
      <w:pStyle w:val="ScheduleLevel3"/>
      <w:lvlText w:val="%2.%3.%4."/>
      <w:lvlJc w:val="left"/>
      <w:pPr>
        <w:tabs>
          <w:tab w:val="num" w:pos="1134"/>
        </w:tabs>
        <w:ind w:left="1134" w:hanging="1134"/>
      </w:pPr>
      <w:rPr>
        <w:rFonts w:hint="default"/>
      </w:rPr>
    </w:lvl>
    <w:lvl w:ilvl="4">
      <w:start w:val="1"/>
      <w:numFmt w:val="lowerLetter"/>
      <w:pStyle w:val="ScheduleLevel4"/>
      <w:lvlText w:val="%5."/>
      <w:lvlJc w:val="left"/>
      <w:pPr>
        <w:tabs>
          <w:tab w:val="num" w:pos="567"/>
        </w:tabs>
        <w:ind w:left="567" w:hanging="425"/>
      </w:pPr>
      <w:rPr>
        <w:rFonts w:hint="default"/>
        <w:color w:val="auto"/>
      </w:rPr>
    </w:lvl>
    <w:lvl w:ilvl="5">
      <w:start w:val="1"/>
      <w:numFmt w:val="lowerRoman"/>
      <w:pStyle w:val="ScheduleLevel5"/>
      <w:lvlText w:val="%6."/>
      <w:lvlJc w:val="left"/>
      <w:pPr>
        <w:tabs>
          <w:tab w:val="num" w:pos="1985"/>
        </w:tabs>
        <w:ind w:left="1985" w:hanging="426"/>
      </w:pPr>
      <w:rPr>
        <w:rFonts w:hint="default"/>
      </w:rPr>
    </w:lvl>
    <w:lvl w:ilvl="6">
      <w:start w:val="1"/>
      <w:numFmt w:val="upperLetter"/>
      <w:pStyle w:val="ScheduleLevel6"/>
      <w:lvlText w:val="%7."/>
      <w:lvlJc w:val="left"/>
      <w:pPr>
        <w:tabs>
          <w:tab w:val="num" w:pos="2410"/>
        </w:tabs>
        <w:ind w:left="2410" w:hanging="425"/>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584"/>
        </w:tabs>
        <w:ind w:left="1584" w:hanging="1584"/>
      </w:pPr>
      <w:rPr>
        <w:rFonts w:hint="default"/>
      </w:rPr>
    </w:lvl>
  </w:abstractNum>
  <w:num w:numId="1">
    <w:abstractNumId w:val="5"/>
  </w:num>
  <w:num w:numId="2">
    <w:abstractNumId w:val="4"/>
  </w:num>
  <w:num w:numId="3">
    <w:abstractNumId w:val="3"/>
  </w:num>
  <w:num w:numId="4">
    <w:abstractNumId w:val="2"/>
  </w:num>
  <w:num w:numId="5">
    <w:abstractNumId w:val="1"/>
  </w:num>
  <w:num w:numId="6">
    <w:abstractNumId w:val="33"/>
  </w:num>
  <w:num w:numId="7">
    <w:abstractNumId w:val="16"/>
  </w:num>
  <w:num w:numId="8">
    <w:abstractNumId w:val="15"/>
  </w:num>
  <w:num w:numId="9">
    <w:abstractNumId w:val="42"/>
  </w:num>
  <w:num w:numId="10">
    <w:abstractNumId w:val="27"/>
  </w:num>
  <w:num w:numId="11">
    <w:abstractNumId w:val="20"/>
  </w:num>
  <w:num w:numId="12">
    <w:abstractNumId w:val="44"/>
  </w:num>
  <w:num w:numId="13">
    <w:abstractNumId w:val="0"/>
  </w:num>
  <w:num w:numId="14">
    <w:abstractNumId w:val="40"/>
  </w:num>
  <w:num w:numId="15">
    <w:abstractNumId w:val="46"/>
  </w:num>
  <w:num w:numId="16">
    <w:abstractNumId w:val="45"/>
  </w:num>
  <w:num w:numId="17">
    <w:abstractNumId w:val="52"/>
  </w:num>
  <w:num w:numId="18">
    <w:abstractNumId w:val="8"/>
  </w:num>
  <w:num w:numId="19">
    <w:abstractNumId w:val="1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 w:numId="21">
    <w:abstractNumId w:val="32"/>
  </w:num>
  <w:num w:numId="22">
    <w:abstractNumId w:val="39"/>
  </w:num>
  <w:num w:numId="23">
    <w:abstractNumId w:val="11"/>
  </w:num>
  <w:num w:numId="24">
    <w:abstractNumId w:val="28"/>
  </w:num>
  <w:num w:numId="25">
    <w:abstractNumId w:val="31"/>
  </w:num>
  <w:num w:numId="26">
    <w:abstractNumId w:val="6"/>
    <w:lvlOverride w:ilvl="0">
      <w:lvl w:ilvl="0">
        <w:start w:val="1"/>
        <w:numFmt w:val="bullet"/>
        <w:pStyle w:val="Dot1"/>
        <w:lvlText w:val=""/>
        <w:legacy w:legacy="1" w:legacySpace="0" w:legacyIndent="360"/>
        <w:lvlJc w:val="left"/>
        <w:pPr>
          <w:ind w:left="360" w:hanging="360"/>
        </w:pPr>
        <w:rPr>
          <w:rFonts w:ascii="Symbol" w:hAnsi="Symbol" w:hint="default"/>
        </w:rPr>
      </w:lvl>
    </w:lvlOverride>
  </w:num>
  <w:num w:numId="27">
    <w:abstractNumId w:val="17"/>
  </w:num>
  <w:num w:numId="28">
    <w:abstractNumId w:val="14"/>
  </w:num>
  <w:num w:numId="29">
    <w:abstractNumId w:val="41"/>
  </w:num>
  <w:num w:numId="30">
    <w:abstractNumId w:val="23"/>
  </w:num>
  <w:num w:numId="31">
    <w:abstractNumId w:val="47"/>
  </w:num>
  <w:num w:numId="32">
    <w:abstractNumId w:val="49"/>
  </w:num>
  <w:num w:numId="33">
    <w:abstractNumId w:val="21"/>
  </w:num>
  <w:num w:numId="34">
    <w:abstractNumId w:val="37"/>
  </w:num>
  <w:num w:numId="35">
    <w:abstractNumId w:val="10"/>
  </w:num>
  <w:num w:numId="36">
    <w:abstractNumId w:val="50"/>
  </w:num>
  <w:num w:numId="37">
    <w:abstractNumId w:val="13"/>
  </w:num>
  <w:num w:numId="38">
    <w:abstractNumId w:val="30"/>
  </w:num>
  <w:num w:numId="39">
    <w:abstractNumId w:val="22"/>
  </w:num>
  <w:num w:numId="40">
    <w:abstractNumId w:val="48"/>
  </w:num>
  <w:num w:numId="41">
    <w:abstractNumId w:val="12"/>
  </w:num>
  <w:num w:numId="42">
    <w:abstractNumId w:val="51"/>
  </w:num>
  <w:num w:numId="43">
    <w:abstractNumId w:val="34"/>
  </w:num>
  <w:num w:numId="44">
    <w:abstractNumId w:val="35"/>
  </w:num>
  <w:num w:numId="45">
    <w:abstractNumId w:val="38"/>
  </w:num>
  <w:num w:numId="46">
    <w:abstractNumId w:val="36"/>
  </w:num>
  <w:num w:numId="47">
    <w:abstractNumId w:val="29"/>
  </w:num>
  <w:num w:numId="48">
    <w:abstractNumId w:val="26"/>
  </w:num>
  <w:num w:numId="49">
    <w:abstractNumId w:val="25"/>
  </w:num>
  <w:num w:numId="50">
    <w:abstractNumId w:val="24"/>
  </w:num>
  <w:num w:numId="51">
    <w:abstractNumId w:val="43"/>
  </w:num>
  <w:num w:numId="52">
    <w:abstractNumId w:val="19"/>
  </w:num>
  <w:num w:numId="53">
    <w:abstractNumId w:val="9"/>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grammar="clean"/>
  <w:attachedTemplate r:id="rId1"/>
  <w:stylePaneFormatFilter w:val="4004"/>
  <w:defaultTabStop w:val="720"/>
  <w:evenAndOddHeaders/>
  <w:drawingGridHorizontalSpacing w:val="110"/>
  <w:displayHorizontalDrawingGridEvery w:val="2"/>
  <w:characterSpacingControl w:val="doNotCompress"/>
  <w:hdrShapeDefaults>
    <o:shapedefaults v:ext="edit" spidmax="2050">
      <o:colormru v:ext="edit" colors="#ddd,#f8f8f8"/>
    </o:shapedefaults>
    <o:shapelayout v:ext="edit">
      <o:idmap v:ext="edit" data="2"/>
    </o:shapelayout>
  </w:hdrShapeDefaults>
  <w:footnotePr>
    <w:footnote w:id="-1"/>
    <w:footnote w:id="0"/>
  </w:footnotePr>
  <w:endnotePr>
    <w:endnote w:id="-1"/>
    <w:endnote w:id="0"/>
  </w:endnotePr>
  <w:compat/>
  <w:docVars>
    <w:docVar w:name="ColourChosen" w:val="Core"/>
    <w:docVar w:name="CoverChosen" w:val="Standard"/>
  </w:docVars>
  <w:rsids>
    <w:rsidRoot w:val="002618F3"/>
    <w:rsid w:val="00000EEA"/>
    <w:rsid w:val="00001864"/>
    <w:rsid w:val="00002AA7"/>
    <w:rsid w:val="000031E1"/>
    <w:rsid w:val="00011FC6"/>
    <w:rsid w:val="00012099"/>
    <w:rsid w:val="000126EB"/>
    <w:rsid w:val="00015E82"/>
    <w:rsid w:val="0001775B"/>
    <w:rsid w:val="00024F6E"/>
    <w:rsid w:val="00025FD5"/>
    <w:rsid w:val="0002686D"/>
    <w:rsid w:val="0003128D"/>
    <w:rsid w:val="000316D4"/>
    <w:rsid w:val="0003217B"/>
    <w:rsid w:val="00032C10"/>
    <w:rsid w:val="000331D4"/>
    <w:rsid w:val="00042A1A"/>
    <w:rsid w:val="00043876"/>
    <w:rsid w:val="000443E1"/>
    <w:rsid w:val="00045DC3"/>
    <w:rsid w:val="00046533"/>
    <w:rsid w:val="0005048B"/>
    <w:rsid w:val="00051219"/>
    <w:rsid w:val="00051456"/>
    <w:rsid w:val="0005226F"/>
    <w:rsid w:val="0005371F"/>
    <w:rsid w:val="00053E83"/>
    <w:rsid w:val="00056FD0"/>
    <w:rsid w:val="00064612"/>
    <w:rsid w:val="000667A4"/>
    <w:rsid w:val="00074DFE"/>
    <w:rsid w:val="00075774"/>
    <w:rsid w:val="00075B0B"/>
    <w:rsid w:val="00076674"/>
    <w:rsid w:val="000815C2"/>
    <w:rsid w:val="00083CBE"/>
    <w:rsid w:val="00085DC0"/>
    <w:rsid w:val="0008733A"/>
    <w:rsid w:val="00087ADA"/>
    <w:rsid w:val="00092E98"/>
    <w:rsid w:val="00093B6A"/>
    <w:rsid w:val="00093BDB"/>
    <w:rsid w:val="00093D9C"/>
    <w:rsid w:val="000979AD"/>
    <w:rsid w:val="000A5E5A"/>
    <w:rsid w:val="000A6225"/>
    <w:rsid w:val="000A6F40"/>
    <w:rsid w:val="000B0A3D"/>
    <w:rsid w:val="000B1470"/>
    <w:rsid w:val="000B3486"/>
    <w:rsid w:val="000C02C0"/>
    <w:rsid w:val="000C05F1"/>
    <w:rsid w:val="000C0940"/>
    <w:rsid w:val="000C0E41"/>
    <w:rsid w:val="000C4051"/>
    <w:rsid w:val="000C53C7"/>
    <w:rsid w:val="000C5523"/>
    <w:rsid w:val="000C61C0"/>
    <w:rsid w:val="000C66A5"/>
    <w:rsid w:val="000C7D15"/>
    <w:rsid w:val="000D0298"/>
    <w:rsid w:val="000D142D"/>
    <w:rsid w:val="000D19DE"/>
    <w:rsid w:val="000D436B"/>
    <w:rsid w:val="000D6D2F"/>
    <w:rsid w:val="000E0947"/>
    <w:rsid w:val="000E1CF3"/>
    <w:rsid w:val="000E2422"/>
    <w:rsid w:val="000E35A5"/>
    <w:rsid w:val="000E599F"/>
    <w:rsid w:val="000F1EC3"/>
    <w:rsid w:val="000F1FE4"/>
    <w:rsid w:val="000F4C03"/>
    <w:rsid w:val="000F4F64"/>
    <w:rsid w:val="00101A2A"/>
    <w:rsid w:val="00104E77"/>
    <w:rsid w:val="00104FBD"/>
    <w:rsid w:val="001067F0"/>
    <w:rsid w:val="001068F9"/>
    <w:rsid w:val="001100D4"/>
    <w:rsid w:val="0011346D"/>
    <w:rsid w:val="001144A3"/>
    <w:rsid w:val="0011470B"/>
    <w:rsid w:val="00114B30"/>
    <w:rsid w:val="00116C3E"/>
    <w:rsid w:val="00117E59"/>
    <w:rsid w:val="0012201E"/>
    <w:rsid w:val="001220B3"/>
    <w:rsid w:val="00123BCC"/>
    <w:rsid w:val="00123FD7"/>
    <w:rsid w:val="001249CC"/>
    <w:rsid w:val="0013089B"/>
    <w:rsid w:val="00130BE8"/>
    <w:rsid w:val="00130DCD"/>
    <w:rsid w:val="0013105A"/>
    <w:rsid w:val="00132F76"/>
    <w:rsid w:val="0013384F"/>
    <w:rsid w:val="00134FC3"/>
    <w:rsid w:val="001362D8"/>
    <w:rsid w:val="00136B7F"/>
    <w:rsid w:val="00141D5A"/>
    <w:rsid w:val="00154168"/>
    <w:rsid w:val="00155EF4"/>
    <w:rsid w:val="0015605C"/>
    <w:rsid w:val="00157AAE"/>
    <w:rsid w:val="00161BB6"/>
    <w:rsid w:val="00161C61"/>
    <w:rsid w:val="0016769F"/>
    <w:rsid w:val="001708B3"/>
    <w:rsid w:val="00173C4D"/>
    <w:rsid w:val="00174A49"/>
    <w:rsid w:val="00175388"/>
    <w:rsid w:val="00177270"/>
    <w:rsid w:val="001772D6"/>
    <w:rsid w:val="0018172B"/>
    <w:rsid w:val="00186A2D"/>
    <w:rsid w:val="00187EF3"/>
    <w:rsid w:val="00190E0B"/>
    <w:rsid w:val="00192E59"/>
    <w:rsid w:val="00193162"/>
    <w:rsid w:val="00194542"/>
    <w:rsid w:val="00195301"/>
    <w:rsid w:val="00196146"/>
    <w:rsid w:val="001A1020"/>
    <w:rsid w:val="001A116A"/>
    <w:rsid w:val="001A39A6"/>
    <w:rsid w:val="001A6556"/>
    <w:rsid w:val="001B00A0"/>
    <w:rsid w:val="001B23ED"/>
    <w:rsid w:val="001B34DE"/>
    <w:rsid w:val="001B544A"/>
    <w:rsid w:val="001B6CB5"/>
    <w:rsid w:val="001B79DA"/>
    <w:rsid w:val="001B7BF3"/>
    <w:rsid w:val="001C07F5"/>
    <w:rsid w:val="001C3137"/>
    <w:rsid w:val="001C4B2B"/>
    <w:rsid w:val="001C540A"/>
    <w:rsid w:val="001C5CA5"/>
    <w:rsid w:val="001C663B"/>
    <w:rsid w:val="001D36DC"/>
    <w:rsid w:val="001D4D59"/>
    <w:rsid w:val="001D713C"/>
    <w:rsid w:val="001E107A"/>
    <w:rsid w:val="001E2D97"/>
    <w:rsid w:val="001E30E8"/>
    <w:rsid w:val="001E4C59"/>
    <w:rsid w:val="001E531C"/>
    <w:rsid w:val="001F0672"/>
    <w:rsid w:val="001F7241"/>
    <w:rsid w:val="0020034E"/>
    <w:rsid w:val="00201C06"/>
    <w:rsid w:val="00201E78"/>
    <w:rsid w:val="00207117"/>
    <w:rsid w:val="002101A4"/>
    <w:rsid w:val="0021049F"/>
    <w:rsid w:val="002109F9"/>
    <w:rsid w:val="002137D2"/>
    <w:rsid w:val="00214440"/>
    <w:rsid w:val="0021460F"/>
    <w:rsid w:val="00215132"/>
    <w:rsid w:val="002154A2"/>
    <w:rsid w:val="002156C8"/>
    <w:rsid w:val="00221A8F"/>
    <w:rsid w:val="00221D5A"/>
    <w:rsid w:val="00224254"/>
    <w:rsid w:val="0022431B"/>
    <w:rsid w:val="002254A0"/>
    <w:rsid w:val="002256CA"/>
    <w:rsid w:val="002274F9"/>
    <w:rsid w:val="00231879"/>
    <w:rsid w:val="00232B56"/>
    <w:rsid w:val="00236FD0"/>
    <w:rsid w:val="002418DA"/>
    <w:rsid w:val="00241BAC"/>
    <w:rsid w:val="002421F2"/>
    <w:rsid w:val="002451A8"/>
    <w:rsid w:val="00250A7A"/>
    <w:rsid w:val="0025177C"/>
    <w:rsid w:val="00251DDE"/>
    <w:rsid w:val="00252CBB"/>
    <w:rsid w:val="002535D6"/>
    <w:rsid w:val="002579B2"/>
    <w:rsid w:val="00257A49"/>
    <w:rsid w:val="00260CC9"/>
    <w:rsid w:val="002618F3"/>
    <w:rsid w:val="00263A58"/>
    <w:rsid w:val="00267364"/>
    <w:rsid w:val="0026739B"/>
    <w:rsid w:val="00272235"/>
    <w:rsid w:val="00273A31"/>
    <w:rsid w:val="00274483"/>
    <w:rsid w:val="00274DF1"/>
    <w:rsid w:val="00274FEA"/>
    <w:rsid w:val="00276E3E"/>
    <w:rsid w:val="00277240"/>
    <w:rsid w:val="00277610"/>
    <w:rsid w:val="00277A23"/>
    <w:rsid w:val="00280E4B"/>
    <w:rsid w:val="00281D51"/>
    <w:rsid w:val="0028410A"/>
    <w:rsid w:val="002852DB"/>
    <w:rsid w:val="00285F27"/>
    <w:rsid w:val="00287FBB"/>
    <w:rsid w:val="0029026E"/>
    <w:rsid w:val="0029371B"/>
    <w:rsid w:val="00293EB0"/>
    <w:rsid w:val="00295D01"/>
    <w:rsid w:val="002961DB"/>
    <w:rsid w:val="002A47DB"/>
    <w:rsid w:val="002A5A18"/>
    <w:rsid w:val="002A5D8F"/>
    <w:rsid w:val="002A658F"/>
    <w:rsid w:val="002B3E6E"/>
    <w:rsid w:val="002B4524"/>
    <w:rsid w:val="002C54A6"/>
    <w:rsid w:val="002D19CD"/>
    <w:rsid w:val="002D688F"/>
    <w:rsid w:val="002E00BA"/>
    <w:rsid w:val="002E0C1E"/>
    <w:rsid w:val="002E3B33"/>
    <w:rsid w:val="002E3B6F"/>
    <w:rsid w:val="002E3BB0"/>
    <w:rsid w:val="002E46FE"/>
    <w:rsid w:val="002E6619"/>
    <w:rsid w:val="002E7AB1"/>
    <w:rsid w:val="002E7DC9"/>
    <w:rsid w:val="002F0071"/>
    <w:rsid w:val="002F06CC"/>
    <w:rsid w:val="002F3863"/>
    <w:rsid w:val="002F5550"/>
    <w:rsid w:val="002F6563"/>
    <w:rsid w:val="002F7A19"/>
    <w:rsid w:val="00300092"/>
    <w:rsid w:val="00300185"/>
    <w:rsid w:val="00301C5C"/>
    <w:rsid w:val="003036A2"/>
    <w:rsid w:val="00304606"/>
    <w:rsid w:val="003053C7"/>
    <w:rsid w:val="003059EB"/>
    <w:rsid w:val="00306A4B"/>
    <w:rsid w:val="00307B3C"/>
    <w:rsid w:val="00310421"/>
    <w:rsid w:val="00310E34"/>
    <w:rsid w:val="00313105"/>
    <w:rsid w:val="003139EB"/>
    <w:rsid w:val="00313CAE"/>
    <w:rsid w:val="00315C90"/>
    <w:rsid w:val="0031605A"/>
    <w:rsid w:val="00322BA1"/>
    <w:rsid w:val="00322C0C"/>
    <w:rsid w:val="0032305E"/>
    <w:rsid w:val="00325FD8"/>
    <w:rsid w:val="0032796C"/>
    <w:rsid w:val="00331731"/>
    <w:rsid w:val="00332F71"/>
    <w:rsid w:val="00333EED"/>
    <w:rsid w:val="0033551F"/>
    <w:rsid w:val="003357EB"/>
    <w:rsid w:val="00340806"/>
    <w:rsid w:val="00341FFE"/>
    <w:rsid w:val="003425BE"/>
    <w:rsid w:val="003450A8"/>
    <w:rsid w:val="003461B2"/>
    <w:rsid w:val="00354DCE"/>
    <w:rsid w:val="00355B43"/>
    <w:rsid w:val="00357251"/>
    <w:rsid w:val="003579A8"/>
    <w:rsid w:val="00357F24"/>
    <w:rsid w:val="00361EE2"/>
    <w:rsid w:val="0036319D"/>
    <w:rsid w:val="00381F7E"/>
    <w:rsid w:val="00383ADF"/>
    <w:rsid w:val="00387742"/>
    <w:rsid w:val="00387974"/>
    <w:rsid w:val="00390015"/>
    <w:rsid w:val="00391B56"/>
    <w:rsid w:val="0039270B"/>
    <w:rsid w:val="00395EF5"/>
    <w:rsid w:val="0039729E"/>
    <w:rsid w:val="003A1A81"/>
    <w:rsid w:val="003A2FF2"/>
    <w:rsid w:val="003A3052"/>
    <w:rsid w:val="003A3919"/>
    <w:rsid w:val="003A476E"/>
    <w:rsid w:val="003A4AF4"/>
    <w:rsid w:val="003A647C"/>
    <w:rsid w:val="003A710E"/>
    <w:rsid w:val="003B1238"/>
    <w:rsid w:val="003B2ACE"/>
    <w:rsid w:val="003B4380"/>
    <w:rsid w:val="003B58A6"/>
    <w:rsid w:val="003C40B6"/>
    <w:rsid w:val="003D5C0C"/>
    <w:rsid w:val="003D62C9"/>
    <w:rsid w:val="003D641F"/>
    <w:rsid w:val="003D6565"/>
    <w:rsid w:val="003D778D"/>
    <w:rsid w:val="003E0F65"/>
    <w:rsid w:val="003E27E2"/>
    <w:rsid w:val="003E3972"/>
    <w:rsid w:val="003F061A"/>
    <w:rsid w:val="003F0CE8"/>
    <w:rsid w:val="003F1806"/>
    <w:rsid w:val="003F1FBD"/>
    <w:rsid w:val="003F5D80"/>
    <w:rsid w:val="003F6EAD"/>
    <w:rsid w:val="0040108B"/>
    <w:rsid w:val="004015CB"/>
    <w:rsid w:val="00401C9F"/>
    <w:rsid w:val="004070AA"/>
    <w:rsid w:val="00410CB7"/>
    <w:rsid w:val="00411649"/>
    <w:rsid w:val="00412553"/>
    <w:rsid w:val="004134DD"/>
    <w:rsid w:val="00414C60"/>
    <w:rsid w:val="004150DC"/>
    <w:rsid w:val="0041517D"/>
    <w:rsid w:val="00416DF7"/>
    <w:rsid w:val="00420CC0"/>
    <w:rsid w:val="00422452"/>
    <w:rsid w:val="004227AE"/>
    <w:rsid w:val="004237E1"/>
    <w:rsid w:val="00423A15"/>
    <w:rsid w:val="00424719"/>
    <w:rsid w:val="00425B20"/>
    <w:rsid w:val="00426E97"/>
    <w:rsid w:val="004362E3"/>
    <w:rsid w:val="00440CFE"/>
    <w:rsid w:val="00441D99"/>
    <w:rsid w:val="00444967"/>
    <w:rsid w:val="00444D4A"/>
    <w:rsid w:val="004459B1"/>
    <w:rsid w:val="00450B7D"/>
    <w:rsid w:val="00450C41"/>
    <w:rsid w:val="00452FA4"/>
    <w:rsid w:val="00455807"/>
    <w:rsid w:val="00457440"/>
    <w:rsid w:val="0046209B"/>
    <w:rsid w:val="00462182"/>
    <w:rsid w:val="00463ED6"/>
    <w:rsid w:val="00466556"/>
    <w:rsid w:val="004666B7"/>
    <w:rsid w:val="00466A4C"/>
    <w:rsid w:val="00467438"/>
    <w:rsid w:val="004712A8"/>
    <w:rsid w:val="00471DED"/>
    <w:rsid w:val="00475BB5"/>
    <w:rsid w:val="00475EB7"/>
    <w:rsid w:val="004766E5"/>
    <w:rsid w:val="00477EA1"/>
    <w:rsid w:val="004826CF"/>
    <w:rsid w:val="00483F64"/>
    <w:rsid w:val="00486868"/>
    <w:rsid w:val="0048768F"/>
    <w:rsid w:val="00487D3D"/>
    <w:rsid w:val="00491B05"/>
    <w:rsid w:val="00492547"/>
    <w:rsid w:val="00492C39"/>
    <w:rsid w:val="00494587"/>
    <w:rsid w:val="00494743"/>
    <w:rsid w:val="004A067D"/>
    <w:rsid w:val="004A575F"/>
    <w:rsid w:val="004A7FA7"/>
    <w:rsid w:val="004B0986"/>
    <w:rsid w:val="004B1330"/>
    <w:rsid w:val="004B2DAA"/>
    <w:rsid w:val="004B4864"/>
    <w:rsid w:val="004B5AC9"/>
    <w:rsid w:val="004B7F36"/>
    <w:rsid w:val="004C08B6"/>
    <w:rsid w:val="004C0D00"/>
    <w:rsid w:val="004C14AB"/>
    <w:rsid w:val="004C3462"/>
    <w:rsid w:val="004C5772"/>
    <w:rsid w:val="004C7122"/>
    <w:rsid w:val="004D0A90"/>
    <w:rsid w:val="004D139E"/>
    <w:rsid w:val="004D1CE2"/>
    <w:rsid w:val="004D44AC"/>
    <w:rsid w:val="004D5ED7"/>
    <w:rsid w:val="004E1262"/>
    <w:rsid w:val="004E20DC"/>
    <w:rsid w:val="004E3049"/>
    <w:rsid w:val="004E411B"/>
    <w:rsid w:val="004E50E4"/>
    <w:rsid w:val="004E5C69"/>
    <w:rsid w:val="004E60D0"/>
    <w:rsid w:val="004F0CAD"/>
    <w:rsid w:val="004F12A6"/>
    <w:rsid w:val="004F1565"/>
    <w:rsid w:val="004F1878"/>
    <w:rsid w:val="004F2304"/>
    <w:rsid w:val="004F26F8"/>
    <w:rsid w:val="004F398D"/>
    <w:rsid w:val="004F4CC9"/>
    <w:rsid w:val="004F75D8"/>
    <w:rsid w:val="005025FE"/>
    <w:rsid w:val="00504585"/>
    <w:rsid w:val="00506DDE"/>
    <w:rsid w:val="005136AD"/>
    <w:rsid w:val="005138BA"/>
    <w:rsid w:val="00513923"/>
    <w:rsid w:val="00516657"/>
    <w:rsid w:val="00516D9C"/>
    <w:rsid w:val="00520CB5"/>
    <w:rsid w:val="005211AF"/>
    <w:rsid w:val="005213E2"/>
    <w:rsid w:val="00521828"/>
    <w:rsid w:val="005276C2"/>
    <w:rsid w:val="0053176E"/>
    <w:rsid w:val="00533019"/>
    <w:rsid w:val="0053360B"/>
    <w:rsid w:val="005340A5"/>
    <w:rsid w:val="005340B7"/>
    <w:rsid w:val="00536D51"/>
    <w:rsid w:val="005406F8"/>
    <w:rsid w:val="0054169B"/>
    <w:rsid w:val="005417D2"/>
    <w:rsid w:val="005422E4"/>
    <w:rsid w:val="00543721"/>
    <w:rsid w:val="00544161"/>
    <w:rsid w:val="0054436C"/>
    <w:rsid w:val="00545CF8"/>
    <w:rsid w:val="00550E4D"/>
    <w:rsid w:val="00550F69"/>
    <w:rsid w:val="005523C6"/>
    <w:rsid w:val="005535C1"/>
    <w:rsid w:val="00554040"/>
    <w:rsid w:val="00560DE8"/>
    <w:rsid w:val="005616AE"/>
    <w:rsid w:val="00567C15"/>
    <w:rsid w:val="00571AAC"/>
    <w:rsid w:val="00571ADF"/>
    <w:rsid w:val="00571CEA"/>
    <w:rsid w:val="00571F91"/>
    <w:rsid w:val="00580BC8"/>
    <w:rsid w:val="00581C8A"/>
    <w:rsid w:val="00584961"/>
    <w:rsid w:val="005871BD"/>
    <w:rsid w:val="005900A1"/>
    <w:rsid w:val="00590B01"/>
    <w:rsid w:val="005A0224"/>
    <w:rsid w:val="005A0BA6"/>
    <w:rsid w:val="005A1201"/>
    <w:rsid w:val="005A35B2"/>
    <w:rsid w:val="005A3671"/>
    <w:rsid w:val="005A3F38"/>
    <w:rsid w:val="005A5D0F"/>
    <w:rsid w:val="005A68C6"/>
    <w:rsid w:val="005A6C20"/>
    <w:rsid w:val="005A6F02"/>
    <w:rsid w:val="005B170A"/>
    <w:rsid w:val="005B253B"/>
    <w:rsid w:val="005B2B2E"/>
    <w:rsid w:val="005B753C"/>
    <w:rsid w:val="005C0A5F"/>
    <w:rsid w:val="005C0CF4"/>
    <w:rsid w:val="005C1B4B"/>
    <w:rsid w:val="005C2541"/>
    <w:rsid w:val="005C3C1D"/>
    <w:rsid w:val="005C6EB0"/>
    <w:rsid w:val="005C71E9"/>
    <w:rsid w:val="005D5D01"/>
    <w:rsid w:val="005D7700"/>
    <w:rsid w:val="005E4801"/>
    <w:rsid w:val="005E7012"/>
    <w:rsid w:val="005F0DA6"/>
    <w:rsid w:val="005F32AD"/>
    <w:rsid w:val="005F41CD"/>
    <w:rsid w:val="005F573F"/>
    <w:rsid w:val="005F7C32"/>
    <w:rsid w:val="00601BED"/>
    <w:rsid w:val="00605C58"/>
    <w:rsid w:val="006065A9"/>
    <w:rsid w:val="006075B1"/>
    <w:rsid w:val="00607651"/>
    <w:rsid w:val="00607AEA"/>
    <w:rsid w:val="006101EB"/>
    <w:rsid w:val="006103AF"/>
    <w:rsid w:val="00610C1D"/>
    <w:rsid w:val="006131D3"/>
    <w:rsid w:val="00620AB1"/>
    <w:rsid w:val="00620C5C"/>
    <w:rsid w:val="00622516"/>
    <w:rsid w:val="00625BAE"/>
    <w:rsid w:val="00627195"/>
    <w:rsid w:val="00630E7C"/>
    <w:rsid w:val="0063561B"/>
    <w:rsid w:val="00636A65"/>
    <w:rsid w:val="00637DAC"/>
    <w:rsid w:val="0064042D"/>
    <w:rsid w:val="00641AEC"/>
    <w:rsid w:val="0064524B"/>
    <w:rsid w:val="006469A4"/>
    <w:rsid w:val="00647A2D"/>
    <w:rsid w:val="00650A8F"/>
    <w:rsid w:val="00651877"/>
    <w:rsid w:val="00655388"/>
    <w:rsid w:val="00655D42"/>
    <w:rsid w:val="00655FB6"/>
    <w:rsid w:val="00656199"/>
    <w:rsid w:val="0066419B"/>
    <w:rsid w:val="00664D3A"/>
    <w:rsid w:val="0066591B"/>
    <w:rsid w:val="00666B96"/>
    <w:rsid w:val="00667897"/>
    <w:rsid w:val="00675060"/>
    <w:rsid w:val="006759C2"/>
    <w:rsid w:val="0067631B"/>
    <w:rsid w:val="00676831"/>
    <w:rsid w:val="00677A9F"/>
    <w:rsid w:val="00681CA4"/>
    <w:rsid w:val="00682027"/>
    <w:rsid w:val="006839AA"/>
    <w:rsid w:val="00683E9B"/>
    <w:rsid w:val="00685B63"/>
    <w:rsid w:val="00690252"/>
    <w:rsid w:val="00692FE5"/>
    <w:rsid w:val="00694E1A"/>
    <w:rsid w:val="00695A1E"/>
    <w:rsid w:val="006A0A5C"/>
    <w:rsid w:val="006A25BB"/>
    <w:rsid w:val="006A4E81"/>
    <w:rsid w:val="006A5D0B"/>
    <w:rsid w:val="006B10B6"/>
    <w:rsid w:val="006B1377"/>
    <w:rsid w:val="006B1621"/>
    <w:rsid w:val="006B2726"/>
    <w:rsid w:val="006B4FE4"/>
    <w:rsid w:val="006B57B2"/>
    <w:rsid w:val="006B66B9"/>
    <w:rsid w:val="006C0EDC"/>
    <w:rsid w:val="006C109B"/>
    <w:rsid w:val="006C180F"/>
    <w:rsid w:val="006C2F7A"/>
    <w:rsid w:val="006C402B"/>
    <w:rsid w:val="006C4214"/>
    <w:rsid w:val="006C595B"/>
    <w:rsid w:val="006C63D3"/>
    <w:rsid w:val="006D1B2D"/>
    <w:rsid w:val="006D1E80"/>
    <w:rsid w:val="006D555F"/>
    <w:rsid w:val="006D7E28"/>
    <w:rsid w:val="006E17CD"/>
    <w:rsid w:val="006E23B6"/>
    <w:rsid w:val="006E25AB"/>
    <w:rsid w:val="006E3262"/>
    <w:rsid w:val="006E3A6D"/>
    <w:rsid w:val="006E4748"/>
    <w:rsid w:val="006E74EB"/>
    <w:rsid w:val="006E7746"/>
    <w:rsid w:val="006E7F70"/>
    <w:rsid w:val="006F2A4C"/>
    <w:rsid w:val="006F4826"/>
    <w:rsid w:val="006F4D0E"/>
    <w:rsid w:val="006F738D"/>
    <w:rsid w:val="00700738"/>
    <w:rsid w:val="00707997"/>
    <w:rsid w:val="0071029B"/>
    <w:rsid w:val="0071052E"/>
    <w:rsid w:val="00711762"/>
    <w:rsid w:val="00716588"/>
    <w:rsid w:val="00721552"/>
    <w:rsid w:val="00726E5E"/>
    <w:rsid w:val="007327F4"/>
    <w:rsid w:val="007367A7"/>
    <w:rsid w:val="00736C13"/>
    <w:rsid w:val="00736E1E"/>
    <w:rsid w:val="00736F0E"/>
    <w:rsid w:val="00743DDF"/>
    <w:rsid w:val="007445DB"/>
    <w:rsid w:val="0074569B"/>
    <w:rsid w:val="00745A84"/>
    <w:rsid w:val="007510E2"/>
    <w:rsid w:val="007513AA"/>
    <w:rsid w:val="00751FA0"/>
    <w:rsid w:val="00752314"/>
    <w:rsid w:val="00752473"/>
    <w:rsid w:val="00752903"/>
    <w:rsid w:val="00757D44"/>
    <w:rsid w:val="00757D81"/>
    <w:rsid w:val="00762472"/>
    <w:rsid w:val="0076343C"/>
    <w:rsid w:val="00765BD7"/>
    <w:rsid w:val="00766BBE"/>
    <w:rsid w:val="00766D8A"/>
    <w:rsid w:val="00767521"/>
    <w:rsid w:val="007732C9"/>
    <w:rsid w:val="007738F3"/>
    <w:rsid w:val="00774CB6"/>
    <w:rsid w:val="00776A3D"/>
    <w:rsid w:val="007776A3"/>
    <w:rsid w:val="00782488"/>
    <w:rsid w:val="00785E49"/>
    <w:rsid w:val="007860CE"/>
    <w:rsid w:val="00786A8D"/>
    <w:rsid w:val="00786B17"/>
    <w:rsid w:val="00787338"/>
    <w:rsid w:val="00787C90"/>
    <w:rsid w:val="00790A1F"/>
    <w:rsid w:val="00793B7A"/>
    <w:rsid w:val="00793C15"/>
    <w:rsid w:val="00793DA2"/>
    <w:rsid w:val="00795CFF"/>
    <w:rsid w:val="00795F86"/>
    <w:rsid w:val="007A01EB"/>
    <w:rsid w:val="007A0DE3"/>
    <w:rsid w:val="007B13AE"/>
    <w:rsid w:val="007B188F"/>
    <w:rsid w:val="007B2475"/>
    <w:rsid w:val="007B249F"/>
    <w:rsid w:val="007B2ECC"/>
    <w:rsid w:val="007C1DF4"/>
    <w:rsid w:val="007C5394"/>
    <w:rsid w:val="007C6BB9"/>
    <w:rsid w:val="007D1633"/>
    <w:rsid w:val="007D1B60"/>
    <w:rsid w:val="007D2E6D"/>
    <w:rsid w:val="007D5501"/>
    <w:rsid w:val="007D7F23"/>
    <w:rsid w:val="007E073D"/>
    <w:rsid w:val="007E0B4C"/>
    <w:rsid w:val="007E260F"/>
    <w:rsid w:val="007E35CB"/>
    <w:rsid w:val="007E4B05"/>
    <w:rsid w:val="007E68F0"/>
    <w:rsid w:val="007F16A8"/>
    <w:rsid w:val="007F6149"/>
    <w:rsid w:val="007F618C"/>
    <w:rsid w:val="007F688D"/>
    <w:rsid w:val="00802325"/>
    <w:rsid w:val="00806F44"/>
    <w:rsid w:val="00807954"/>
    <w:rsid w:val="00812E7D"/>
    <w:rsid w:val="00815DBC"/>
    <w:rsid w:val="00816F1C"/>
    <w:rsid w:val="008175AA"/>
    <w:rsid w:val="008223E7"/>
    <w:rsid w:val="00824DB4"/>
    <w:rsid w:val="00826D20"/>
    <w:rsid w:val="00840460"/>
    <w:rsid w:val="008408C1"/>
    <w:rsid w:val="00840B15"/>
    <w:rsid w:val="008413D6"/>
    <w:rsid w:val="00843A62"/>
    <w:rsid w:val="00844B92"/>
    <w:rsid w:val="0084763A"/>
    <w:rsid w:val="008503AA"/>
    <w:rsid w:val="0085234E"/>
    <w:rsid w:val="00853842"/>
    <w:rsid w:val="00854E3D"/>
    <w:rsid w:val="008601C5"/>
    <w:rsid w:val="00863F9A"/>
    <w:rsid w:val="00864126"/>
    <w:rsid w:val="00865F66"/>
    <w:rsid w:val="00867518"/>
    <w:rsid w:val="008704E4"/>
    <w:rsid w:val="00876062"/>
    <w:rsid w:val="00880650"/>
    <w:rsid w:val="00880DE8"/>
    <w:rsid w:val="00885A3D"/>
    <w:rsid w:val="00886AB5"/>
    <w:rsid w:val="00887AD9"/>
    <w:rsid w:val="00890BD7"/>
    <w:rsid w:val="00891947"/>
    <w:rsid w:val="00891A6E"/>
    <w:rsid w:val="008937AA"/>
    <w:rsid w:val="00893947"/>
    <w:rsid w:val="008941B7"/>
    <w:rsid w:val="00894CD0"/>
    <w:rsid w:val="008951FB"/>
    <w:rsid w:val="008968EB"/>
    <w:rsid w:val="00897689"/>
    <w:rsid w:val="00897FEE"/>
    <w:rsid w:val="008A1341"/>
    <w:rsid w:val="008A3A56"/>
    <w:rsid w:val="008A405E"/>
    <w:rsid w:val="008A4DD1"/>
    <w:rsid w:val="008A4EB2"/>
    <w:rsid w:val="008A51A2"/>
    <w:rsid w:val="008A51C6"/>
    <w:rsid w:val="008A51D2"/>
    <w:rsid w:val="008B4591"/>
    <w:rsid w:val="008B7AF1"/>
    <w:rsid w:val="008C3EB9"/>
    <w:rsid w:val="008C79EC"/>
    <w:rsid w:val="008D5E56"/>
    <w:rsid w:val="008E36EC"/>
    <w:rsid w:val="008E3A6A"/>
    <w:rsid w:val="008E5CE3"/>
    <w:rsid w:val="008F10C0"/>
    <w:rsid w:val="008F1194"/>
    <w:rsid w:val="008F273A"/>
    <w:rsid w:val="008F5FA6"/>
    <w:rsid w:val="008F644B"/>
    <w:rsid w:val="008F64BD"/>
    <w:rsid w:val="008F6542"/>
    <w:rsid w:val="008F7A9C"/>
    <w:rsid w:val="00900503"/>
    <w:rsid w:val="00905FE9"/>
    <w:rsid w:val="0091299A"/>
    <w:rsid w:val="00914268"/>
    <w:rsid w:val="00914764"/>
    <w:rsid w:val="0091539C"/>
    <w:rsid w:val="00917822"/>
    <w:rsid w:val="009238C0"/>
    <w:rsid w:val="00924D99"/>
    <w:rsid w:val="00925EE3"/>
    <w:rsid w:val="0092796F"/>
    <w:rsid w:val="00930F39"/>
    <w:rsid w:val="009317F7"/>
    <w:rsid w:val="009328FC"/>
    <w:rsid w:val="00933D7D"/>
    <w:rsid w:val="009360C5"/>
    <w:rsid w:val="00944443"/>
    <w:rsid w:val="009445C4"/>
    <w:rsid w:val="00950842"/>
    <w:rsid w:val="00957152"/>
    <w:rsid w:val="00957B8A"/>
    <w:rsid w:val="0096064B"/>
    <w:rsid w:val="00960DFD"/>
    <w:rsid w:val="00963006"/>
    <w:rsid w:val="00963568"/>
    <w:rsid w:val="009704B0"/>
    <w:rsid w:val="00970F7D"/>
    <w:rsid w:val="00972036"/>
    <w:rsid w:val="00975C0B"/>
    <w:rsid w:val="00983F19"/>
    <w:rsid w:val="00987853"/>
    <w:rsid w:val="009920D4"/>
    <w:rsid w:val="0099432F"/>
    <w:rsid w:val="009952EB"/>
    <w:rsid w:val="00995D43"/>
    <w:rsid w:val="009964E7"/>
    <w:rsid w:val="009A180F"/>
    <w:rsid w:val="009A20E5"/>
    <w:rsid w:val="009A210A"/>
    <w:rsid w:val="009A623A"/>
    <w:rsid w:val="009B3319"/>
    <w:rsid w:val="009B4B17"/>
    <w:rsid w:val="009B532B"/>
    <w:rsid w:val="009B5F58"/>
    <w:rsid w:val="009B6B20"/>
    <w:rsid w:val="009B71B9"/>
    <w:rsid w:val="009B7560"/>
    <w:rsid w:val="009B77E9"/>
    <w:rsid w:val="009C333A"/>
    <w:rsid w:val="009C3E19"/>
    <w:rsid w:val="009C4587"/>
    <w:rsid w:val="009C4684"/>
    <w:rsid w:val="009C532F"/>
    <w:rsid w:val="009C5DC9"/>
    <w:rsid w:val="009C77A5"/>
    <w:rsid w:val="009D3EE1"/>
    <w:rsid w:val="009D6736"/>
    <w:rsid w:val="009D78D3"/>
    <w:rsid w:val="009D7E49"/>
    <w:rsid w:val="009E31DC"/>
    <w:rsid w:val="009E3E67"/>
    <w:rsid w:val="009E51CE"/>
    <w:rsid w:val="009E5D82"/>
    <w:rsid w:val="009E734D"/>
    <w:rsid w:val="009F0253"/>
    <w:rsid w:val="009F0667"/>
    <w:rsid w:val="009F0EAA"/>
    <w:rsid w:val="009F38A2"/>
    <w:rsid w:val="009F42AB"/>
    <w:rsid w:val="009F5A9B"/>
    <w:rsid w:val="009F78CB"/>
    <w:rsid w:val="009F79DC"/>
    <w:rsid w:val="009F7C81"/>
    <w:rsid w:val="00A00A06"/>
    <w:rsid w:val="00A0309C"/>
    <w:rsid w:val="00A03AFA"/>
    <w:rsid w:val="00A043B1"/>
    <w:rsid w:val="00A0599B"/>
    <w:rsid w:val="00A05EB0"/>
    <w:rsid w:val="00A14107"/>
    <w:rsid w:val="00A144CE"/>
    <w:rsid w:val="00A20DBC"/>
    <w:rsid w:val="00A30EF0"/>
    <w:rsid w:val="00A3284F"/>
    <w:rsid w:val="00A32EDC"/>
    <w:rsid w:val="00A35817"/>
    <w:rsid w:val="00A36C54"/>
    <w:rsid w:val="00A40CC4"/>
    <w:rsid w:val="00A410CD"/>
    <w:rsid w:val="00A41431"/>
    <w:rsid w:val="00A4301D"/>
    <w:rsid w:val="00A47C47"/>
    <w:rsid w:val="00A502B4"/>
    <w:rsid w:val="00A5109F"/>
    <w:rsid w:val="00A51997"/>
    <w:rsid w:val="00A52C01"/>
    <w:rsid w:val="00A55391"/>
    <w:rsid w:val="00A63318"/>
    <w:rsid w:val="00A640C0"/>
    <w:rsid w:val="00A65D4E"/>
    <w:rsid w:val="00A65ED0"/>
    <w:rsid w:val="00A67332"/>
    <w:rsid w:val="00A70DD1"/>
    <w:rsid w:val="00A716CA"/>
    <w:rsid w:val="00A7397B"/>
    <w:rsid w:val="00A81299"/>
    <w:rsid w:val="00A82227"/>
    <w:rsid w:val="00A847E1"/>
    <w:rsid w:val="00A85C20"/>
    <w:rsid w:val="00A86058"/>
    <w:rsid w:val="00A86985"/>
    <w:rsid w:val="00A87F78"/>
    <w:rsid w:val="00A90BD5"/>
    <w:rsid w:val="00A943B2"/>
    <w:rsid w:val="00A9602E"/>
    <w:rsid w:val="00AA0222"/>
    <w:rsid w:val="00AA4BB9"/>
    <w:rsid w:val="00AA60CF"/>
    <w:rsid w:val="00AB07A4"/>
    <w:rsid w:val="00AB181B"/>
    <w:rsid w:val="00AB288C"/>
    <w:rsid w:val="00AB2E64"/>
    <w:rsid w:val="00AB35C1"/>
    <w:rsid w:val="00AB4D75"/>
    <w:rsid w:val="00AB5986"/>
    <w:rsid w:val="00AB7B10"/>
    <w:rsid w:val="00AC0E16"/>
    <w:rsid w:val="00AC3B69"/>
    <w:rsid w:val="00AC3E58"/>
    <w:rsid w:val="00AC6720"/>
    <w:rsid w:val="00AC7ECD"/>
    <w:rsid w:val="00AD0766"/>
    <w:rsid w:val="00AD083F"/>
    <w:rsid w:val="00AD2170"/>
    <w:rsid w:val="00AD275A"/>
    <w:rsid w:val="00AD3D6D"/>
    <w:rsid w:val="00AD7F00"/>
    <w:rsid w:val="00AE050D"/>
    <w:rsid w:val="00AE0559"/>
    <w:rsid w:val="00AE22BA"/>
    <w:rsid w:val="00AE3B5F"/>
    <w:rsid w:val="00AE3CFD"/>
    <w:rsid w:val="00AE55D2"/>
    <w:rsid w:val="00AE5B89"/>
    <w:rsid w:val="00AE7106"/>
    <w:rsid w:val="00AF06CB"/>
    <w:rsid w:val="00AF1099"/>
    <w:rsid w:val="00AF1B84"/>
    <w:rsid w:val="00AF37BE"/>
    <w:rsid w:val="00AF4D16"/>
    <w:rsid w:val="00AF5B4A"/>
    <w:rsid w:val="00AF6215"/>
    <w:rsid w:val="00AF7147"/>
    <w:rsid w:val="00B03428"/>
    <w:rsid w:val="00B035CC"/>
    <w:rsid w:val="00B06606"/>
    <w:rsid w:val="00B068D9"/>
    <w:rsid w:val="00B06E83"/>
    <w:rsid w:val="00B103CA"/>
    <w:rsid w:val="00B10EA2"/>
    <w:rsid w:val="00B139A9"/>
    <w:rsid w:val="00B14087"/>
    <w:rsid w:val="00B16045"/>
    <w:rsid w:val="00B222AD"/>
    <w:rsid w:val="00B23CE0"/>
    <w:rsid w:val="00B23FAD"/>
    <w:rsid w:val="00B268F6"/>
    <w:rsid w:val="00B31735"/>
    <w:rsid w:val="00B325FB"/>
    <w:rsid w:val="00B34418"/>
    <w:rsid w:val="00B3452A"/>
    <w:rsid w:val="00B34F64"/>
    <w:rsid w:val="00B44025"/>
    <w:rsid w:val="00B44725"/>
    <w:rsid w:val="00B45E08"/>
    <w:rsid w:val="00B476A6"/>
    <w:rsid w:val="00B51E8B"/>
    <w:rsid w:val="00B51EB4"/>
    <w:rsid w:val="00B53061"/>
    <w:rsid w:val="00B5338E"/>
    <w:rsid w:val="00B5561F"/>
    <w:rsid w:val="00B55F0E"/>
    <w:rsid w:val="00B659A1"/>
    <w:rsid w:val="00B7595A"/>
    <w:rsid w:val="00B80087"/>
    <w:rsid w:val="00B816CE"/>
    <w:rsid w:val="00B827FF"/>
    <w:rsid w:val="00B8436D"/>
    <w:rsid w:val="00B8445D"/>
    <w:rsid w:val="00B846E1"/>
    <w:rsid w:val="00B9000E"/>
    <w:rsid w:val="00B9010E"/>
    <w:rsid w:val="00B9061C"/>
    <w:rsid w:val="00B90A67"/>
    <w:rsid w:val="00B93351"/>
    <w:rsid w:val="00B93FAF"/>
    <w:rsid w:val="00B96AC7"/>
    <w:rsid w:val="00B96B1B"/>
    <w:rsid w:val="00B96DBD"/>
    <w:rsid w:val="00B9744A"/>
    <w:rsid w:val="00BA0D89"/>
    <w:rsid w:val="00BA6568"/>
    <w:rsid w:val="00BA6C89"/>
    <w:rsid w:val="00BC2074"/>
    <w:rsid w:val="00BC46FA"/>
    <w:rsid w:val="00BC622C"/>
    <w:rsid w:val="00BC6A0F"/>
    <w:rsid w:val="00BD0813"/>
    <w:rsid w:val="00BD0A17"/>
    <w:rsid w:val="00BD241F"/>
    <w:rsid w:val="00BD403D"/>
    <w:rsid w:val="00BD7002"/>
    <w:rsid w:val="00BE3C7B"/>
    <w:rsid w:val="00BE52D6"/>
    <w:rsid w:val="00BF2E42"/>
    <w:rsid w:val="00BF6512"/>
    <w:rsid w:val="00C0427F"/>
    <w:rsid w:val="00C102B5"/>
    <w:rsid w:val="00C12CDC"/>
    <w:rsid w:val="00C13395"/>
    <w:rsid w:val="00C13629"/>
    <w:rsid w:val="00C14296"/>
    <w:rsid w:val="00C14EF7"/>
    <w:rsid w:val="00C150D6"/>
    <w:rsid w:val="00C16BDD"/>
    <w:rsid w:val="00C23138"/>
    <w:rsid w:val="00C235CA"/>
    <w:rsid w:val="00C25CB9"/>
    <w:rsid w:val="00C27641"/>
    <w:rsid w:val="00C32E7A"/>
    <w:rsid w:val="00C422BC"/>
    <w:rsid w:val="00C42B47"/>
    <w:rsid w:val="00C44BBE"/>
    <w:rsid w:val="00C469A4"/>
    <w:rsid w:val="00C47A20"/>
    <w:rsid w:val="00C507C3"/>
    <w:rsid w:val="00C52188"/>
    <w:rsid w:val="00C5358D"/>
    <w:rsid w:val="00C56AB8"/>
    <w:rsid w:val="00C56D03"/>
    <w:rsid w:val="00C607F8"/>
    <w:rsid w:val="00C61603"/>
    <w:rsid w:val="00C62BBB"/>
    <w:rsid w:val="00C6302E"/>
    <w:rsid w:val="00C63B3B"/>
    <w:rsid w:val="00C64AD3"/>
    <w:rsid w:val="00C66A8B"/>
    <w:rsid w:val="00C731E8"/>
    <w:rsid w:val="00C770B0"/>
    <w:rsid w:val="00C832E2"/>
    <w:rsid w:val="00C83B2F"/>
    <w:rsid w:val="00C83DF8"/>
    <w:rsid w:val="00C858FA"/>
    <w:rsid w:val="00C8699C"/>
    <w:rsid w:val="00C86A37"/>
    <w:rsid w:val="00C9080E"/>
    <w:rsid w:val="00C945DD"/>
    <w:rsid w:val="00CA0C62"/>
    <w:rsid w:val="00CA0DC9"/>
    <w:rsid w:val="00CA391F"/>
    <w:rsid w:val="00CA43A1"/>
    <w:rsid w:val="00CA4C49"/>
    <w:rsid w:val="00CA4E97"/>
    <w:rsid w:val="00CA5249"/>
    <w:rsid w:val="00CB12BF"/>
    <w:rsid w:val="00CB2DEC"/>
    <w:rsid w:val="00CB3CAB"/>
    <w:rsid w:val="00CB59D1"/>
    <w:rsid w:val="00CC0F54"/>
    <w:rsid w:val="00CC324A"/>
    <w:rsid w:val="00CC3D0D"/>
    <w:rsid w:val="00CC6FA2"/>
    <w:rsid w:val="00CD23DC"/>
    <w:rsid w:val="00CD33C4"/>
    <w:rsid w:val="00CD4424"/>
    <w:rsid w:val="00CD5730"/>
    <w:rsid w:val="00CD5B9E"/>
    <w:rsid w:val="00CD6E4E"/>
    <w:rsid w:val="00CE17A5"/>
    <w:rsid w:val="00CE6D6D"/>
    <w:rsid w:val="00CF1C3C"/>
    <w:rsid w:val="00CF1F0A"/>
    <w:rsid w:val="00CF51C7"/>
    <w:rsid w:val="00CF561E"/>
    <w:rsid w:val="00CF6520"/>
    <w:rsid w:val="00CF65CD"/>
    <w:rsid w:val="00CF67C7"/>
    <w:rsid w:val="00CF7499"/>
    <w:rsid w:val="00CF7B71"/>
    <w:rsid w:val="00D044DD"/>
    <w:rsid w:val="00D105D7"/>
    <w:rsid w:val="00D11503"/>
    <w:rsid w:val="00D14796"/>
    <w:rsid w:val="00D151BD"/>
    <w:rsid w:val="00D1613E"/>
    <w:rsid w:val="00D16D7D"/>
    <w:rsid w:val="00D17ACB"/>
    <w:rsid w:val="00D20077"/>
    <w:rsid w:val="00D23445"/>
    <w:rsid w:val="00D26EB7"/>
    <w:rsid w:val="00D308D9"/>
    <w:rsid w:val="00D30DD9"/>
    <w:rsid w:val="00D320AA"/>
    <w:rsid w:val="00D369DA"/>
    <w:rsid w:val="00D4229E"/>
    <w:rsid w:val="00D54C09"/>
    <w:rsid w:val="00D572EB"/>
    <w:rsid w:val="00D61F41"/>
    <w:rsid w:val="00D62C77"/>
    <w:rsid w:val="00D62DA7"/>
    <w:rsid w:val="00D679DE"/>
    <w:rsid w:val="00D7081E"/>
    <w:rsid w:val="00D72474"/>
    <w:rsid w:val="00D726E8"/>
    <w:rsid w:val="00D743B6"/>
    <w:rsid w:val="00D74957"/>
    <w:rsid w:val="00D76486"/>
    <w:rsid w:val="00D77F94"/>
    <w:rsid w:val="00D80059"/>
    <w:rsid w:val="00D81B3B"/>
    <w:rsid w:val="00D84113"/>
    <w:rsid w:val="00D86132"/>
    <w:rsid w:val="00D8682B"/>
    <w:rsid w:val="00D92DC5"/>
    <w:rsid w:val="00D92E2E"/>
    <w:rsid w:val="00D94F12"/>
    <w:rsid w:val="00DA1A87"/>
    <w:rsid w:val="00DB2075"/>
    <w:rsid w:val="00DB525D"/>
    <w:rsid w:val="00DB55B9"/>
    <w:rsid w:val="00DB6EE5"/>
    <w:rsid w:val="00DC3CE7"/>
    <w:rsid w:val="00DC5717"/>
    <w:rsid w:val="00DC5857"/>
    <w:rsid w:val="00DC739A"/>
    <w:rsid w:val="00DD29DC"/>
    <w:rsid w:val="00DD2C57"/>
    <w:rsid w:val="00DD4F5E"/>
    <w:rsid w:val="00DD7C95"/>
    <w:rsid w:val="00DE065A"/>
    <w:rsid w:val="00DE09D9"/>
    <w:rsid w:val="00DE1C54"/>
    <w:rsid w:val="00DE1FE6"/>
    <w:rsid w:val="00DE30A8"/>
    <w:rsid w:val="00DE3865"/>
    <w:rsid w:val="00DE5D13"/>
    <w:rsid w:val="00DE63F9"/>
    <w:rsid w:val="00DE7C1E"/>
    <w:rsid w:val="00DF238C"/>
    <w:rsid w:val="00DF4393"/>
    <w:rsid w:val="00DF6625"/>
    <w:rsid w:val="00E011B7"/>
    <w:rsid w:val="00E021E3"/>
    <w:rsid w:val="00E04447"/>
    <w:rsid w:val="00E0463D"/>
    <w:rsid w:val="00E06071"/>
    <w:rsid w:val="00E06970"/>
    <w:rsid w:val="00E079CA"/>
    <w:rsid w:val="00E1167F"/>
    <w:rsid w:val="00E11B03"/>
    <w:rsid w:val="00E15CA5"/>
    <w:rsid w:val="00E20A2C"/>
    <w:rsid w:val="00E20A93"/>
    <w:rsid w:val="00E22258"/>
    <w:rsid w:val="00E251B6"/>
    <w:rsid w:val="00E313DA"/>
    <w:rsid w:val="00E32A95"/>
    <w:rsid w:val="00E3365D"/>
    <w:rsid w:val="00E33D3B"/>
    <w:rsid w:val="00E34923"/>
    <w:rsid w:val="00E34CA5"/>
    <w:rsid w:val="00E35E89"/>
    <w:rsid w:val="00E36862"/>
    <w:rsid w:val="00E404F9"/>
    <w:rsid w:val="00E414CC"/>
    <w:rsid w:val="00E4491D"/>
    <w:rsid w:val="00E467E7"/>
    <w:rsid w:val="00E4700B"/>
    <w:rsid w:val="00E508C0"/>
    <w:rsid w:val="00E50F60"/>
    <w:rsid w:val="00E539E7"/>
    <w:rsid w:val="00E5753E"/>
    <w:rsid w:val="00E643D1"/>
    <w:rsid w:val="00E66BA4"/>
    <w:rsid w:val="00E7095D"/>
    <w:rsid w:val="00E72FFF"/>
    <w:rsid w:val="00E74271"/>
    <w:rsid w:val="00E75F4D"/>
    <w:rsid w:val="00E80CC5"/>
    <w:rsid w:val="00E81CC9"/>
    <w:rsid w:val="00E825CA"/>
    <w:rsid w:val="00E84118"/>
    <w:rsid w:val="00E84B8C"/>
    <w:rsid w:val="00E857E0"/>
    <w:rsid w:val="00E86979"/>
    <w:rsid w:val="00E909DE"/>
    <w:rsid w:val="00E92EF9"/>
    <w:rsid w:val="00E96318"/>
    <w:rsid w:val="00EA1519"/>
    <w:rsid w:val="00EA1D11"/>
    <w:rsid w:val="00EA3214"/>
    <w:rsid w:val="00EA567D"/>
    <w:rsid w:val="00EB0407"/>
    <w:rsid w:val="00EB0536"/>
    <w:rsid w:val="00EB2587"/>
    <w:rsid w:val="00EB42A8"/>
    <w:rsid w:val="00EB5601"/>
    <w:rsid w:val="00EC501A"/>
    <w:rsid w:val="00EC526F"/>
    <w:rsid w:val="00EC5C01"/>
    <w:rsid w:val="00ED06C5"/>
    <w:rsid w:val="00ED0A75"/>
    <w:rsid w:val="00EF08E3"/>
    <w:rsid w:val="00EF2664"/>
    <w:rsid w:val="00EF2E4D"/>
    <w:rsid w:val="00EF3427"/>
    <w:rsid w:val="00EF5074"/>
    <w:rsid w:val="00F020F8"/>
    <w:rsid w:val="00F0278D"/>
    <w:rsid w:val="00F06CD0"/>
    <w:rsid w:val="00F10410"/>
    <w:rsid w:val="00F10924"/>
    <w:rsid w:val="00F1548E"/>
    <w:rsid w:val="00F15CEC"/>
    <w:rsid w:val="00F16569"/>
    <w:rsid w:val="00F178DE"/>
    <w:rsid w:val="00F17EF3"/>
    <w:rsid w:val="00F21AD6"/>
    <w:rsid w:val="00F31ECF"/>
    <w:rsid w:val="00F34445"/>
    <w:rsid w:val="00F34BA8"/>
    <w:rsid w:val="00F40B38"/>
    <w:rsid w:val="00F43209"/>
    <w:rsid w:val="00F43A97"/>
    <w:rsid w:val="00F444B7"/>
    <w:rsid w:val="00F45304"/>
    <w:rsid w:val="00F46AB9"/>
    <w:rsid w:val="00F46B5A"/>
    <w:rsid w:val="00F46CC7"/>
    <w:rsid w:val="00F50E71"/>
    <w:rsid w:val="00F519E6"/>
    <w:rsid w:val="00F52633"/>
    <w:rsid w:val="00F5382E"/>
    <w:rsid w:val="00F53DC4"/>
    <w:rsid w:val="00F57032"/>
    <w:rsid w:val="00F6104A"/>
    <w:rsid w:val="00F65292"/>
    <w:rsid w:val="00F66234"/>
    <w:rsid w:val="00F75393"/>
    <w:rsid w:val="00F75CA3"/>
    <w:rsid w:val="00F76B77"/>
    <w:rsid w:val="00F80238"/>
    <w:rsid w:val="00F82AD5"/>
    <w:rsid w:val="00F82E23"/>
    <w:rsid w:val="00F83572"/>
    <w:rsid w:val="00F8357C"/>
    <w:rsid w:val="00F85E4C"/>
    <w:rsid w:val="00F86215"/>
    <w:rsid w:val="00F86688"/>
    <w:rsid w:val="00F86761"/>
    <w:rsid w:val="00F8713D"/>
    <w:rsid w:val="00F87ECD"/>
    <w:rsid w:val="00F90B68"/>
    <w:rsid w:val="00F91888"/>
    <w:rsid w:val="00F947AE"/>
    <w:rsid w:val="00F94EF4"/>
    <w:rsid w:val="00F96CCD"/>
    <w:rsid w:val="00FA0A5E"/>
    <w:rsid w:val="00FA123A"/>
    <w:rsid w:val="00FA1C4A"/>
    <w:rsid w:val="00FA3625"/>
    <w:rsid w:val="00FA64DA"/>
    <w:rsid w:val="00FA652A"/>
    <w:rsid w:val="00FA7D7E"/>
    <w:rsid w:val="00FB3309"/>
    <w:rsid w:val="00FB4C0B"/>
    <w:rsid w:val="00FB5BF5"/>
    <w:rsid w:val="00FB6C47"/>
    <w:rsid w:val="00FB702E"/>
    <w:rsid w:val="00FB7E2B"/>
    <w:rsid w:val="00FC1729"/>
    <w:rsid w:val="00FC21E2"/>
    <w:rsid w:val="00FC2995"/>
    <w:rsid w:val="00FC345F"/>
    <w:rsid w:val="00FC4B72"/>
    <w:rsid w:val="00FC4D89"/>
    <w:rsid w:val="00FC5206"/>
    <w:rsid w:val="00FD028C"/>
    <w:rsid w:val="00FD2217"/>
    <w:rsid w:val="00FD5AA1"/>
    <w:rsid w:val="00FD76CC"/>
    <w:rsid w:val="00FE0313"/>
    <w:rsid w:val="00FE097C"/>
    <w:rsid w:val="00FE0CF9"/>
    <w:rsid w:val="00FE2272"/>
    <w:rsid w:val="00FE3F4D"/>
    <w:rsid w:val="00FE45A9"/>
    <w:rsid w:val="00FE5074"/>
    <w:rsid w:val="00FE5DBC"/>
    <w:rsid w:val="00FE6FDC"/>
    <w:rsid w:val="00FE71D7"/>
    <w:rsid w:val="00FE7579"/>
    <w:rsid w:val="00FF014F"/>
    <w:rsid w:val="00FF03D7"/>
    <w:rsid w:val="00FF4936"/>
    <w:rsid w:val="00FF4A93"/>
    <w:rsid w:val="00FF6451"/>
    <w:rsid w:val="00FF793B"/>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2050">
      <o:colormru v:ext="edit" colors="#ddd,#f8f8f8"/>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HAnsi" w:hAnsi="Calibri" w:cs="Times New Roman"/>
        <w:sz w:val="22"/>
        <w:szCs w:val="22"/>
        <w:lang w:val="en-AU" w:eastAsia="en-AU"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39"/>
    <w:lsdException w:name="toc 2" w:semiHidden="0" w:uiPriority="39"/>
    <w:lsdException w:name="toc 3" w:semiHidden="0" w:uiPriority="39"/>
    <w:lsdException w:name="toc 4" w:semiHidden="0" w:uiPriority="39"/>
    <w:lsdException w:name="toc 5" w:semiHidden="0" w:uiPriority="39"/>
    <w:lsdException w:name="toc 6" w:semiHidden="0" w:uiPriority="39"/>
    <w:lsdException w:name="toc 7" w:semiHidden="0" w:uiPriority="39"/>
    <w:lsdException w:name="toc 8" w:semiHidden="0" w:uiPriority="39"/>
    <w:lsdException w:name="toc 9" w:semiHidden="0" w:uiPriority="39"/>
    <w:lsdException w:name="Normal Indent" w:locked="1" w:unhideWhenUsed="1"/>
    <w:lsdException w:name="footnote text" w:locked="1" w:unhideWhenUsed="1" w:qFormat="1"/>
    <w:lsdException w:name="annotation text" w:locked="1" w:unhideWhenUsed="1"/>
    <w:lsdException w:name="header" w:locked="1" w:unhideWhenUsed="1"/>
    <w:lsdException w:name="footer" w:locked="1" w:unhideWhenUsed="1"/>
    <w:lsdException w:name="index heading" w:locked="1" w:unhideWhenUsed="1"/>
    <w:lsdException w:name="caption" w:semiHidden="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qFormat="1"/>
    <w:lsdException w:name="List Number" w:locked="1" w:unhideWhenUsed="1" w:qFormat="1"/>
    <w:lsdException w:name="List 2" w:locked="1" w:unhideWhenUsed="1"/>
    <w:lsdException w:name="List 3" w:locked="1" w:unhideWhenUsed="1"/>
    <w:lsdException w:name="List 4" w:locked="1" w:unhideWhenUsed="1"/>
    <w:lsdException w:name="List 5" w:locked="1" w:unhideWhenUsed="1"/>
    <w:lsdException w:name="List Bullet 2" w:locked="1" w:unhideWhenUsed="1" w:qFormat="1"/>
    <w:lsdException w:name="List Bullet 3" w:locked="1" w:unhideWhenUsed="1"/>
    <w:lsdException w:name="List Bullet 4" w:locked="1" w:unhideWhenUsed="1"/>
    <w:lsdException w:name="List Bullet 5" w:locked="1" w:unhideWhenUsed="1"/>
    <w:lsdException w:name="List Number 2" w:locked="1" w:unhideWhenUsed="1" w:qFormat="1"/>
    <w:lsdException w:name="List Number 3" w:locked="1" w:unhideWhenUsed="1"/>
    <w:lsdException w:name="List Number 4" w:locked="1" w:unhideWhenUsed="1"/>
    <w:lsdException w:name="List Number 5" w:locked="1" w:unhideWhenUsed="1"/>
    <w:lsdException w:name="Title"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qFormat="1"/>
    <w:lsdException w:name="FollowedHyperlink" w:locked="1" w:unhideWhenUsed="1"/>
    <w:lsdException w:name="Strong" w:semiHidden="0" w:qFormat="1"/>
    <w:lsdException w:name="Emphasis" w:semiHidden="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lsdException w:name="Table Grid" w:semiHidden="0"/>
    <w:lsdException w:name="Table Theme" w:locked="1" w:unhideWhenUsed="1"/>
    <w:lsdException w:name="No Spacing"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qFormat="1"/>
    <w:lsdException w:name="Quote" w:qFormat="1"/>
    <w:lsdException w:name="Intense Quote" w:qFormat="1"/>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qFormat="1"/>
    <w:lsdException w:name="Intense Emphasis" w:qFormat="1"/>
    <w:lsdException w:name="Subtle Reference" w:qFormat="1"/>
    <w:lsdException w:name="Intense Reference" w:qFormat="1"/>
    <w:lsdException w:name="Book Title" w:qFormat="1"/>
    <w:lsdException w:name="TOC Heading" w:semiHidden="0" w:qFormat="1"/>
  </w:latentStyles>
  <w:style w:type="paragraph" w:default="1" w:styleId="Normal">
    <w:name w:val="Normal"/>
    <w:qFormat/>
    <w:rsid w:val="00DA1A87"/>
    <w:pPr>
      <w:spacing w:after="120"/>
    </w:pPr>
    <w:rPr>
      <w:rFonts w:eastAsia="Calibri"/>
      <w:color w:val="000000"/>
    </w:rPr>
  </w:style>
  <w:style w:type="paragraph" w:styleId="Heading1">
    <w:name w:val="heading 1"/>
    <w:basedOn w:val="Normal"/>
    <w:next w:val="Normal"/>
    <w:link w:val="Heading1Char"/>
    <w:uiPriority w:val="99"/>
    <w:qFormat/>
    <w:rsid w:val="004666B7"/>
    <w:pPr>
      <w:keepNext/>
      <w:keepLines/>
      <w:pageBreakBefore/>
      <w:numPr>
        <w:numId w:val="14"/>
      </w:numPr>
      <w:tabs>
        <w:tab w:val="left" w:pos="851"/>
      </w:tabs>
      <w:spacing w:after="1080" w:line="480" w:lineRule="exact"/>
      <w:ind w:left="851" w:hanging="851"/>
      <w:outlineLvl w:val="0"/>
    </w:pPr>
    <w:rPr>
      <w:rFonts w:eastAsiaTheme="majorEastAsia" w:cstheme="majorBidi"/>
      <w:b/>
      <w:bCs/>
      <w:color w:val="00A9CE" w:themeColor="accent1"/>
      <w:sz w:val="44"/>
      <w:szCs w:val="28"/>
    </w:rPr>
  </w:style>
  <w:style w:type="paragraph" w:styleId="Heading2">
    <w:name w:val="heading 2"/>
    <w:basedOn w:val="Normal"/>
    <w:next w:val="Normal"/>
    <w:link w:val="Heading2Char"/>
    <w:uiPriority w:val="99"/>
    <w:qFormat/>
    <w:rsid w:val="004F26F8"/>
    <w:pPr>
      <w:keepNext/>
      <w:numPr>
        <w:ilvl w:val="1"/>
        <w:numId w:val="14"/>
      </w:numPr>
      <w:tabs>
        <w:tab w:val="left" w:pos="851"/>
      </w:tabs>
      <w:spacing w:before="360" w:after="240"/>
      <w:ind w:left="851" w:hanging="851"/>
      <w:outlineLvl w:val="1"/>
    </w:pPr>
    <w:rPr>
      <w:rFonts w:eastAsiaTheme="majorEastAsia" w:cstheme="majorBidi"/>
      <w:bCs/>
      <w:color w:val="00A9CE" w:themeColor="accent1"/>
      <w:sz w:val="32"/>
      <w:szCs w:val="26"/>
    </w:rPr>
  </w:style>
  <w:style w:type="paragraph" w:styleId="Heading3">
    <w:name w:val="heading 3"/>
    <w:basedOn w:val="Heading2"/>
    <w:next w:val="Normal"/>
    <w:link w:val="Heading3Char"/>
    <w:uiPriority w:val="99"/>
    <w:qFormat/>
    <w:rsid w:val="004F26F8"/>
    <w:pPr>
      <w:numPr>
        <w:ilvl w:val="2"/>
      </w:numPr>
      <w:outlineLvl w:val="2"/>
    </w:pPr>
    <w:rPr>
      <w:b/>
      <w:caps/>
      <w:color w:val="auto"/>
      <w:sz w:val="26"/>
    </w:rPr>
  </w:style>
  <w:style w:type="paragraph" w:styleId="Heading4">
    <w:name w:val="heading 4"/>
    <w:basedOn w:val="Normal"/>
    <w:next w:val="Normal"/>
    <w:link w:val="Heading4Char"/>
    <w:uiPriority w:val="99"/>
    <w:qFormat/>
    <w:rsid w:val="001249CC"/>
    <w:pPr>
      <w:keepNext/>
      <w:keepLines/>
      <w:spacing w:before="240"/>
      <w:outlineLvl w:val="3"/>
    </w:pPr>
    <w:rPr>
      <w:rFonts w:eastAsiaTheme="majorEastAsia" w:cstheme="majorBidi"/>
      <w:b/>
      <w:bCs/>
      <w:iCs/>
      <w:color w:val="00A9CE" w:themeColor="accent1"/>
      <w:spacing w:val="1"/>
      <w:sz w:val="24"/>
    </w:rPr>
  </w:style>
  <w:style w:type="paragraph" w:styleId="Heading5">
    <w:name w:val="heading 5"/>
    <w:basedOn w:val="Normal"/>
    <w:next w:val="Normal"/>
    <w:link w:val="Heading5Char"/>
    <w:uiPriority w:val="99"/>
    <w:qFormat/>
    <w:rsid w:val="003F1FBD"/>
    <w:pPr>
      <w:keepNext/>
      <w:keepLines/>
      <w:spacing w:before="240"/>
      <w:outlineLvl w:val="4"/>
    </w:pPr>
    <w:rPr>
      <w:rFonts w:eastAsiaTheme="majorEastAsia" w:cstheme="majorBidi"/>
      <w:b/>
    </w:rPr>
  </w:style>
  <w:style w:type="paragraph" w:styleId="Heading6">
    <w:name w:val="heading 6"/>
    <w:basedOn w:val="Normal"/>
    <w:next w:val="Normal"/>
    <w:link w:val="Heading6Char"/>
    <w:uiPriority w:val="99"/>
    <w:qFormat/>
    <w:rsid w:val="001249CC"/>
    <w:pPr>
      <w:keepNext/>
      <w:keepLines/>
      <w:spacing w:before="200"/>
      <w:outlineLvl w:val="5"/>
    </w:pPr>
    <w:rPr>
      <w:rFonts w:eastAsiaTheme="majorEastAsia" w:cstheme="majorBidi"/>
      <w:i/>
      <w:iCs/>
    </w:rPr>
  </w:style>
  <w:style w:type="paragraph" w:styleId="Heading7">
    <w:name w:val="heading 7"/>
    <w:basedOn w:val="Normal"/>
    <w:next w:val="Normal"/>
    <w:link w:val="Heading7Char"/>
    <w:uiPriority w:val="99"/>
    <w:qFormat/>
    <w:locked/>
    <w:rsid w:val="00DB55B9"/>
    <w:pPr>
      <w:spacing w:before="240" w:after="60"/>
      <w:outlineLvl w:val="6"/>
    </w:pPr>
    <w:rPr>
      <w:rFonts w:asciiTheme="minorHAnsi" w:hAnsiTheme="minorHAnsi" w:cstheme="majorBidi"/>
      <w:sz w:val="24"/>
      <w:szCs w:val="24"/>
    </w:rPr>
  </w:style>
  <w:style w:type="paragraph" w:styleId="Heading8">
    <w:name w:val="heading 8"/>
    <w:basedOn w:val="Normal"/>
    <w:next w:val="Normal"/>
    <w:link w:val="Heading8Char"/>
    <w:uiPriority w:val="99"/>
    <w:qFormat/>
    <w:locked/>
    <w:rsid w:val="00DB55B9"/>
    <w:pPr>
      <w:spacing w:before="240" w:after="60"/>
      <w:outlineLvl w:val="7"/>
    </w:pPr>
    <w:rPr>
      <w:rFonts w:asciiTheme="minorHAnsi" w:hAnsiTheme="minorHAnsi" w:cstheme="majorBidi"/>
      <w:i/>
      <w:iCs/>
      <w:sz w:val="24"/>
      <w:szCs w:val="24"/>
    </w:rPr>
  </w:style>
  <w:style w:type="paragraph" w:styleId="Heading9">
    <w:name w:val="heading 9"/>
    <w:aliases w:val="Appendix Heading 1"/>
    <w:basedOn w:val="AppendixHeading1base"/>
    <w:next w:val="Normal"/>
    <w:link w:val="Heading9Char"/>
    <w:uiPriority w:val="99"/>
    <w:qFormat/>
    <w:locked/>
    <w:rsid w:val="00655388"/>
    <w:pPr>
      <w:spacing w:after="108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B55B9"/>
    <w:rPr>
      <w:rFonts w:eastAsiaTheme="majorEastAsia" w:cstheme="majorBidi"/>
      <w:b/>
      <w:bCs/>
      <w:color w:val="00A9CE" w:themeColor="accent1"/>
      <w:sz w:val="44"/>
      <w:szCs w:val="28"/>
    </w:rPr>
  </w:style>
  <w:style w:type="character" w:customStyle="1" w:styleId="Heading2Char">
    <w:name w:val="Heading 2 Char"/>
    <w:basedOn w:val="DefaultParagraphFont"/>
    <w:link w:val="Heading2"/>
    <w:uiPriority w:val="99"/>
    <w:locked/>
    <w:rsid w:val="00DB55B9"/>
    <w:rPr>
      <w:rFonts w:eastAsiaTheme="majorEastAsia" w:cstheme="majorBidi"/>
      <w:bCs/>
      <w:color w:val="00A9CE" w:themeColor="accent1"/>
      <w:sz w:val="32"/>
      <w:szCs w:val="26"/>
    </w:rPr>
  </w:style>
  <w:style w:type="character" w:customStyle="1" w:styleId="Heading3Char">
    <w:name w:val="Heading 3 Char"/>
    <w:basedOn w:val="DefaultParagraphFont"/>
    <w:link w:val="Heading3"/>
    <w:uiPriority w:val="99"/>
    <w:locked/>
    <w:rsid w:val="00DB55B9"/>
    <w:rPr>
      <w:rFonts w:eastAsiaTheme="majorEastAsia" w:cstheme="majorBidi"/>
      <w:b/>
      <w:bCs/>
      <w:caps/>
      <w:sz w:val="26"/>
      <w:szCs w:val="26"/>
    </w:rPr>
  </w:style>
  <w:style w:type="character" w:customStyle="1" w:styleId="Heading4Char">
    <w:name w:val="Heading 4 Char"/>
    <w:basedOn w:val="DefaultParagraphFont"/>
    <w:link w:val="Heading4"/>
    <w:uiPriority w:val="99"/>
    <w:locked/>
    <w:rsid w:val="00DB55B9"/>
    <w:rPr>
      <w:rFonts w:eastAsiaTheme="majorEastAsia" w:cstheme="majorBidi"/>
      <w:b/>
      <w:bCs/>
      <w:iCs/>
      <w:color w:val="00A9CE" w:themeColor="accent1"/>
      <w:spacing w:val="1"/>
      <w:sz w:val="24"/>
    </w:rPr>
  </w:style>
  <w:style w:type="character" w:customStyle="1" w:styleId="Heading5Char">
    <w:name w:val="Heading 5 Char"/>
    <w:basedOn w:val="DefaultParagraphFont"/>
    <w:link w:val="Heading5"/>
    <w:uiPriority w:val="99"/>
    <w:locked/>
    <w:rsid w:val="00DB55B9"/>
    <w:rPr>
      <w:rFonts w:eastAsiaTheme="majorEastAsia" w:cstheme="majorBidi"/>
      <w:b/>
      <w:color w:val="000000"/>
    </w:rPr>
  </w:style>
  <w:style w:type="character" w:customStyle="1" w:styleId="Heading6Char">
    <w:name w:val="Heading 6 Char"/>
    <w:basedOn w:val="DefaultParagraphFont"/>
    <w:link w:val="Heading6"/>
    <w:uiPriority w:val="99"/>
    <w:locked/>
    <w:rsid w:val="00DB55B9"/>
    <w:rPr>
      <w:rFonts w:eastAsiaTheme="majorEastAsia" w:cstheme="majorBidi"/>
      <w:i/>
      <w:iCs/>
      <w:color w:val="000000"/>
    </w:rPr>
  </w:style>
  <w:style w:type="character" w:customStyle="1" w:styleId="Heading7Char">
    <w:name w:val="Heading 7 Char"/>
    <w:basedOn w:val="DefaultParagraphFont"/>
    <w:link w:val="Heading7"/>
    <w:uiPriority w:val="99"/>
    <w:locked/>
    <w:rsid w:val="00DB55B9"/>
    <w:rPr>
      <w:rFonts w:asciiTheme="minorHAnsi" w:eastAsia="Calibri" w:hAnsiTheme="minorHAnsi" w:cstheme="majorBidi"/>
      <w:color w:val="000000"/>
      <w:sz w:val="24"/>
      <w:szCs w:val="24"/>
    </w:rPr>
  </w:style>
  <w:style w:type="character" w:customStyle="1" w:styleId="Heading8Char">
    <w:name w:val="Heading 8 Char"/>
    <w:basedOn w:val="DefaultParagraphFont"/>
    <w:link w:val="Heading8"/>
    <w:uiPriority w:val="99"/>
    <w:locked/>
    <w:rsid w:val="00DB55B9"/>
    <w:rPr>
      <w:rFonts w:asciiTheme="minorHAnsi" w:eastAsia="Calibri" w:hAnsiTheme="minorHAnsi" w:cstheme="majorBidi"/>
      <w:i/>
      <w:iCs/>
      <w:color w:val="000000"/>
      <w:sz w:val="24"/>
      <w:szCs w:val="24"/>
    </w:rPr>
  </w:style>
  <w:style w:type="character" w:customStyle="1" w:styleId="Heading9Char">
    <w:name w:val="Heading 9 Char"/>
    <w:aliases w:val="Appendix Heading 1 Char"/>
    <w:basedOn w:val="DefaultParagraphFont"/>
    <w:link w:val="Heading9"/>
    <w:uiPriority w:val="99"/>
    <w:locked/>
    <w:rsid w:val="00655388"/>
    <w:rPr>
      <w:rFonts w:eastAsiaTheme="majorEastAsia" w:cstheme="majorBidi"/>
      <w:b/>
      <w:bCs/>
      <w:color w:val="00A9CE" w:themeColor="accent1"/>
      <w:sz w:val="44"/>
      <w:szCs w:val="28"/>
    </w:rPr>
  </w:style>
  <w:style w:type="paragraph" w:styleId="Header">
    <w:name w:val="header"/>
    <w:basedOn w:val="Normal"/>
    <w:link w:val="HeaderChar"/>
    <w:uiPriority w:val="99"/>
    <w:rsid w:val="00944443"/>
    <w:rPr>
      <w:caps/>
      <w:color w:val="FFFFFF"/>
      <w:spacing w:val="16"/>
    </w:rPr>
  </w:style>
  <w:style w:type="character" w:customStyle="1" w:styleId="HeaderChar">
    <w:name w:val="Header Char"/>
    <w:basedOn w:val="DefaultParagraphFont"/>
    <w:link w:val="Header"/>
    <w:uiPriority w:val="99"/>
    <w:locked/>
    <w:rsid w:val="00DB55B9"/>
    <w:rPr>
      <w:rFonts w:eastAsia="Calibri"/>
      <w:caps/>
      <w:color w:val="FFFFFF"/>
      <w:spacing w:val="16"/>
    </w:rPr>
  </w:style>
  <w:style w:type="paragraph" w:styleId="Footer">
    <w:name w:val="footer"/>
    <w:basedOn w:val="Normal"/>
    <w:link w:val="FooterChar"/>
    <w:uiPriority w:val="99"/>
    <w:unhideWhenUsed/>
    <w:rsid w:val="00782488"/>
    <w:pPr>
      <w:tabs>
        <w:tab w:val="center" w:pos="4513"/>
        <w:tab w:val="right" w:pos="9026"/>
      </w:tabs>
      <w:spacing w:after="0" w:line="220" w:lineRule="atLeast"/>
    </w:pPr>
    <w:rPr>
      <w:color w:val="auto"/>
      <w:sz w:val="16"/>
    </w:rPr>
  </w:style>
  <w:style w:type="character" w:customStyle="1" w:styleId="FooterChar">
    <w:name w:val="Footer Char"/>
    <w:basedOn w:val="DefaultParagraphFont"/>
    <w:link w:val="Footer"/>
    <w:uiPriority w:val="99"/>
    <w:locked/>
    <w:rsid w:val="00DB55B9"/>
    <w:rPr>
      <w:rFonts w:eastAsia="Calibri"/>
      <w:sz w:val="16"/>
    </w:rPr>
  </w:style>
  <w:style w:type="paragraph" w:styleId="BalloonText">
    <w:name w:val="Balloon Text"/>
    <w:basedOn w:val="Normal"/>
    <w:link w:val="BalloonTextChar"/>
    <w:uiPriority w:val="99"/>
    <w:semiHidden/>
    <w:locked/>
    <w:rsid w:val="00064612"/>
    <w:pPr>
      <w:spacing w:after="0"/>
    </w:pPr>
    <w:rPr>
      <w:rFonts w:ascii="Tahoma" w:hAnsi="Tahoma" w:cs="Tahoma"/>
      <w:sz w:val="16"/>
      <w:szCs w:val="16"/>
    </w:rPr>
  </w:style>
  <w:style w:type="paragraph" w:styleId="ListBullet">
    <w:name w:val="List Bullet"/>
    <w:basedOn w:val="Normal"/>
    <w:uiPriority w:val="99"/>
    <w:qFormat/>
    <w:rsid w:val="00273A31"/>
    <w:pPr>
      <w:numPr>
        <w:numId w:val="6"/>
      </w:numPr>
      <w:tabs>
        <w:tab w:val="left" w:pos="397"/>
      </w:tabs>
      <w:ind w:left="397" w:hanging="397"/>
      <w:contextualSpacing/>
    </w:pPr>
  </w:style>
  <w:style w:type="paragraph" w:styleId="ListNumber">
    <w:name w:val="List Number"/>
    <w:basedOn w:val="Normal"/>
    <w:uiPriority w:val="99"/>
    <w:qFormat/>
    <w:rsid w:val="00273A31"/>
    <w:pPr>
      <w:numPr>
        <w:numId w:val="9"/>
      </w:numPr>
      <w:tabs>
        <w:tab w:val="clear" w:pos="227"/>
        <w:tab w:val="left" w:pos="397"/>
      </w:tabs>
      <w:ind w:left="397" w:hanging="397"/>
    </w:pPr>
  </w:style>
  <w:style w:type="paragraph" w:styleId="ListBullet2">
    <w:name w:val="List Bullet 2"/>
    <w:basedOn w:val="ListBullet"/>
    <w:uiPriority w:val="99"/>
    <w:qFormat/>
    <w:rsid w:val="00273A31"/>
    <w:pPr>
      <w:numPr>
        <w:ilvl w:val="1"/>
      </w:numPr>
      <w:tabs>
        <w:tab w:val="clear" w:pos="397"/>
        <w:tab w:val="left" w:pos="794"/>
      </w:tabs>
      <w:ind w:left="794" w:hanging="360"/>
    </w:pPr>
  </w:style>
  <w:style w:type="paragraph" w:styleId="TOC1">
    <w:name w:val="toc 1"/>
    <w:basedOn w:val="Normal"/>
    <w:next w:val="Normal"/>
    <w:uiPriority w:val="39"/>
    <w:unhideWhenUsed/>
    <w:rsid w:val="008F7A9C"/>
    <w:pPr>
      <w:pBdr>
        <w:top w:val="single" w:sz="4" w:space="1" w:color="00A9CE" w:themeColor="accent1"/>
        <w:left w:val="single" w:sz="4" w:space="4" w:color="00A9CE" w:themeColor="accent1"/>
        <w:bottom w:val="single" w:sz="4" w:space="1" w:color="00A9CE" w:themeColor="accent1"/>
        <w:right w:val="single" w:sz="4" w:space="4" w:color="00A9CE" w:themeColor="accent1"/>
      </w:pBdr>
      <w:shd w:val="clear" w:color="auto" w:fill="00A9CE" w:themeFill="accent1"/>
      <w:tabs>
        <w:tab w:val="left" w:pos="737"/>
        <w:tab w:val="right" w:pos="9639"/>
      </w:tabs>
      <w:spacing w:before="240" w:after="180"/>
    </w:pPr>
    <w:rPr>
      <w:b/>
      <w:noProof/>
      <w:color w:val="FFFFFF"/>
    </w:rPr>
  </w:style>
  <w:style w:type="paragraph" w:styleId="TOC2">
    <w:name w:val="toc 2"/>
    <w:basedOn w:val="Normal"/>
    <w:next w:val="Normal"/>
    <w:uiPriority w:val="39"/>
    <w:unhideWhenUsed/>
    <w:rsid w:val="00462182"/>
    <w:pPr>
      <w:tabs>
        <w:tab w:val="left" w:pos="737"/>
        <w:tab w:val="right" w:leader="dot" w:pos="9639"/>
      </w:tabs>
      <w:spacing w:before="120" w:after="0"/>
      <w:ind w:right="284"/>
    </w:pPr>
    <w:rPr>
      <w:color w:val="00A9CE" w:themeColor="accent1"/>
    </w:rPr>
  </w:style>
  <w:style w:type="table" w:styleId="TableGrid">
    <w:name w:val="Table Grid"/>
    <w:basedOn w:val="TableNormal"/>
    <w:uiPriority w:val="99"/>
    <w:rsid w:val="006F4826"/>
    <w:rPr>
      <w:sz w:val="20"/>
      <w:szCs w:val="20"/>
    </w:rPr>
    <w:tblPr>
      <w:tblInd w:w="0" w:type="dxa"/>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CellMar>
        <w:top w:w="0" w:type="dxa"/>
        <w:left w:w="108" w:type="dxa"/>
        <w:bottom w:w="0" w:type="dxa"/>
        <w:right w:w="108" w:type="dxa"/>
      </w:tblCellMar>
    </w:tblPr>
  </w:style>
  <w:style w:type="character" w:styleId="PageNumber">
    <w:name w:val="page number"/>
    <w:basedOn w:val="DefaultParagraphFont"/>
    <w:uiPriority w:val="99"/>
    <w:rsid w:val="00752473"/>
    <w:rPr>
      <w:rFonts w:ascii="Calibri" w:hAnsi="Calibri" w:cs="Times New Roman"/>
      <w:sz w:val="16"/>
    </w:rPr>
  </w:style>
  <w:style w:type="paragraph" w:styleId="TOC3">
    <w:name w:val="toc 3"/>
    <w:basedOn w:val="Normal"/>
    <w:next w:val="Normal"/>
    <w:uiPriority w:val="39"/>
    <w:unhideWhenUsed/>
    <w:rsid w:val="008F7A9C"/>
    <w:pPr>
      <w:tabs>
        <w:tab w:val="left" w:pos="1304"/>
        <w:tab w:val="right" w:leader="dot" w:pos="9639"/>
      </w:tabs>
      <w:spacing w:before="60" w:after="0"/>
      <w:ind w:left="737" w:right="284"/>
    </w:pPr>
    <w:rPr>
      <w:color w:val="00A9CE" w:themeColor="accent1"/>
    </w:rPr>
  </w:style>
  <w:style w:type="paragraph" w:customStyle="1" w:styleId="CoverTitle">
    <w:name w:val="CoverTitle"/>
    <w:basedOn w:val="Normal"/>
    <w:uiPriority w:val="12"/>
    <w:qFormat/>
    <w:rsid w:val="007D1633"/>
    <w:pPr>
      <w:spacing w:after="170" w:line="216" w:lineRule="auto"/>
    </w:pPr>
    <w:rPr>
      <w:rFonts w:eastAsiaTheme="majorEastAsia" w:cstheme="majorBidi"/>
      <w:b/>
      <w:color w:val="FBFEFF" w:themeColor="background1"/>
      <w:spacing w:val="5"/>
      <w:kern w:val="28"/>
      <w:sz w:val="80"/>
      <w:szCs w:val="52"/>
    </w:rPr>
  </w:style>
  <w:style w:type="paragraph" w:customStyle="1" w:styleId="PartTitle">
    <w:name w:val="PartTitle"/>
    <w:basedOn w:val="Normal"/>
    <w:uiPriority w:val="15"/>
    <w:qFormat/>
    <w:rsid w:val="00914764"/>
    <w:pPr>
      <w:tabs>
        <w:tab w:val="left" w:pos="2552"/>
      </w:tabs>
      <w:spacing w:after="0" w:line="1000" w:lineRule="exact"/>
      <w:ind w:left="2552" w:hanging="2552"/>
      <w:outlineLvl w:val="0"/>
    </w:pPr>
    <w:rPr>
      <w:b/>
      <w:color w:val="00313C" w:themeColor="accent2"/>
      <w:sz w:val="80"/>
    </w:rPr>
  </w:style>
  <w:style w:type="paragraph" w:customStyle="1" w:styleId="PartSubtitle">
    <w:name w:val="PartSubtitle"/>
    <w:basedOn w:val="PartTitle"/>
    <w:uiPriority w:val="15"/>
    <w:qFormat/>
    <w:rsid w:val="00D105D7"/>
    <w:pPr>
      <w:spacing w:before="360" w:after="240" w:line="340" w:lineRule="atLeast"/>
      <w:outlineLvl w:val="9"/>
    </w:pPr>
    <w:rPr>
      <w:b w:val="0"/>
      <w:color w:val="00A9CE" w:themeColor="accent1"/>
      <w:sz w:val="34"/>
    </w:rPr>
  </w:style>
  <w:style w:type="paragraph" w:customStyle="1" w:styleId="ListofFiguresandTablesTOCHeading">
    <w:name w:val="List of Figures and Tables TOC Heading"/>
    <w:basedOn w:val="TOCHeading"/>
    <w:uiPriority w:val="14"/>
    <w:qFormat/>
    <w:rsid w:val="00064612"/>
  </w:style>
  <w:style w:type="paragraph" w:styleId="ListBullet3">
    <w:name w:val="List Bullet 3"/>
    <w:basedOn w:val="ListBullet2"/>
    <w:uiPriority w:val="99"/>
    <w:rsid w:val="00273A31"/>
    <w:pPr>
      <w:numPr>
        <w:ilvl w:val="2"/>
      </w:numPr>
      <w:tabs>
        <w:tab w:val="clear" w:pos="794"/>
        <w:tab w:val="left" w:pos="1191"/>
      </w:tabs>
      <w:ind w:left="2320" w:firstLine="0"/>
    </w:pPr>
  </w:style>
  <w:style w:type="paragraph" w:styleId="FootnoteText">
    <w:name w:val="footnote text"/>
    <w:aliases w:val="F-t"/>
    <w:basedOn w:val="Normal"/>
    <w:link w:val="FootnoteTextChar"/>
    <w:uiPriority w:val="99"/>
    <w:qFormat/>
    <w:rsid w:val="007A01EB"/>
    <w:pPr>
      <w:spacing w:after="0" w:line="180" w:lineRule="atLeast"/>
    </w:pPr>
    <w:rPr>
      <w:sz w:val="16"/>
      <w:szCs w:val="20"/>
    </w:rPr>
  </w:style>
  <w:style w:type="character" w:customStyle="1" w:styleId="FootnoteTextChar">
    <w:name w:val="Footnote Text Char"/>
    <w:aliases w:val="F-t Char"/>
    <w:basedOn w:val="DefaultParagraphFont"/>
    <w:link w:val="FootnoteText"/>
    <w:uiPriority w:val="99"/>
    <w:locked/>
    <w:rsid w:val="00DB55B9"/>
    <w:rPr>
      <w:rFonts w:eastAsia="Calibri"/>
      <w:color w:val="000000"/>
      <w:sz w:val="16"/>
      <w:szCs w:val="20"/>
    </w:rPr>
  </w:style>
  <w:style w:type="paragraph" w:customStyle="1" w:styleId="FootnoteHeading">
    <w:name w:val="Footnote Heading"/>
    <w:basedOn w:val="FootnoteText"/>
    <w:uiPriority w:val="9"/>
    <w:qFormat/>
    <w:rsid w:val="007A01EB"/>
    <w:rPr>
      <w:b/>
    </w:rPr>
  </w:style>
  <w:style w:type="paragraph" w:customStyle="1" w:styleId="Source">
    <w:name w:val="Source"/>
    <w:basedOn w:val="Normal"/>
    <w:next w:val="Normal"/>
    <w:uiPriority w:val="99"/>
    <w:qFormat/>
    <w:rsid w:val="00064612"/>
    <w:pPr>
      <w:tabs>
        <w:tab w:val="left" w:pos="539"/>
      </w:tabs>
      <w:spacing w:line="180" w:lineRule="atLeast"/>
      <w:ind w:left="624" w:hanging="624"/>
    </w:pPr>
    <w:rPr>
      <w:sz w:val="16"/>
      <w:szCs w:val="20"/>
    </w:rPr>
  </w:style>
  <w:style w:type="table" w:customStyle="1" w:styleId="TableCSIRO">
    <w:name w:val="Table_CSIRO"/>
    <w:uiPriority w:val="99"/>
    <w:rsid w:val="0091299A"/>
    <w:rPr>
      <w:sz w:val="20"/>
      <w:szCs w:val="20"/>
    </w:rPr>
    <w:tblPr>
      <w:tblStyleRowBandSize w:val="1"/>
      <w:tblStyleColBandSize w:val="1"/>
      <w:tblInd w:w="113" w:type="dxa"/>
      <w:tblBorders>
        <w:bottom w:val="single" w:sz="12" w:space="0" w:color="000000"/>
      </w:tblBorders>
      <w:tblCellMar>
        <w:top w:w="57" w:type="dxa"/>
        <w:left w:w="85" w:type="dxa"/>
        <w:bottom w:w="57" w:type="dxa"/>
        <w:right w:w="85" w:type="dxa"/>
      </w:tblCellMar>
    </w:tblPr>
    <w:tblStylePr w:type="firstRow">
      <w:tblPr/>
      <w:tcPr>
        <w:shd w:val="clear" w:color="auto" w:fill="000000" w:themeFill="text1"/>
      </w:tcPr>
    </w:tblStylePr>
    <w:tblStylePr w:type="band2Horz">
      <w:tblPr/>
      <w:tcPr>
        <w:tcBorders>
          <w:top w:val="nil"/>
          <w:left w:val="nil"/>
          <w:bottom w:val="nil"/>
          <w:right w:val="nil"/>
          <w:insideH w:val="nil"/>
          <w:insideV w:val="nil"/>
          <w:tl2br w:val="nil"/>
          <w:tr2bl w:val="nil"/>
        </w:tcBorders>
        <w:shd w:val="clear" w:color="auto" w:fill="EDEDED"/>
      </w:tcPr>
    </w:tblStylePr>
  </w:style>
  <w:style w:type="paragraph" w:customStyle="1" w:styleId="TableText">
    <w:name w:val="TableText"/>
    <w:basedOn w:val="Normal"/>
    <w:uiPriority w:val="5"/>
    <w:qFormat/>
    <w:rsid w:val="00492547"/>
    <w:pPr>
      <w:spacing w:after="57" w:line="220" w:lineRule="atLeast"/>
    </w:pPr>
    <w:rPr>
      <w:sz w:val="18"/>
    </w:rPr>
  </w:style>
  <w:style w:type="paragraph" w:customStyle="1" w:styleId="TableBullet">
    <w:name w:val="TableBullet"/>
    <w:basedOn w:val="TableText"/>
    <w:uiPriority w:val="5"/>
    <w:qFormat/>
    <w:rsid w:val="006131D3"/>
    <w:pPr>
      <w:numPr>
        <w:numId w:val="8"/>
      </w:numPr>
    </w:pPr>
  </w:style>
  <w:style w:type="paragraph" w:customStyle="1" w:styleId="RowHeading">
    <w:name w:val="RowHeading"/>
    <w:basedOn w:val="TableText"/>
    <w:uiPriority w:val="5"/>
    <w:qFormat/>
    <w:rsid w:val="00FB6C47"/>
    <w:rPr>
      <w:b/>
      <w:color w:val="auto"/>
    </w:rPr>
  </w:style>
  <w:style w:type="paragraph" w:customStyle="1" w:styleId="ColumnHeading">
    <w:name w:val="ColumnHeading"/>
    <w:basedOn w:val="TableText"/>
    <w:uiPriority w:val="5"/>
    <w:qFormat/>
    <w:rsid w:val="00786A8D"/>
    <w:pPr>
      <w:spacing w:after="0" w:line="180" w:lineRule="atLeast"/>
    </w:pPr>
    <w:rPr>
      <w:b/>
      <w:caps/>
      <w:color w:val="FFFFFF"/>
      <w:sz w:val="16"/>
    </w:rPr>
  </w:style>
  <w:style w:type="paragraph" w:customStyle="1" w:styleId="CoverSubtitle">
    <w:name w:val="CoverSubtitle"/>
    <w:basedOn w:val="Normal"/>
    <w:uiPriority w:val="12"/>
    <w:qFormat/>
    <w:rsid w:val="00DB55B9"/>
    <w:pPr>
      <w:numPr>
        <w:ilvl w:val="1"/>
      </w:numPr>
      <w:spacing w:after="170" w:line="340" w:lineRule="atLeast"/>
    </w:pPr>
    <w:rPr>
      <w:rFonts w:eastAsiaTheme="majorEastAsia" w:cstheme="majorBidi"/>
      <w:iCs/>
      <w:color w:val="00313C" w:themeColor="accent2"/>
      <w:spacing w:val="15"/>
      <w:sz w:val="34"/>
      <w:szCs w:val="24"/>
    </w:rPr>
  </w:style>
  <w:style w:type="paragraph" w:customStyle="1" w:styleId="BackCoverContactHeading">
    <w:name w:val="BackCover ContactHeading"/>
    <w:basedOn w:val="Normal"/>
    <w:uiPriority w:val="18"/>
    <w:qFormat/>
    <w:rsid w:val="007D1633"/>
    <w:pPr>
      <w:spacing w:before="360" w:after="60"/>
    </w:pPr>
    <w:rPr>
      <w:caps/>
      <w:color w:val="FBFEFF" w:themeColor="background1"/>
      <w:sz w:val="18"/>
      <w:szCs w:val="20"/>
    </w:rPr>
  </w:style>
  <w:style w:type="paragraph" w:customStyle="1" w:styleId="BackCoverContactDetails">
    <w:name w:val="BackCover ContactDetails"/>
    <w:basedOn w:val="Normal"/>
    <w:uiPriority w:val="18"/>
    <w:qFormat/>
    <w:rsid w:val="007D1633"/>
    <w:pPr>
      <w:tabs>
        <w:tab w:val="left" w:pos="199"/>
      </w:tabs>
      <w:spacing w:after="0"/>
    </w:pPr>
    <w:rPr>
      <w:color w:val="FBFEFF" w:themeColor="background1"/>
      <w:sz w:val="18"/>
    </w:rPr>
  </w:style>
  <w:style w:type="character" w:customStyle="1" w:styleId="BackCoverContactBold">
    <w:name w:val="BackCover ContactBold"/>
    <w:basedOn w:val="DefaultParagraphFont"/>
    <w:uiPriority w:val="18"/>
    <w:qFormat/>
    <w:rsid w:val="007D1633"/>
    <w:rPr>
      <w:rFonts w:cs="Times New Roman"/>
      <w:b/>
      <w:color w:val="FBFEFF" w:themeColor="background1"/>
    </w:rPr>
  </w:style>
  <w:style w:type="paragraph" w:styleId="TOCHeading">
    <w:name w:val="TOC Heading"/>
    <w:basedOn w:val="Heading1"/>
    <w:next w:val="Normal"/>
    <w:link w:val="TOCHeadingChar"/>
    <w:uiPriority w:val="99"/>
    <w:qFormat/>
    <w:rsid w:val="00462182"/>
    <w:pPr>
      <w:pageBreakBefore w:val="0"/>
      <w:numPr>
        <w:numId w:val="0"/>
      </w:numPr>
      <w:tabs>
        <w:tab w:val="clear" w:pos="851"/>
      </w:tabs>
      <w:spacing w:before="480" w:after="240"/>
      <w:outlineLvl w:val="1"/>
    </w:pPr>
    <w:rPr>
      <w:bCs w:val="0"/>
    </w:rPr>
  </w:style>
  <w:style w:type="character" w:styleId="Hyperlink">
    <w:name w:val="Hyperlink"/>
    <w:basedOn w:val="DefaultParagraphFont"/>
    <w:uiPriority w:val="99"/>
    <w:qFormat/>
    <w:rsid w:val="00A14107"/>
    <w:rPr>
      <w:rFonts w:cs="Times New Roman"/>
      <w:color w:val="00A9CE" w:themeColor="accent1"/>
      <w:u w:val="none"/>
    </w:rPr>
  </w:style>
  <w:style w:type="paragraph" w:styleId="TOC4">
    <w:name w:val="toc 4"/>
    <w:basedOn w:val="Normal"/>
    <w:next w:val="Normal"/>
    <w:autoRedefine/>
    <w:uiPriority w:val="39"/>
    <w:rsid w:val="00FE3F4D"/>
    <w:pPr>
      <w:spacing w:after="100"/>
      <w:ind w:left="660"/>
    </w:pPr>
  </w:style>
  <w:style w:type="paragraph" w:styleId="TOC9">
    <w:name w:val="toc 9"/>
    <w:basedOn w:val="Normal"/>
    <w:next w:val="Normal"/>
    <w:autoRedefine/>
    <w:uiPriority w:val="39"/>
    <w:rsid w:val="00FE3F4D"/>
    <w:pPr>
      <w:spacing w:after="100"/>
      <w:ind w:left="1760"/>
    </w:pPr>
  </w:style>
  <w:style w:type="character" w:customStyle="1" w:styleId="BalloonTextChar">
    <w:name w:val="Balloon Text Char"/>
    <w:basedOn w:val="DefaultParagraphFont"/>
    <w:link w:val="BalloonText"/>
    <w:uiPriority w:val="99"/>
    <w:semiHidden/>
    <w:rsid w:val="00DB55B9"/>
    <w:rPr>
      <w:rFonts w:ascii="Tahoma" w:eastAsia="Calibri" w:hAnsi="Tahoma" w:cs="Tahoma"/>
      <w:color w:val="000000"/>
      <w:sz w:val="16"/>
      <w:szCs w:val="16"/>
    </w:rPr>
  </w:style>
  <w:style w:type="paragraph" w:styleId="Caption">
    <w:name w:val="caption"/>
    <w:aliases w:val="Caption Char1,Caption Char Char,Char Char Char,Char1 Char Char Char,Char1 Char Char1,Char1 Char Char Char1,Char1 Char Char Char Char1,Char1 Char Char Char Char Char"/>
    <w:basedOn w:val="Normal"/>
    <w:next w:val="Normal"/>
    <w:link w:val="CaptionChar"/>
    <w:uiPriority w:val="99"/>
    <w:qFormat/>
    <w:rsid w:val="007E4B05"/>
    <w:pPr>
      <w:keepNext/>
      <w:spacing w:before="240" w:after="200"/>
    </w:pPr>
    <w:rPr>
      <w:b/>
      <w:bCs/>
      <w:color w:val="00A9CE" w:themeColor="accent1"/>
      <w:sz w:val="20"/>
      <w:szCs w:val="18"/>
    </w:rPr>
  </w:style>
  <w:style w:type="paragraph" w:customStyle="1" w:styleId="Headerurl">
    <w:name w:val="Header url"/>
    <w:basedOn w:val="Header"/>
    <w:uiPriority w:val="99"/>
    <w:semiHidden/>
    <w:rsid w:val="00944443"/>
    <w:pPr>
      <w:tabs>
        <w:tab w:val="center" w:pos="4153"/>
        <w:tab w:val="right" w:pos="8306"/>
      </w:tabs>
      <w:spacing w:after="0"/>
    </w:pPr>
    <w:rPr>
      <w:b/>
      <w:color w:val="00313C"/>
      <w:szCs w:val="24"/>
    </w:rPr>
  </w:style>
  <w:style w:type="character" w:customStyle="1" w:styleId="PartNumber">
    <w:name w:val="PartNumber"/>
    <w:basedOn w:val="DefaultParagraphFont"/>
    <w:uiPriority w:val="15"/>
    <w:qFormat/>
    <w:rsid w:val="00A14107"/>
    <w:rPr>
      <w:rFonts w:cs="Times New Roman"/>
      <w:color w:val="00A9CE" w:themeColor="accent1"/>
    </w:rPr>
  </w:style>
  <w:style w:type="paragraph" w:customStyle="1" w:styleId="Heading1notnumbered">
    <w:name w:val="Heading 1 not numbered"/>
    <w:basedOn w:val="Heading1"/>
    <w:uiPriority w:val="1"/>
    <w:rsid w:val="009A20E5"/>
    <w:pPr>
      <w:numPr>
        <w:numId w:val="0"/>
      </w:numPr>
    </w:pPr>
  </w:style>
  <w:style w:type="paragraph" w:customStyle="1" w:styleId="Heading3notnumbered">
    <w:name w:val="Heading 3 not numbered"/>
    <w:basedOn w:val="Heading3"/>
    <w:uiPriority w:val="1"/>
    <w:qFormat/>
    <w:rsid w:val="00752314"/>
    <w:pPr>
      <w:numPr>
        <w:ilvl w:val="0"/>
        <w:numId w:val="0"/>
      </w:numPr>
    </w:pPr>
  </w:style>
  <w:style w:type="paragraph" w:customStyle="1" w:styleId="Heading2notnumbered">
    <w:name w:val="Heading 2 not numbered"/>
    <w:basedOn w:val="Heading2"/>
    <w:uiPriority w:val="1"/>
    <w:qFormat/>
    <w:rsid w:val="00752314"/>
    <w:pPr>
      <w:numPr>
        <w:ilvl w:val="0"/>
        <w:numId w:val="0"/>
      </w:numPr>
    </w:pPr>
  </w:style>
  <w:style w:type="paragraph" w:customStyle="1" w:styleId="Heading1noTOC">
    <w:name w:val="Heading 1 no TOC"/>
    <w:basedOn w:val="Heading1notnumbered"/>
    <w:uiPriority w:val="1"/>
    <w:qFormat/>
    <w:rsid w:val="00F91888"/>
  </w:style>
  <w:style w:type="character" w:customStyle="1" w:styleId="TOCHeadingChar">
    <w:name w:val="TOC Heading Char"/>
    <w:basedOn w:val="DefaultParagraphFont"/>
    <w:link w:val="TOCHeading"/>
    <w:uiPriority w:val="19"/>
    <w:semiHidden/>
    <w:locked/>
    <w:rsid w:val="00DB55B9"/>
    <w:rPr>
      <w:rFonts w:eastAsiaTheme="majorEastAsia" w:cstheme="majorBidi"/>
      <w:b/>
      <w:color w:val="00A9CE" w:themeColor="accent1"/>
      <w:sz w:val="44"/>
      <w:szCs w:val="28"/>
    </w:rPr>
  </w:style>
  <w:style w:type="paragraph" w:styleId="BlockText">
    <w:name w:val="Block Text"/>
    <w:basedOn w:val="Normal"/>
    <w:uiPriority w:val="99"/>
    <w:semiHidden/>
    <w:locked/>
    <w:rsid w:val="00E251B6"/>
    <w:pPr>
      <w:ind w:left="1440" w:right="1440"/>
    </w:pPr>
  </w:style>
  <w:style w:type="paragraph" w:styleId="BodyText">
    <w:name w:val="Body Text"/>
    <w:aliases w:val="Char2,Body Text Char1,Body Text Char Char,Body Text Char2,Body Text Char2 Char Char1 Char,Body Text Char1 Char Char Char Char,Body Text Char2 Char Char1 Char Char Char Char Char,Body Text Char11 Char,Body Text Char Char1 Char,block,bt,b,B"/>
    <w:basedOn w:val="Normal"/>
    <w:link w:val="BodyTextChar"/>
    <w:uiPriority w:val="99"/>
    <w:locked/>
    <w:rsid w:val="00E251B6"/>
  </w:style>
  <w:style w:type="character" w:customStyle="1" w:styleId="BodyTextChar">
    <w:name w:val="Body Text Char"/>
    <w:aliases w:val="Char2 Char,Body Text Char1 Char,Body Text Char Char Char,Body Text Char2 Char,Body Text Char2 Char Char1 Char Char,Body Text Char1 Char Char Char Char Char,Body Text Char2 Char Char1 Char Char Char Char Char Char,block Char,bt Char,b Char"/>
    <w:basedOn w:val="DefaultParagraphFont"/>
    <w:link w:val="BodyText"/>
    <w:uiPriority w:val="99"/>
    <w:semiHidden/>
    <w:locked/>
    <w:rsid w:val="00DB55B9"/>
    <w:rPr>
      <w:rFonts w:eastAsia="Calibri"/>
      <w:color w:val="000000"/>
    </w:rPr>
  </w:style>
  <w:style w:type="paragraph" w:styleId="BodyText2">
    <w:name w:val="Body Text 2"/>
    <w:basedOn w:val="Normal"/>
    <w:link w:val="BodyText2Char"/>
    <w:uiPriority w:val="99"/>
    <w:locked/>
    <w:rsid w:val="00E251B6"/>
    <w:pPr>
      <w:spacing w:line="480" w:lineRule="auto"/>
    </w:pPr>
  </w:style>
  <w:style w:type="character" w:customStyle="1" w:styleId="BodyText2Char">
    <w:name w:val="Body Text 2 Char"/>
    <w:basedOn w:val="DefaultParagraphFont"/>
    <w:link w:val="BodyText2"/>
    <w:uiPriority w:val="99"/>
    <w:locked/>
    <w:rsid w:val="00DB55B9"/>
    <w:rPr>
      <w:rFonts w:eastAsia="Calibri"/>
      <w:color w:val="000000"/>
    </w:rPr>
  </w:style>
  <w:style w:type="paragraph" w:styleId="BodyText3">
    <w:name w:val="Body Text 3"/>
    <w:basedOn w:val="Normal"/>
    <w:link w:val="BodyText3Char"/>
    <w:uiPriority w:val="99"/>
    <w:semiHidden/>
    <w:locked/>
    <w:rsid w:val="00E251B6"/>
    <w:rPr>
      <w:sz w:val="16"/>
      <w:szCs w:val="16"/>
    </w:rPr>
  </w:style>
  <w:style w:type="character" w:customStyle="1" w:styleId="BodyText3Char">
    <w:name w:val="Body Text 3 Char"/>
    <w:basedOn w:val="DefaultParagraphFont"/>
    <w:link w:val="BodyText3"/>
    <w:uiPriority w:val="99"/>
    <w:semiHidden/>
    <w:locked/>
    <w:rsid w:val="00DB55B9"/>
    <w:rPr>
      <w:rFonts w:eastAsia="Calibri"/>
      <w:color w:val="000000"/>
      <w:sz w:val="16"/>
      <w:szCs w:val="16"/>
    </w:rPr>
  </w:style>
  <w:style w:type="paragraph" w:styleId="BodyTextFirstIndent">
    <w:name w:val="Body Text First Indent"/>
    <w:basedOn w:val="BodyText"/>
    <w:link w:val="BodyTextFirstIndentChar"/>
    <w:uiPriority w:val="99"/>
    <w:semiHidden/>
    <w:locked/>
    <w:rsid w:val="00E251B6"/>
    <w:pPr>
      <w:ind w:firstLine="210"/>
    </w:pPr>
  </w:style>
  <w:style w:type="character" w:customStyle="1" w:styleId="BodyTextFirstIndentChar">
    <w:name w:val="Body Text First Indent Char"/>
    <w:basedOn w:val="BodyTextChar"/>
    <w:link w:val="BodyTextFirstIndent"/>
    <w:uiPriority w:val="99"/>
    <w:semiHidden/>
    <w:locked/>
    <w:rsid w:val="00DB55B9"/>
    <w:rPr>
      <w:rFonts w:eastAsia="Calibri"/>
      <w:color w:val="000000"/>
    </w:rPr>
  </w:style>
  <w:style w:type="paragraph" w:styleId="BodyTextIndent">
    <w:name w:val="Body Text Indent"/>
    <w:basedOn w:val="Normal"/>
    <w:link w:val="BodyTextIndentChar"/>
    <w:uiPriority w:val="99"/>
    <w:semiHidden/>
    <w:locked/>
    <w:rsid w:val="00E251B6"/>
    <w:pPr>
      <w:ind w:left="283"/>
    </w:pPr>
  </w:style>
  <w:style w:type="character" w:customStyle="1" w:styleId="BodyTextIndentChar">
    <w:name w:val="Body Text Indent Char"/>
    <w:basedOn w:val="DefaultParagraphFont"/>
    <w:link w:val="BodyTextIndent"/>
    <w:uiPriority w:val="99"/>
    <w:semiHidden/>
    <w:locked/>
    <w:rsid w:val="00DB55B9"/>
    <w:rPr>
      <w:rFonts w:eastAsia="Calibri"/>
      <w:color w:val="000000"/>
    </w:rPr>
  </w:style>
  <w:style w:type="paragraph" w:styleId="BodyTextFirstIndent2">
    <w:name w:val="Body Text First Indent 2"/>
    <w:basedOn w:val="BodyTextIndent"/>
    <w:link w:val="BodyTextFirstIndent2Char"/>
    <w:uiPriority w:val="99"/>
    <w:semiHidden/>
    <w:locked/>
    <w:rsid w:val="00E251B6"/>
    <w:pPr>
      <w:ind w:firstLine="210"/>
    </w:pPr>
  </w:style>
  <w:style w:type="character" w:customStyle="1" w:styleId="BodyTextFirstIndent2Char">
    <w:name w:val="Body Text First Indent 2 Char"/>
    <w:basedOn w:val="BodyTextIndentChar"/>
    <w:link w:val="BodyTextFirstIndent2"/>
    <w:uiPriority w:val="99"/>
    <w:semiHidden/>
    <w:locked/>
    <w:rsid w:val="00DB55B9"/>
    <w:rPr>
      <w:rFonts w:eastAsia="Calibri"/>
      <w:color w:val="000000"/>
    </w:rPr>
  </w:style>
  <w:style w:type="paragraph" w:styleId="BodyTextIndent2">
    <w:name w:val="Body Text Indent 2"/>
    <w:basedOn w:val="Normal"/>
    <w:link w:val="BodyTextIndent2Char"/>
    <w:uiPriority w:val="99"/>
    <w:semiHidden/>
    <w:locked/>
    <w:rsid w:val="00E251B6"/>
    <w:pPr>
      <w:spacing w:line="480" w:lineRule="auto"/>
      <w:ind w:left="283"/>
    </w:pPr>
  </w:style>
  <w:style w:type="character" w:customStyle="1" w:styleId="BodyTextIndent2Char">
    <w:name w:val="Body Text Indent 2 Char"/>
    <w:basedOn w:val="DefaultParagraphFont"/>
    <w:link w:val="BodyTextIndent2"/>
    <w:uiPriority w:val="99"/>
    <w:semiHidden/>
    <w:locked/>
    <w:rsid w:val="00DB55B9"/>
    <w:rPr>
      <w:rFonts w:eastAsia="Calibri"/>
      <w:color w:val="000000"/>
    </w:rPr>
  </w:style>
  <w:style w:type="paragraph" w:styleId="BodyTextIndent3">
    <w:name w:val="Body Text Indent 3"/>
    <w:basedOn w:val="Normal"/>
    <w:link w:val="BodyTextIndent3Char"/>
    <w:uiPriority w:val="99"/>
    <w:semiHidden/>
    <w:locked/>
    <w:rsid w:val="00E251B6"/>
    <w:pPr>
      <w:ind w:left="283"/>
    </w:pPr>
    <w:rPr>
      <w:sz w:val="16"/>
      <w:szCs w:val="16"/>
    </w:rPr>
  </w:style>
  <w:style w:type="character" w:customStyle="1" w:styleId="BodyTextIndent3Char">
    <w:name w:val="Body Text Indent 3 Char"/>
    <w:basedOn w:val="DefaultParagraphFont"/>
    <w:link w:val="BodyTextIndent3"/>
    <w:uiPriority w:val="99"/>
    <w:semiHidden/>
    <w:locked/>
    <w:rsid w:val="00DB55B9"/>
    <w:rPr>
      <w:rFonts w:eastAsia="Calibri"/>
      <w:color w:val="000000"/>
      <w:sz w:val="16"/>
      <w:szCs w:val="16"/>
    </w:rPr>
  </w:style>
  <w:style w:type="paragraph" w:styleId="Closing">
    <w:name w:val="Closing"/>
    <w:basedOn w:val="Normal"/>
    <w:link w:val="ClosingChar"/>
    <w:uiPriority w:val="99"/>
    <w:semiHidden/>
    <w:locked/>
    <w:rsid w:val="00E251B6"/>
    <w:pPr>
      <w:ind w:left="4252"/>
    </w:pPr>
  </w:style>
  <w:style w:type="character" w:customStyle="1" w:styleId="ClosingChar">
    <w:name w:val="Closing Char"/>
    <w:basedOn w:val="DefaultParagraphFont"/>
    <w:link w:val="Closing"/>
    <w:uiPriority w:val="99"/>
    <w:semiHidden/>
    <w:locked/>
    <w:rsid w:val="00DB55B9"/>
    <w:rPr>
      <w:rFonts w:eastAsia="Calibri"/>
      <w:color w:val="000000"/>
    </w:rPr>
  </w:style>
  <w:style w:type="paragraph" w:styleId="Date">
    <w:name w:val="Date"/>
    <w:basedOn w:val="Normal"/>
    <w:next w:val="Normal"/>
    <w:link w:val="DateChar"/>
    <w:uiPriority w:val="99"/>
    <w:locked/>
    <w:rsid w:val="00E251B6"/>
  </w:style>
  <w:style w:type="character" w:customStyle="1" w:styleId="DateChar">
    <w:name w:val="Date Char"/>
    <w:basedOn w:val="DefaultParagraphFont"/>
    <w:link w:val="Date"/>
    <w:uiPriority w:val="99"/>
    <w:locked/>
    <w:rsid w:val="00DB55B9"/>
    <w:rPr>
      <w:rFonts w:eastAsia="Calibri"/>
      <w:color w:val="000000"/>
    </w:rPr>
  </w:style>
  <w:style w:type="paragraph" w:styleId="E-mailSignature">
    <w:name w:val="E-mail Signature"/>
    <w:basedOn w:val="Normal"/>
    <w:link w:val="E-mailSignatureChar"/>
    <w:uiPriority w:val="99"/>
    <w:semiHidden/>
    <w:locked/>
    <w:rsid w:val="00E251B6"/>
  </w:style>
  <w:style w:type="character" w:customStyle="1" w:styleId="E-mailSignatureChar">
    <w:name w:val="E-mail Signature Char"/>
    <w:basedOn w:val="DefaultParagraphFont"/>
    <w:link w:val="E-mailSignature"/>
    <w:uiPriority w:val="99"/>
    <w:semiHidden/>
    <w:locked/>
    <w:rsid w:val="00DB55B9"/>
    <w:rPr>
      <w:rFonts w:eastAsia="Calibri"/>
      <w:color w:val="000000"/>
    </w:rPr>
  </w:style>
  <w:style w:type="character" w:styleId="Emphasis">
    <w:name w:val="Emphasis"/>
    <w:basedOn w:val="DefaultParagraphFont"/>
    <w:uiPriority w:val="99"/>
    <w:qFormat/>
    <w:locked/>
    <w:rsid w:val="001249CC"/>
    <w:rPr>
      <w:rFonts w:cs="Times New Roman"/>
      <w:i/>
      <w:iCs/>
    </w:rPr>
  </w:style>
  <w:style w:type="paragraph" w:styleId="EnvelopeAddress">
    <w:name w:val="envelope address"/>
    <w:basedOn w:val="Normal"/>
    <w:uiPriority w:val="99"/>
    <w:semiHidden/>
    <w:locked/>
    <w:rsid w:val="00E251B6"/>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semiHidden/>
    <w:locked/>
    <w:rsid w:val="00E251B6"/>
    <w:rPr>
      <w:rFonts w:ascii="Arial" w:hAnsi="Arial" w:cs="Arial"/>
      <w:sz w:val="20"/>
      <w:szCs w:val="20"/>
    </w:rPr>
  </w:style>
  <w:style w:type="character" w:styleId="FollowedHyperlink">
    <w:name w:val="FollowedHyperlink"/>
    <w:basedOn w:val="DefaultParagraphFont"/>
    <w:uiPriority w:val="99"/>
    <w:locked/>
    <w:rsid w:val="003D6565"/>
    <w:rPr>
      <w:rFonts w:cs="Times New Roman"/>
      <w:color w:val="auto"/>
      <w:u w:val="none"/>
    </w:rPr>
  </w:style>
  <w:style w:type="character" w:styleId="FootnoteReference">
    <w:name w:val="footnote reference"/>
    <w:basedOn w:val="DefaultParagraphFont"/>
    <w:uiPriority w:val="99"/>
    <w:locked/>
    <w:rsid w:val="00E251B6"/>
    <w:rPr>
      <w:rFonts w:cs="Times New Roman"/>
      <w:vertAlign w:val="superscript"/>
    </w:rPr>
  </w:style>
  <w:style w:type="character" w:styleId="HTMLAcronym">
    <w:name w:val="HTML Acronym"/>
    <w:basedOn w:val="DefaultParagraphFont"/>
    <w:uiPriority w:val="99"/>
    <w:semiHidden/>
    <w:locked/>
    <w:rsid w:val="00E251B6"/>
    <w:rPr>
      <w:rFonts w:cs="Times New Roman"/>
    </w:rPr>
  </w:style>
  <w:style w:type="paragraph" w:styleId="HTMLAddress">
    <w:name w:val="HTML Address"/>
    <w:basedOn w:val="Normal"/>
    <w:link w:val="HTMLAddressChar"/>
    <w:uiPriority w:val="99"/>
    <w:semiHidden/>
    <w:locked/>
    <w:rsid w:val="00E251B6"/>
    <w:rPr>
      <w:i/>
      <w:iCs/>
    </w:rPr>
  </w:style>
  <w:style w:type="character" w:customStyle="1" w:styleId="HTMLAddressChar">
    <w:name w:val="HTML Address Char"/>
    <w:basedOn w:val="DefaultParagraphFont"/>
    <w:link w:val="HTMLAddress"/>
    <w:uiPriority w:val="99"/>
    <w:semiHidden/>
    <w:locked/>
    <w:rsid w:val="00DB55B9"/>
    <w:rPr>
      <w:rFonts w:eastAsia="Calibri"/>
      <w:i/>
      <w:iCs/>
      <w:color w:val="000000"/>
    </w:rPr>
  </w:style>
  <w:style w:type="character" w:styleId="HTMLCite">
    <w:name w:val="HTML Cite"/>
    <w:basedOn w:val="DefaultParagraphFont"/>
    <w:uiPriority w:val="99"/>
    <w:locked/>
    <w:rsid w:val="00E251B6"/>
    <w:rPr>
      <w:rFonts w:cs="Times New Roman"/>
      <w:i/>
      <w:iCs/>
    </w:rPr>
  </w:style>
  <w:style w:type="character" w:styleId="HTMLCode">
    <w:name w:val="HTML Code"/>
    <w:basedOn w:val="DefaultParagraphFont"/>
    <w:uiPriority w:val="99"/>
    <w:semiHidden/>
    <w:locked/>
    <w:rsid w:val="00E251B6"/>
    <w:rPr>
      <w:rFonts w:ascii="Courier New" w:hAnsi="Courier New" w:cs="Courier New"/>
      <w:sz w:val="20"/>
      <w:szCs w:val="20"/>
    </w:rPr>
  </w:style>
  <w:style w:type="character" w:styleId="HTMLDefinition">
    <w:name w:val="HTML Definition"/>
    <w:basedOn w:val="DefaultParagraphFont"/>
    <w:uiPriority w:val="99"/>
    <w:semiHidden/>
    <w:locked/>
    <w:rsid w:val="00E251B6"/>
    <w:rPr>
      <w:rFonts w:cs="Times New Roman"/>
      <w:i/>
      <w:iCs/>
    </w:rPr>
  </w:style>
  <w:style w:type="character" w:styleId="HTMLKeyboard">
    <w:name w:val="HTML Keyboard"/>
    <w:basedOn w:val="DefaultParagraphFont"/>
    <w:uiPriority w:val="99"/>
    <w:semiHidden/>
    <w:locked/>
    <w:rsid w:val="00E251B6"/>
    <w:rPr>
      <w:rFonts w:ascii="Courier New" w:hAnsi="Courier New" w:cs="Courier New"/>
      <w:sz w:val="20"/>
      <w:szCs w:val="20"/>
    </w:rPr>
  </w:style>
  <w:style w:type="paragraph" w:styleId="HTMLPreformatted">
    <w:name w:val="HTML Preformatted"/>
    <w:basedOn w:val="Normal"/>
    <w:link w:val="HTMLPreformattedChar"/>
    <w:uiPriority w:val="99"/>
    <w:semiHidden/>
    <w:locked/>
    <w:rsid w:val="00E251B6"/>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DB55B9"/>
    <w:rPr>
      <w:rFonts w:ascii="Courier New" w:eastAsia="Calibri" w:hAnsi="Courier New" w:cs="Courier New"/>
      <w:color w:val="000000"/>
      <w:sz w:val="20"/>
      <w:szCs w:val="20"/>
    </w:rPr>
  </w:style>
  <w:style w:type="character" w:styleId="HTMLSample">
    <w:name w:val="HTML Sample"/>
    <w:basedOn w:val="DefaultParagraphFont"/>
    <w:uiPriority w:val="99"/>
    <w:semiHidden/>
    <w:locked/>
    <w:rsid w:val="00E251B6"/>
    <w:rPr>
      <w:rFonts w:ascii="Courier New" w:hAnsi="Courier New" w:cs="Courier New"/>
    </w:rPr>
  </w:style>
  <w:style w:type="character" w:styleId="HTMLTypewriter">
    <w:name w:val="HTML Typewriter"/>
    <w:basedOn w:val="DefaultParagraphFont"/>
    <w:uiPriority w:val="99"/>
    <w:semiHidden/>
    <w:locked/>
    <w:rsid w:val="00E251B6"/>
    <w:rPr>
      <w:rFonts w:ascii="Courier New" w:hAnsi="Courier New" w:cs="Courier New"/>
      <w:sz w:val="20"/>
      <w:szCs w:val="20"/>
    </w:rPr>
  </w:style>
  <w:style w:type="character" w:styleId="HTMLVariable">
    <w:name w:val="HTML Variable"/>
    <w:basedOn w:val="DefaultParagraphFont"/>
    <w:uiPriority w:val="99"/>
    <w:semiHidden/>
    <w:locked/>
    <w:rsid w:val="00E251B6"/>
    <w:rPr>
      <w:rFonts w:cs="Times New Roman"/>
      <w:i/>
      <w:iCs/>
    </w:rPr>
  </w:style>
  <w:style w:type="character" w:styleId="LineNumber">
    <w:name w:val="line number"/>
    <w:basedOn w:val="DefaultParagraphFont"/>
    <w:uiPriority w:val="99"/>
    <w:semiHidden/>
    <w:locked/>
    <w:rsid w:val="00E251B6"/>
    <w:rPr>
      <w:rFonts w:cs="Times New Roman"/>
    </w:rPr>
  </w:style>
  <w:style w:type="paragraph" w:styleId="List">
    <w:name w:val="List"/>
    <w:basedOn w:val="Normal"/>
    <w:uiPriority w:val="99"/>
    <w:semiHidden/>
    <w:locked/>
    <w:rsid w:val="00E251B6"/>
    <w:pPr>
      <w:ind w:left="283" w:hanging="283"/>
    </w:pPr>
  </w:style>
  <w:style w:type="paragraph" w:styleId="List2">
    <w:name w:val="List 2"/>
    <w:basedOn w:val="Normal"/>
    <w:uiPriority w:val="99"/>
    <w:semiHidden/>
    <w:locked/>
    <w:rsid w:val="00E251B6"/>
    <w:pPr>
      <w:ind w:left="566" w:hanging="283"/>
    </w:pPr>
  </w:style>
  <w:style w:type="paragraph" w:styleId="List3">
    <w:name w:val="List 3"/>
    <w:basedOn w:val="Normal"/>
    <w:uiPriority w:val="99"/>
    <w:semiHidden/>
    <w:locked/>
    <w:rsid w:val="00E251B6"/>
    <w:pPr>
      <w:ind w:left="849" w:hanging="283"/>
    </w:pPr>
  </w:style>
  <w:style w:type="paragraph" w:styleId="List4">
    <w:name w:val="List 4"/>
    <w:basedOn w:val="Normal"/>
    <w:uiPriority w:val="99"/>
    <w:semiHidden/>
    <w:locked/>
    <w:rsid w:val="00E251B6"/>
    <w:pPr>
      <w:ind w:left="1132" w:hanging="283"/>
    </w:pPr>
  </w:style>
  <w:style w:type="paragraph" w:styleId="List5">
    <w:name w:val="List 5"/>
    <w:basedOn w:val="Normal"/>
    <w:uiPriority w:val="99"/>
    <w:semiHidden/>
    <w:locked/>
    <w:rsid w:val="00E251B6"/>
    <w:pPr>
      <w:ind w:left="1415" w:hanging="283"/>
    </w:pPr>
  </w:style>
  <w:style w:type="paragraph" w:styleId="ListBullet4">
    <w:name w:val="List Bullet 4"/>
    <w:basedOn w:val="Normal"/>
    <w:uiPriority w:val="99"/>
    <w:semiHidden/>
    <w:locked/>
    <w:rsid w:val="00E251B6"/>
    <w:pPr>
      <w:numPr>
        <w:numId w:val="1"/>
      </w:numPr>
      <w:tabs>
        <w:tab w:val="num" w:pos="1209"/>
      </w:tabs>
      <w:ind w:left="1209"/>
    </w:pPr>
  </w:style>
  <w:style w:type="paragraph" w:styleId="ListBullet5">
    <w:name w:val="List Bullet 5"/>
    <w:basedOn w:val="Normal"/>
    <w:uiPriority w:val="99"/>
    <w:semiHidden/>
    <w:locked/>
    <w:rsid w:val="00E251B6"/>
    <w:pPr>
      <w:numPr>
        <w:numId w:val="2"/>
      </w:numPr>
      <w:tabs>
        <w:tab w:val="num" w:pos="926"/>
        <w:tab w:val="num" w:pos="1492"/>
      </w:tabs>
      <w:ind w:left="1492"/>
    </w:pPr>
  </w:style>
  <w:style w:type="paragraph" w:styleId="ListContinue">
    <w:name w:val="List Continue"/>
    <w:basedOn w:val="Normal"/>
    <w:uiPriority w:val="99"/>
    <w:semiHidden/>
    <w:locked/>
    <w:rsid w:val="00E251B6"/>
    <w:pPr>
      <w:ind w:left="283"/>
    </w:pPr>
  </w:style>
  <w:style w:type="paragraph" w:styleId="ListContinue2">
    <w:name w:val="List Continue 2"/>
    <w:basedOn w:val="Normal"/>
    <w:uiPriority w:val="99"/>
    <w:semiHidden/>
    <w:locked/>
    <w:rsid w:val="00E251B6"/>
    <w:pPr>
      <w:ind w:left="566"/>
    </w:pPr>
  </w:style>
  <w:style w:type="paragraph" w:styleId="ListContinue3">
    <w:name w:val="List Continue 3"/>
    <w:basedOn w:val="Normal"/>
    <w:uiPriority w:val="99"/>
    <w:semiHidden/>
    <w:locked/>
    <w:rsid w:val="00E251B6"/>
    <w:pPr>
      <w:ind w:left="849"/>
    </w:pPr>
  </w:style>
  <w:style w:type="paragraph" w:styleId="ListContinue4">
    <w:name w:val="List Continue 4"/>
    <w:basedOn w:val="Normal"/>
    <w:uiPriority w:val="99"/>
    <w:semiHidden/>
    <w:locked/>
    <w:rsid w:val="00E251B6"/>
    <w:pPr>
      <w:ind w:left="1132"/>
    </w:pPr>
  </w:style>
  <w:style w:type="paragraph" w:styleId="ListContinue5">
    <w:name w:val="List Continue 5"/>
    <w:basedOn w:val="Normal"/>
    <w:uiPriority w:val="99"/>
    <w:semiHidden/>
    <w:locked/>
    <w:rsid w:val="00E251B6"/>
    <w:pPr>
      <w:ind w:left="1415"/>
    </w:pPr>
  </w:style>
  <w:style w:type="paragraph" w:styleId="ListNumber3">
    <w:name w:val="List Number 3"/>
    <w:basedOn w:val="Normal"/>
    <w:uiPriority w:val="99"/>
    <w:locked/>
    <w:rsid w:val="00E251B6"/>
    <w:pPr>
      <w:numPr>
        <w:numId w:val="3"/>
      </w:numPr>
    </w:pPr>
  </w:style>
  <w:style w:type="paragraph" w:styleId="ListNumber4">
    <w:name w:val="List Number 4"/>
    <w:basedOn w:val="Normal"/>
    <w:uiPriority w:val="99"/>
    <w:semiHidden/>
    <w:locked/>
    <w:rsid w:val="00E251B6"/>
    <w:pPr>
      <w:numPr>
        <w:numId w:val="4"/>
      </w:numPr>
    </w:pPr>
  </w:style>
  <w:style w:type="paragraph" w:styleId="ListNumber5">
    <w:name w:val="List Number 5"/>
    <w:basedOn w:val="Normal"/>
    <w:uiPriority w:val="99"/>
    <w:semiHidden/>
    <w:locked/>
    <w:rsid w:val="00E251B6"/>
    <w:pPr>
      <w:numPr>
        <w:numId w:val="5"/>
      </w:numPr>
    </w:pPr>
  </w:style>
  <w:style w:type="paragraph" w:styleId="MessageHeader">
    <w:name w:val="Message Header"/>
    <w:basedOn w:val="Normal"/>
    <w:link w:val="MessageHeaderChar"/>
    <w:uiPriority w:val="99"/>
    <w:semiHidden/>
    <w:locked/>
    <w:rsid w:val="00E251B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DB55B9"/>
    <w:rPr>
      <w:rFonts w:ascii="Arial" w:eastAsia="Calibri" w:hAnsi="Arial" w:cs="Arial"/>
      <w:color w:val="000000"/>
      <w:sz w:val="24"/>
      <w:szCs w:val="24"/>
      <w:shd w:val="pct20" w:color="auto" w:fill="auto"/>
    </w:rPr>
  </w:style>
  <w:style w:type="paragraph" w:styleId="NormalWeb">
    <w:name w:val="Normal (Web)"/>
    <w:basedOn w:val="Normal"/>
    <w:uiPriority w:val="99"/>
    <w:locked/>
    <w:rsid w:val="00E251B6"/>
    <w:rPr>
      <w:rFonts w:ascii="Times New Roman" w:hAnsi="Times New Roman"/>
      <w:sz w:val="24"/>
      <w:szCs w:val="24"/>
    </w:rPr>
  </w:style>
  <w:style w:type="paragraph" w:styleId="NormalIndent">
    <w:name w:val="Normal Indent"/>
    <w:basedOn w:val="Normal"/>
    <w:uiPriority w:val="99"/>
    <w:semiHidden/>
    <w:locked/>
    <w:rsid w:val="00E251B6"/>
    <w:pPr>
      <w:ind w:left="720"/>
    </w:pPr>
  </w:style>
  <w:style w:type="paragraph" w:styleId="NoteHeading">
    <w:name w:val="Note Heading"/>
    <w:basedOn w:val="Normal"/>
    <w:next w:val="Normal"/>
    <w:link w:val="NoteHeadingChar"/>
    <w:uiPriority w:val="99"/>
    <w:semiHidden/>
    <w:locked/>
    <w:rsid w:val="00E251B6"/>
  </w:style>
  <w:style w:type="character" w:customStyle="1" w:styleId="NoteHeadingChar">
    <w:name w:val="Note Heading Char"/>
    <w:basedOn w:val="DefaultParagraphFont"/>
    <w:link w:val="NoteHeading"/>
    <w:uiPriority w:val="99"/>
    <w:semiHidden/>
    <w:locked/>
    <w:rsid w:val="00DB55B9"/>
    <w:rPr>
      <w:rFonts w:eastAsia="Calibri"/>
      <w:color w:val="000000"/>
    </w:rPr>
  </w:style>
  <w:style w:type="paragraph" w:styleId="PlainText">
    <w:name w:val="Plain Text"/>
    <w:basedOn w:val="Normal"/>
    <w:link w:val="PlainTextChar"/>
    <w:uiPriority w:val="99"/>
    <w:semiHidden/>
    <w:locked/>
    <w:rsid w:val="00E251B6"/>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DB55B9"/>
    <w:rPr>
      <w:rFonts w:ascii="Courier New" w:eastAsia="Calibri" w:hAnsi="Courier New" w:cs="Courier New"/>
      <w:color w:val="000000"/>
      <w:sz w:val="20"/>
      <w:szCs w:val="20"/>
    </w:rPr>
  </w:style>
  <w:style w:type="paragraph" w:styleId="Salutation">
    <w:name w:val="Salutation"/>
    <w:basedOn w:val="Normal"/>
    <w:next w:val="Normal"/>
    <w:link w:val="SalutationChar"/>
    <w:uiPriority w:val="99"/>
    <w:locked/>
    <w:rsid w:val="00E251B6"/>
  </w:style>
  <w:style w:type="character" w:customStyle="1" w:styleId="SalutationChar">
    <w:name w:val="Salutation Char"/>
    <w:basedOn w:val="DefaultParagraphFont"/>
    <w:link w:val="Salutation"/>
    <w:uiPriority w:val="99"/>
    <w:locked/>
    <w:rsid w:val="00DB55B9"/>
    <w:rPr>
      <w:rFonts w:eastAsia="Calibri"/>
      <w:color w:val="000000"/>
    </w:rPr>
  </w:style>
  <w:style w:type="paragraph" w:styleId="Signature">
    <w:name w:val="Signature"/>
    <w:basedOn w:val="Normal"/>
    <w:link w:val="SignatureChar"/>
    <w:uiPriority w:val="99"/>
    <w:semiHidden/>
    <w:locked/>
    <w:rsid w:val="00E251B6"/>
    <w:pPr>
      <w:ind w:left="4252"/>
    </w:pPr>
  </w:style>
  <w:style w:type="character" w:customStyle="1" w:styleId="SignatureChar">
    <w:name w:val="Signature Char"/>
    <w:basedOn w:val="DefaultParagraphFont"/>
    <w:link w:val="Signature"/>
    <w:uiPriority w:val="99"/>
    <w:semiHidden/>
    <w:locked/>
    <w:rsid w:val="00DB55B9"/>
    <w:rPr>
      <w:rFonts w:eastAsia="Calibri"/>
      <w:color w:val="000000"/>
    </w:rPr>
  </w:style>
  <w:style w:type="character" w:styleId="Strong">
    <w:name w:val="Strong"/>
    <w:basedOn w:val="DefaultParagraphFont"/>
    <w:uiPriority w:val="99"/>
    <w:qFormat/>
    <w:locked/>
    <w:rsid w:val="001249CC"/>
    <w:rPr>
      <w:rFonts w:cs="Times New Roman"/>
      <w:b/>
      <w:bCs/>
    </w:rPr>
  </w:style>
  <w:style w:type="table" w:styleId="Table3Deffects1">
    <w:name w:val="Table 3D effects 1"/>
    <w:basedOn w:val="TableNormal"/>
    <w:uiPriority w:val="99"/>
    <w:locked/>
    <w:rsid w:val="00E251B6"/>
    <w:pPr>
      <w:spacing w:after="120"/>
    </w:pPr>
    <w:rPr>
      <w:rFonts w:eastAsia="Times New Roman"/>
      <w:sz w:val="20"/>
      <w:szCs w:val="20"/>
    </w:rPr>
    <w:tblPr>
      <w:tblInd w:w="0" w:type="dxa"/>
      <w:tblCellMar>
        <w:top w:w="0" w:type="dxa"/>
        <w:left w:w="108" w:type="dxa"/>
        <w:bottom w:w="0" w:type="dxa"/>
        <w:right w:w="108" w:type="dxa"/>
      </w:tblCellMa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sid w:val="00E251B6"/>
    <w:pPr>
      <w:spacing w:after="120"/>
    </w:pPr>
    <w:rPr>
      <w:rFonts w:eastAsia="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locked/>
    <w:rsid w:val="00E251B6"/>
    <w:pPr>
      <w:spacing w:after="120"/>
    </w:pPr>
    <w:rPr>
      <w:rFonts w:eastAsia="Times New Roman"/>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locked/>
    <w:rsid w:val="00E251B6"/>
    <w:pPr>
      <w:spacing w:after="120"/>
    </w:pPr>
    <w:rPr>
      <w:rFonts w:eastAsia="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locked/>
    <w:rsid w:val="00E251B6"/>
    <w:pPr>
      <w:spacing w:after="120"/>
    </w:pPr>
    <w:rPr>
      <w:rFonts w:eastAsia="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locked/>
    <w:rsid w:val="00E251B6"/>
    <w:pPr>
      <w:spacing w:after="120"/>
    </w:pPr>
    <w:rPr>
      <w:rFonts w:eastAsia="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locked/>
    <w:rsid w:val="00E251B6"/>
    <w:pPr>
      <w:spacing w:after="120"/>
    </w:pPr>
    <w:rPr>
      <w:rFonts w:eastAsia="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locked/>
    <w:rsid w:val="00E251B6"/>
    <w:pPr>
      <w:spacing w:after="120"/>
    </w:pPr>
    <w:rPr>
      <w:rFonts w:eastAsia="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locked/>
    <w:rsid w:val="00E251B6"/>
    <w:pPr>
      <w:spacing w:after="120"/>
    </w:pPr>
    <w:rPr>
      <w:rFonts w:eastAsia="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locked/>
    <w:rsid w:val="00E251B6"/>
    <w:pPr>
      <w:spacing w:after="120"/>
    </w:pPr>
    <w:rPr>
      <w:rFonts w:eastAsia="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locked/>
    <w:rsid w:val="00E251B6"/>
    <w:pPr>
      <w:spacing w:after="120"/>
    </w:pPr>
    <w:rPr>
      <w:rFonts w:eastAsia="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locked/>
    <w:rsid w:val="00E251B6"/>
    <w:pPr>
      <w:spacing w:after="120"/>
    </w:pPr>
    <w:rPr>
      <w:rFonts w:eastAsia="Times New Roman"/>
      <w:b/>
      <w:bCs/>
      <w:sz w:val="20"/>
      <w:szCs w:val="20"/>
    </w:rPr>
    <w:tblPr>
      <w:tblStyleColBandSize w:val="1"/>
      <w:tblInd w:w="0" w:type="dxa"/>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locked/>
    <w:rsid w:val="00E251B6"/>
    <w:pPr>
      <w:spacing w:after="120"/>
    </w:pPr>
    <w:rPr>
      <w:rFonts w:eastAsia="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locked/>
    <w:rsid w:val="00E251B6"/>
    <w:pPr>
      <w:spacing w:after="120"/>
    </w:pPr>
    <w:rPr>
      <w:rFonts w:eastAsia="Times New Roman"/>
      <w:sz w:val="20"/>
      <w:szCs w:val="20"/>
    </w:rPr>
    <w:tblPr>
      <w:tblStyleColBandSize w:val="1"/>
      <w:tblInd w:w="0" w:type="dxa"/>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locked/>
    <w:rsid w:val="00E251B6"/>
    <w:pPr>
      <w:spacing w:after="120"/>
    </w:pPr>
    <w:rPr>
      <w:rFonts w:eastAsia="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locked/>
    <w:rsid w:val="00E251B6"/>
    <w:pPr>
      <w:spacing w:after="120"/>
    </w:pPr>
    <w:rPr>
      <w:rFonts w:eastAsia="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locked/>
    <w:rsid w:val="00E251B6"/>
    <w:pPr>
      <w:spacing w:after="120"/>
    </w:pPr>
    <w:rPr>
      <w:rFonts w:eastAsia="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locked/>
    <w:rsid w:val="00E251B6"/>
    <w:pPr>
      <w:spacing w:after="120"/>
    </w:pPr>
    <w:rPr>
      <w:rFonts w:eastAsia="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locked/>
    <w:rsid w:val="00E251B6"/>
    <w:pPr>
      <w:spacing w:after="120"/>
    </w:pPr>
    <w:rPr>
      <w:rFonts w:eastAsia="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locked/>
    <w:rsid w:val="00E251B6"/>
    <w:pPr>
      <w:spacing w:after="120"/>
    </w:pPr>
    <w:rPr>
      <w:rFonts w:eastAsia="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locked/>
    <w:rsid w:val="00E251B6"/>
    <w:pPr>
      <w:spacing w:after="120"/>
    </w:pPr>
    <w:rPr>
      <w:rFonts w:eastAsia="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locked/>
    <w:rsid w:val="00E251B6"/>
    <w:pPr>
      <w:spacing w:after="120"/>
    </w:pPr>
    <w:rPr>
      <w:rFonts w:eastAsia="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locked/>
    <w:rsid w:val="00E251B6"/>
    <w:pPr>
      <w:spacing w:after="120"/>
    </w:pPr>
    <w:rPr>
      <w:rFonts w:eastAsia="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locked/>
    <w:rsid w:val="00E251B6"/>
    <w:pPr>
      <w:spacing w:after="120"/>
    </w:pPr>
    <w:rPr>
      <w:rFonts w:eastAsia="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locked/>
    <w:rsid w:val="00E251B6"/>
    <w:pPr>
      <w:spacing w:after="120"/>
    </w:pPr>
    <w:rPr>
      <w:rFonts w:eastAsia="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locked/>
    <w:rsid w:val="00E251B6"/>
    <w:pPr>
      <w:spacing w:after="120"/>
    </w:pPr>
    <w:rPr>
      <w:rFonts w:eastAsia="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locked/>
    <w:rsid w:val="00E251B6"/>
    <w:pPr>
      <w:spacing w:after="120"/>
    </w:pPr>
    <w:rPr>
      <w:rFonts w:eastAsia="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locked/>
    <w:rsid w:val="00E251B6"/>
    <w:pPr>
      <w:spacing w:after="120"/>
    </w:pPr>
    <w:rPr>
      <w:rFonts w:eastAsia="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locked/>
    <w:rsid w:val="00E251B6"/>
    <w:pPr>
      <w:spacing w:after="120"/>
    </w:pPr>
    <w:rPr>
      <w:rFonts w:eastAsia="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locked/>
    <w:rsid w:val="00E251B6"/>
    <w:pPr>
      <w:spacing w:after="120"/>
    </w:pPr>
    <w:rPr>
      <w:rFonts w:eastAsia="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locked/>
    <w:rsid w:val="00E251B6"/>
    <w:pPr>
      <w:spacing w:after="120"/>
    </w:pPr>
    <w:rPr>
      <w:rFonts w:eastAsia="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locked/>
    <w:rsid w:val="00E251B6"/>
    <w:pPr>
      <w:spacing w:after="120"/>
    </w:pPr>
    <w:rPr>
      <w:rFonts w:eastAsia="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locked/>
    <w:rsid w:val="00E251B6"/>
    <w:pPr>
      <w:spacing w:after="120"/>
    </w:pPr>
    <w:rPr>
      <w:rFonts w:eastAsia="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locked/>
    <w:rsid w:val="00E251B6"/>
    <w:pPr>
      <w:spacing w:after="120"/>
    </w:pPr>
    <w:rPr>
      <w:rFonts w:eastAsia="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locked/>
    <w:rsid w:val="00E251B6"/>
    <w:pPr>
      <w:spacing w:after="120"/>
    </w:pPr>
    <w:rPr>
      <w:rFonts w:eastAsia="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locked/>
    <w:rsid w:val="00E251B6"/>
    <w:pPr>
      <w:spacing w:after="120"/>
    </w:pPr>
    <w:rPr>
      <w:rFonts w:eastAsia="Times New Roman"/>
      <w:sz w:val="20"/>
      <w:szCs w:val="20"/>
    </w:rPr>
    <w:tblPr>
      <w:tblInd w:w="0" w:type="dxa"/>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locked/>
    <w:rsid w:val="00E251B6"/>
    <w:pPr>
      <w:spacing w:after="120"/>
    </w:pPr>
    <w:rPr>
      <w:rFonts w:eastAsia="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locked/>
    <w:rsid w:val="00E251B6"/>
    <w:pPr>
      <w:spacing w:after="120"/>
    </w:pPr>
    <w:rPr>
      <w:rFonts w:eastAsia="Times New Roman"/>
      <w:sz w:val="20"/>
      <w:szCs w:val="20"/>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locked/>
    <w:rsid w:val="00E251B6"/>
    <w:pPr>
      <w:spacing w:after="120"/>
    </w:pPr>
    <w:rPr>
      <w:rFonts w:eastAsia="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locked/>
    <w:rsid w:val="00E251B6"/>
    <w:pPr>
      <w:spacing w:after="120"/>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locked/>
    <w:rsid w:val="00E251B6"/>
    <w:pPr>
      <w:spacing w:after="120"/>
    </w:pPr>
    <w:rPr>
      <w:rFonts w:eastAsia="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locked/>
    <w:rsid w:val="00E251B6"/>
    <w:pPr>
      <w:spacing w:after="120"/>
    </w:pPr>
    <w:rPr>
      <w:rFonts w:eastAsia="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locked/>
    <w:rsid w:val="00E251B6"/>
    <w:pPr>
      <w:spacing w:after="120"/>
    </w:pPr>
    <w:rPr>
      <w:rFonts w:eastAsia="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uiPriority w:val="12"/>
    <w:qFormat/>
    <w:rsid w:val="008F7A9C"/>
    <w:pPr>
      <w:spacing w:before="180" w:after="60"/>
    </w:pPr>
    <w:rPr>
      <w:rFonts w:eastAsia="Times New Roman"/>
      <w:bCs/>
      <w:color w:val="00A9CE" w:themeColor="accent1"/>
      <w:sz w:val="24"/>
      <w:szCs w:val="26"/>
      <w:lang w:eastAsia="en-US"/>
    </w:rPr>
  </w:style>
  <w:style w:type="paragraph" w:customStyle="1" w:styleId="BusinessUnitName">
    <w:name w:val="Business Unit Name"/>
    <w:uiPriority w:val="12"/>
    <w:qFormat/>
    <w:rsid w:val="00897FEE"/>
    <w:rPr>
      <w:b/>
      <w:caps/>
      <w:noProof/>
      <w:color w:val="FFFFFF"/>
      <w:spacing w:val="16"/>
      <w:szCs w:val="24"/>
      <w:lang w:eastAsia="en-US"/>
    </w:rPr>
  </w:style>
  <w:style w:type="character" w:styleId="CommentReference">
    <w:name w:val="annotation reference"/>
    <w:basedOn w:val="DefaultParagraphFont"/>
    <w:uiPriority w:val="99"/>
    <w:locked/>
    <w:rsid w:val="00AD275A"/>
    <w:rPr>
      <w:rFonts w:cs="Times New Roman"/>
      <w:sz w:val="16"/>
      <w:szCs w:val="16"/>
    </w:rPr>
  </w:style>
  <w:style w:type="paragraph" w:styleId="CommentText">
    <w:name w:val="annotation text"/>
    <w:basedOn w:val="Normal"/>
    <w:link w:val="CommentTextChar"/>
    <w:uiPriority w:val="99"/>
    <w:locked/>
    <w:rsid w:val="00AD275A"/>
    <w:rPr>
      <w:sz w:val="20"/>
      <w:szCs w:val="20"/>
    </w:rPr>
  </w:style>
  <w:style w:type="character" w:customStyle="1" w:styleId="CommentTextChar">
    <w:name w:val="Comment Text Char"/>
    <w:basedOn w:val="DefaultParagraphFont"/>
    <w:link w:val="CommentText"/>
    <w:uiPriority w:val="99"/>
    <w:rsid w:val="00DB55B9"/>
    <w:rPr>
      <w:rFonts w:eastAsia="Calibri"/>
      <w:color w:val="000000"/>
      <w:sz w:val="20"/>
      <w:szCs w:val="20"/>
    </w:rPr>
  </w:style>
  <w:style w:type="paragraph" w:styleId="CommentSubject">
    <w:name w:val="annotation subject"/>
    <w:basedOn w:val="CommentText"/>
    <w:next w:val="CommentText"/>
    <w:link w:val="CommentSubjectChar"/>
    <w:uiPriority w:val="99"/>
    <w:locked/>
    <w:rsid w:val="00AD275A"/>
    <w:rPr>
      <w:b/>
      <w:bCs/>
    </w:rPr>
  </w:style>
  <w:style w:type="character" w:customStyle="1" w:styleId="CommentSubjectChar">
    <w:name w:val="Comment Subject Char"/>
    <w:basedOn w:val="CommentTextChar"/>
    <w:link w:val="CommentSubject"/>
    <w:uiPriority w:val="99"/>
    <w:rsid w:val="00DB55B9"/>
    <w:rPr>
      <w:rFonts w:eastAsia="Calibri"/>
      <w:b/>
      <w:bCs/>
      <w:color w:val="000000"/>
      <w:sz w:val="20"/>
      <w:szCs w:val="20"/>
    </w:rPr>
  </w:style>
  <w:style w:type="paragraph" w:styleId="DocumentMap">
    <w:name w:val="Document Map"/>
    <w:basedOn w:val="Normal"/>
    <w:link w:val="DocumentMapChar"/>
    <w:uiPriority w:val="99"/>
    <w:semiHidden/>
    <w:locked/>
    <w:rsid w:val="00AD275A"/>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DB55B9"/>
    <w:rPr>
      <w:rFonts w:ascii="Tahoma" w:eastAsia="Calibri" w:hAnsi="Tahoma" w:cs="Tahoma"/>
      <w:color w:val="000000"/>
      <w:sz w:val="20"/>
      <w:szCs w:val="20"/>
      <w:shd w:val="clear" w:color="auto" w:fill="000080"/>
    </w:rPr>
  </w:style>
  <w:style w:type="character" w:styleId="EndnoteReference">
    <w:name w:val="endnote reference"/>
    <w:basedOn w:val="DefaultParagraphFont"/>
    <w:uiPriority w:val="99"/>
    <w:locked/>
    <w:rsid w:val="00AD275A"/>
    <w:rPr>
      <w:rFonts w:cs="Times New Roman"/>
      <w:vertAlign w:val="superscript"/>
    </w:rPr>
  </w:style>
  <w:style w:type="paragraph" w:styleId="EndnoteText">
    <w:name w:val="endnote text"/>
    <w:basedOn w:val="Normal"/>
    <w:link w:val="EndnoteTextChar"/>
    <w:uiPriority w:val="99"/>
    <w:locked/>
    <w:rsid w:val="00AD275A"/>
    <w:rPr>
      <w:sz w:val="20"/>
      <w:szCs w:val="20"/>
    </w:rPr>
  </w:style>
  <w:style w:type="character" w:customStyle="1" w:styleId="EndnoteTextChar">
    <w:name w:val="Endnote Text Char"/>
    <w:basedOn w:val="DefaultParagraphFont"/>
    <w:link w:val="EndnoteText"/>
    <w:uiPriority w:val="99"/>
    <w:rsid w:val="00DB55B9"/>
    <w:rPr>
      <w:rFonts w:eastAsia="Calibri"/>
      <w:color w:val="000000"/>
      <w:sz w:val="20"/>
      <w:szCs w:val="20"/>
    </w:rPr>
  </w:style>
  <w:style w:type="paragraph" w:styleId="Index1">
    <w:name w:val="index 1"/>
    <w:basedOn w:val="Normal"/>
    <w:next w:val="Normal"/>
    <w:autoRedefine/>
    <w:uiPriority w:val="99"/>
    <w:locked/>
    <w:rsid w:val="00AD275A"/>
    <w:pPr>
      <w:ind w:left="220" w:hanging="220"/>
    </w:pPr>
  </w:style>
  <w:style w:type="paragraph" w:styleId="Index2">
    <w:name w:val="index 2"/>
    <w:basedOn w:val="Normal"/>
    <w:next w:val="Normal"/>
    <w:autoRedefine/>
    <w:uiPriority w:val="99"/>
    <w:locked/>
    <w:rsid w:val="00AD275A"/>
    <w:pPr>
      <w:ind w:left="440" w:hanging="220"/>
    </w:pPr>
  </w:style>
  <w:style w:type="paragraph" w:styleId="Index3">
    <w:name w:val="index 3"/>
    <w:basedOn w:val="Normal"/>
    <w:next w:val="Normal"/>
    <w:autoRedefine/>
    <w:uiPriority w:val="99"/>
    <w:locked/>
    <w:rsid w:val="00AD275A"/>
    <w:pPr>
      <w:ind w:left="660" w:hanging="220"/>
    </w:pPr>
  </w:style>
  <w:style w:type="paragraph" w:styleId="Index4">
    <w:name w:val="index 4"/>
    <w:basedOn w:val="Normal"/>
    <w:next w:val="Normal"/>
    <w:autoRedefine/>
    <w:uiPriority w:val="99"/>
    <w:locked/>
    <w:rsid w:val="00AD275A"/>
    <w:pPr>
      <w:ind w:left="880" w:hanging="220"/>
    </w:pPr>
  </w:style>
  <w:style w:type="paragraph" w:styleId="Index5">
    <w:name w:val="index 5"/>
    <w:basedOn w:val="Normal"/>
    <w:next w:val="Normal"/>
    <w:autoRedefine/>
    <w:uiPriority w:val="99"/>
    <w:semiHidden/>
    <w:locked/>
    <w:rsid w:val="00AD275A"/>
    <w:pPr>
      <w:ind w:left="1100" w:hanging="220"/>
    </w:pPr>
  </w:style>
  <w:style w:type="paragraph" w:styleId="Index6">
    <w:name w:val="index 6"/>
    <w:basedOn w:val="Normal"/>
    <w:next w:val="Normal"/>
    <w:autoRedefine/>
    <w:uiPriority w:val="99"/>
    <w:semiHidden/>
    <w:locked/>
    <w:rsid w:val="00AD275A"/>
    <w:pPr>
      <w:ind w:left="1320" w:hanging="220"/>
    </w:pPr>
  </w:style>
  <w:style w:type="paragraph" w:styleId="Index7">
    <w:name w:val="index 7"/>
    <w:basedOn w:val="Normal"/>
    <w:next w:val="Normal"/>
    <w:autoRedefine/>
    <w:uiPriority w:val="99"/>
    <w:semiHidden/>
    <w:locked/>
    <w:rsid w:val="00AD275A"/>
    <w:pPr>
      <w:ind w:left="1540" w:hanging="220"/>
    </w:pPr>
  </w:style>
  <w:style w:type="paragraph" w:styleId="Index8">
    <w:name w:val="index 8"/>
    <w:basedOn w:val="Normal"/>
    <w:next w:val="Normal"/>
    <w:autoRedefine/>
    <w:uiPriority w:val="99"/>
    <w:semiHidden/>
    <w:locked/>
    <w:rsid w:val="00AD275A"/>
    <w:pPr>
      <w:ind w:left="1760" w:hanging="220"/>
    </w:pPr>
  </w:style>
  <w:style w:type="paragraph" w:styleId="Index9">
    <w:name w:val="index 9"/>
    <w:basedOn w:val="Normal"/>
    <w:next w:val="Normal"/>
    <w:autoRedefine/>
    <w:uiPriority w:val="99"/>
    <w:semiHidden/>
    <w:locked/>
    <w:rsid w:val="00AD275A"/>
    <w:pPr>
      <w:ind w:left="1980" w:hanging="220"/>
    </w:pPr>
  </w:style>
  <w:style w:type="paragraph" w:styleId="IndexHeading">
    <w:name w:val="index heading"/>
    <w:basedOn w:val="Normal"/>
    <w:next w:val="Index1"/>
    <w:uiPriority w:val="99"/>
    <w:locked/>
    <w:rsid w:val="00AD275A"/>
    <w:rPr>
      <w:rFonts w:ascii="Arial" w:hAnsi="Arial" w:cs="Arial"/>
      <w:b/>
      <w:bCs/>
    </w:rPr>
  </w:style>
  <w:style w:type="paragraph" w:styleId="MacroText">
    <w:name w:val="macro"/>
    <w:link w:val="MacroTextChar"/>
    <w:uiPriority w:val="99"/>
    <w:semiHidden/>
    <w:locked/>
    <w:rsid w:val="00AD275A"/>
    <w:pPr>
      <w:tabs>
        <w:tab w:val="left" w:pos="480"/>
        <w:tab w:val="left" w:pos="960"/>
        <w:tab w:val="left" w:pos="1440"/>
        <w:tab w:val="left" w:pos="1920"/>
        <w:tab w:val="left" w:pos="2400"/>
        <w:tab w:val="left" w:pos="2880"/>
        <w:tab w:val="left" w:pos="3360"/>
        <w:tab w:val="left" w:pos="3840"/>
        <w:tab w:val="left" w:pos="4320"/>
      </w:tabs>
      <w:spacing w:after="120"/>
    </w:pPr>
    <w:rPr>
      <w:rFonts w:ascii="Courier New" w:hAnsi="Courier New" w:cs="Courier New"/>
      <w:color w:val="000000"/>
      <w:sz w:val="20"/>
      <w:szCs w:val="20"/>
      <w:lang w:eastAsia="en-US"/>
    </w:rPr>
  </w:style>
  <w:style w:type="character" w:customStyle="1" w:styleId="MacroTextChar">
    <w:name w:val="Macro Text Char"/>
    <w:basedOn w:val="DefaultParagraphFont"/>
    <w:link w:val="MacroText"/>
    <w:uiPriority w:val="99"/>
    <w:semiHidden/>
    <w:rsid w:val="00DB55B9"/>
    <w:rPr>
      <w:rFonts w:ascii="Courier New" w:hAnsi="Courier New" w:cs="Courier New"/>
      <w:color w:val="000000"/>
      <w:sz w:val="20"/>
      <w:szCs w:val="20"/>
      <w:lang w:eastAsia="en-US"/>
    </w:rPr>
  </w:style>
  <w:style w:type="paragraph" w:styleId="TableofAuthorities">
    <w:name w:val="table of authorities"/>
    <w:basedOn w:val="Normal"/>
    <w:next w:val="Normal"/>
    <w:uiPriority w:val="99"/>
    <w:locked/>
    <w:rsid w:val="00AD275A"/>
    <w:pPr>
      <w:ind w:left="220" w:hanging="220"/>
    </w:pPr>
  </w:style>
  <w:style w:type="paragraph" w:styleId="TableofFigures">
    <w:name w:val="table of figures"/>
    <w:basedOn w:val="Normal"/>
    <w:next w:val="Normal"/>
    <w:uiPriority w:val="99"/>
    <w:locked/>
    <w:rsid w:val="00B34418"/>
    <w:pPr>
      <w:tabs>
        <w:tab w:val="right" w:leader="dot" w:pos="9639"/>
      </w:tabs>
      <w:ind w:right="284"/>
    </w:pPr>
  </w:style>
  <w:style w:type="paragraph" w:styleId="TOAHeading">
    <w:name w:val="toa heading"/>
    <w:basedOn w:val="Normal"/>
    <w:next w:val="Normal"/>
    <w:uiPriority w:val="99"/>
    <w:locked/>
    <w:rsid w:val="00AD275A"/>
    <w:pPr>
      <w:spacing w:before="120"/>
    </w:pPr>
    <w:rPr>
      <w:rFonts w:ascii="Arial" w:hAnsi="Arial" w:cs="Arial"/>
      <w:b/>
      <w:bCs/>
      <w:sz w:val="24"/>
      <w:szCs w:val="24"/>
    </w:rPr>
  </w:style>
  <w:style w:type="paragraph" w:styleId="TOC5">
    <w:name w:val="toc 5"/>
    <w:basedOn w:val="Normal"/>
    <w:next w:val="Normal"/>
    <w:autoRedefine/>
    <w:uiPriority w:val="39"/>
    <w:rsid w:val="00AD275A"/>
    <w:pPr>
      <w:ind w:left="880"/>
    </w:pPr>
  </w:style>
  <w:style w:type="paragraph" w:styleId="TOC6">
    <w:name w:val="toc 6"/>
    <w:basedOn w:val="Normal"/>
    <w:next w:val="Normal"/>
    <w:autoRedefine/>
    <w:uiPriority w:val="39"/>
    <w:rsid w:val="00AD275A"/>
    <w:pPr>
      <w:ind w:left="1100"/>
    </w:pPr>
  </w:style>
  <w:style w:type="paragraph" w:styleId="TOC7">
    <w:name w:val="toc 7"/>
    <w:basedOn w:val="Normal"/>
    <w:next w:val="Normal"/>
    <w:autoRedefine/>
    <w:uiPriority w:val="39"/>
    <w:rsid w:val="00AD275A"/>
    <w:pPr>
      <w:ind w:left="1320"/>
    </w:pPr>
  </w:style>
  <w:style w:type="paragraph" w:styleId="TOC8">
    <w:name w:val="toc 8"/>
    <w:basedOn w:val="Normal"/>
    <w:next w:val="Normal"/>
    <w:autoRedefine/>
    <w:uiPriority w:val="39"/>
    <w:rsid w:val="00AD275A"/>
    <w:pPr>
      <w:ind w:left="1540"/>
    </w:pPr>
  </w:style>
  <w:style w:type="numbering" w:customStyle="1" w:styleId="TableBullets">
    <w:name w:val="TableBullets"/>
    <w:uiPriority w:val="99"/>
    <w:rsid w:val="008861FC"/>
    <w:pPr>
      <w:numPr>
        <w:numId w:val="8"/>
      </w:numPr>
    </w:pPr>
  </w:style>
  <w:style w:type="numbering" w:customStyle="1" w:styleId="Sources">
    <w:name w:val="Sources"/>
    <w:rsid w:val="008861FC"/>
    <w:pPr>
      <w:numPr>
        <w:numId w:val="7"/>
      </w:numPr>
    </w:pPr>
  </w:style>
  <w:style w:type="numbering" w:styleId="1ai">
    <w:name w:val="Outline List 1"/>
    <w:basedOn w:val="NoList"/>
    <w:uiPriority w:val="99"/>
    <w:semiHidden/>
    <w:unhideWhenUsed/>
    <w:locked/>
    <w:rsid w:val="008861FC"/>
    <w:pPr>
      <w:numPr>
        <w:numId w:val="11"/>
      </w:numPr>
    </w:pPr>
  </w:style>
  <w:style w:type="numbering" w:styleId="111111">
    <w:name w:val="Outline List 2"/>
    <w:basedOn w:val="NoList"/>
    <w:uiPriority w:val="99"/>
    <w:semiHidden/>
    <w:unhideWhenUsed/>
    <w:locked/>
    <w:rsid w:val="008861FC"/>
    <w:pPr>
      <w:numPr>
        <w:numId w:val="10"/>
      </w:numPr>
    </w:pPr>
  </w:style>
  <w:style w:type="numbering" w:customStyle="1" w:styleId="Bullets">
    <w:name w:val="Bullets"/>
    <w:rsid w:val="008861FC"/>
    <w:pPr>
      <w:numPr>
        <w:numId w:val="6"/>
      </w:numPr>
    </w:pPr>
  </w:style>
  <w:style w:type="numbering" w:customStyle="1" w:styleId="Numbers">
    <w:name w:val="Numbers"/>
    <w:rsid w:val="008861FC"/>
    <w:pPr>
      <w:numPr>
        <w:numId w:val="9"/>
      </w:numPr>
    </w:pPr>
  </w:style>
  <w:style w:type="numbering" w:styleId="ArticleSection">
    <w:name w:val="Outline List 3"/>
    <w:basedOn w:val="NoList"/>
    <w:uiPriority w:val="99"/>
    <w:semiHidden/>
    <w:unhideWhenUsed/>
    <w:locked/>
    <w:rsid w:val="008861FC"/>
    <w:pPr>
      <w:numPr>
        <w:numId w:val="12"/>
      </w:numPr>
    </w:pPr>
  </w:style>
  <w:style w:type="paragraph" w:customStyle="1" w:styleId="AppendixHeading1base">
    <w:name w:val="Appendix Heading 1 base"/>
    <w:uiPriority w:val="20"/>
    <w:semiHidden/>
    <w:qFormat/>
    <w:rsid w:val="005C1B4B"/>
    <w:pPr>
      <w:keepNext/>
      <w:pageBreakBefore/>
      <w:numPr>
        <w:numId w:val="15"/>
      </w:numPr>
      <w:tabs>
        <w:tab w:val="left" w:pos="2268"/>
      </w:tabs>
    </w:pPr>
    <w:rPr>
      <w:rFonts w:eastAsiaTheme="majorEastAsia" w:cstheme="majorBidi"/>
      <w:b/>
      <w:bCs/>
      <w:color w:val="00A9CE" w:themeColor="accent1"/>
      <w:sz w:val="44"/>
      <w:szCs w:val="28"/>
    </w:rPr>
  </w:style>
  <w:style w:type="paragraph" w:customStyle="1" w:styleId="AppendixHeading2">
    <w:name w:val="Appendix Heading 2"/>
    <w:basedOn w:val="Heading2"/>
    <w:uiPriority w:val="11"/>
    <w:qFormat/>
    <w:rsid w:val="007738F3"/>
    <w:pPr>
      <w:numPr>
        <w:numId w:val="15"/>
      </w:numPr>
    </w:pPr>
  </w:style>
  <w:style w:type="paragraph" w:customStyle="1" w:styleId="AppendixHeading3">
    <w:name w:val="Appendix Heading 3"/>
    <w:basedOn w:val="Heading3"/>
    <w:uiPriority w:val="11"/>
    <w:qFormat/>
    <w:rsid w:val="00655388"/>
    <w:pPr>
      <w:numPr>
        <w:numId w:val="15"/>
      </w:numPr>
      <w:ind w:left="0" w:firstLine="0"/>
    </w:pPr>
  </w:style>
  <w:style w:type="paragraph" w:customStyle="1" w:styleId="AppendixHeading4">
    <w:name w:val="Appendix Heading 4"/>
    <w:basedOn w:val="Heading4"/>
    <w:uiPriority w:val="11"/>
    <w:qFormat/>
    <w:rsid w:val="00880650"/>
  </w:style>
  <w:style w:type="paragraph" w:customStyle="1" w:styleId="Equation">
    <w:name w:val="Equation"/>
    <w:basedOn w:val="Normal"/>
    <w:next w:val="Normal"/>
    <w:uiPriority w:val="7"/>
    <w:qFormat/>
    <w:rsid w:val="00B93FAF"/>
    <w:pPr>
      <w:tabs>
        <w:tab w:val="right" w:pos="7938"/>
      </w:tabs>
      <w:spacing w:before="284" w:after="284"/>
      <w:ind w:left="567"/>
    </w:pPr>
    <w:rPr>
      <w:rFonts w:asciiTheme="minorHAnsi" w:eastAsia="Times New Roman" w:hAnsiTheme="minorHAnsi"/>
      <w:color w:val="auto"/>
      <w:szCs w:val="24"/>
      <w:lang w:eastAsia="en-US"/>
    </w:rPr>
  </w:style>
  <w:style w:type="paragraph" w:customStyle="1" w:styleId="Reference">
    <w:name w:val="Reference"/>
    <w:basedOn w:val="Normal"/>
    <w:uiPriority w:val="99"/>
    <w:qFormat/>
    <w:rsid w:val="007F16A8"/>
    <w:pPr>
      <w:ind w:left="567" w:hanging="567"/>
    </w:pPr>
  </w:style>
  <w:style w:type="paragraph" w:styleId="ListNumber2">
    <w:name w:val="List Number 2"/>
    <w:basedOn w:val="Normal"/>
    <w:uiPriority w:val="99"/>
    <w:qFormat/>
    <w:locked/>
    <w:rsid w:val="0005371F"/>
    <w:pPr>
      <w:numPr>
        <w:numId w:val="13"/>
      </w:numPr>
      <w:tabs>
        <w:tab w:val="left" w:pos="794"/>
      </w:tabs>
      <w:ind w:left="794" w:hanging="397"/>
      <w:contextualSpacing/>
    </w:pPr>
  </w:style>
  <w:style w:type="character" w:customStyle="1" w:styleId="Italics">
    <w:name w:val="Italics"/>
    <w:basedOn w:val="DefaultParagraphFont"/>
    <w:uiPriority w:val="3"/>
    <w:qFormat/>
    <w:rsid w:val="0005371F"/>
    <w:rPr>
      <w:i/>
    </w:rPr>
  </w:style>
  <w:style w:type="character" w:customStyle="1" w:styleId="BodyTextChar3">
    <w:name w:val="Body Text Char3"/>
    <w:aliases w:val="Char2 Char1,Body Text Char1 Char1,Body Text Char Char Char1,Body Text Char2 Char1,Body Text Char2 Char Char1 Char Char1,Body Text Char1 Char Char Char Char Char1,Body Text Char2 Char Char1 Char Char Char Char Char Char1,block Char1"/>
    <w:basedOn w:val="DefaultParagraphFont"/>
    <w:uiPriority w:val="99"/>
    <w:locked/>
    <w:rsid w:val="00C12CDC"/>
    <w:rPr>
      <w:rFonts w:ascii="Times New Roman" w:eastAsia="Times New Roman" w:hAnsi="Times New Roman" w:cs="Arial"/>
      <w:szCs w:val="28"/>
    </w:rPr>
  </w:style>
  <w:style w:type="paragraph" w:customStyle="1" w:styleId="BodyText1">
    <w:name w:val="Body Text1"/>
    <w:basedOn w:val="Normal"/>
    <w:uiPriority w:val="99"/>
    <w:rsid w:val="00093D9C"/>
    <w:pPr>
      <w:spacing w:after="240" w:line="280" w:lineRule="exact"/>
    </w:pPr>
    <w:rPr>
      <w:rFonts w:ascii="Times New Roman" w:eastAsia="Times New Roman" w:hAnsi="Times New Roman"/>
      <w:color w:val="auto"/>
      <w:kern w:val="28"/>
    </w:rPr>
  </w:style>
  <w:style w:type="character" w:customStyle="1" w:styleId="CaptionChar">
    <w:name w:val="Caption Char"/>
    <w:aliases w:val="Caption Char1 Char,Caption Char Char Char,Char Char Char Char,Char1 Char Char Char Char,Char1 Char Char1 Char,Char1 Char Char Char1 Char,Char1 Char Char Char Char1 Char,Char1 Char Char Char Char Char Char"/>
    <w:basedOn w:val="DefaultParagraphFont"/>
    <w:link w:val="Caption"/>
    <w:uiPriority w:val="99"/>
    <w:locked/>
    <w:rsid w:val="00093D9C"/>
    <w:rPr>
      <w:rFonts w:eastAsia="Calibri"/>
      <w:b/>
      <w:bCs/>
      <w:color w:val="00A9CE" w:themeColor="accent1"/>
      <w:sz w:val="20"/>
      <w:szCs w:val="18"/>
    </w:rPr>
  </w:style>
  <w:style w:type="paragraph" w:styleId="ListParagraph">
    <w:name w:val="List Paragraph"/>
    <w:basedOn w:val="Normal"/>
    <w:link w:val="ListParagraphChar"/>
    <w:uiPriority w:val="99"/>
    <w:qFormat/>
    <w:rsid w:val="00093D9C"/>
    <w:pPr>
      <w:spacing w:after="0"/>
      <w:ind w:left="720"/>
      <w:contextualSpacing/>
    </w:pPr>
    <w:rPr>
      <w:rFonts w:ascii="Times New Roman" w:eastAsia="Times New Roman" w:hAnsi="Times New Roman"/>
      <w:color w:val="auto"/>
    </w:rPr>
  </w:style>
  <w:style w:type="paragraph" w:customStyle="1" w:styleId="Tablebody">
    <w:name w:val="Table body"/>
    <w:link w:val="TablebodyChar"/>
    <w:uiPriority w:val="99"/>
    <w:rsid w:val="00093D9C"/>
    <w:pPr>
      <w:spacing w:before="40" w:after="40" w:line="200" w:lineRule="exact"/>
    </w:pPr>
    <w:rPr>
      <w:rFonts w:ascii="Arial" w:eastAsia="Times New Roman" w:hAnsi="Arial"/>
      <w:color w:val="000000"/>
      <w:sz w:val="16"/>
      <w:szCs w:val="24"/>
      <w:lang w:eastAsia="en-US"/>
    </w:rPr>
  </w:style>
  <w:style w:type="paragraph" w:customStyle="1" w:styleId="Tablecolumnheadings">
    <w:name w:val="Table column headings"/>
    <w:uiPriority w:val="99"/>
    <w:rsid w:val="00093D9C"/>
    <w:pPr>
      <w:spacing w:before="60" w:after="60" w:line="220" w:lineRule="exact"/>
    </w:pPr>
    <w:rPr>
      <w:rFonts w:ascii="Arial" w:eastAsia="Times New Roman" w:hAnsi="Arial"/>
      <w:color w:val="17365D"/>
      <w:sz w:val="16"/>
      <w:szCs w:val="16"/>
      <w:lang w:eastAsia="en-US"/>
    </w:rPr>
  </w:style>
  <w:style w:type="character" w:customStyle="1" w:styleId="TablebodyChar">
    <w:name w:val="Table body Char"/>
    <w:basedOn w:val="DefaultParagraphFont"/>
    <w:link w:val="Tablebody"/>
    <w:uiPriority w:val="99"/>
    <w:locked/>
    <w:rsid w:val="00093D9C"/>
    <w:rPr>
      <w:rFonts w:ascii="Arial" w:eastAsia="Times New Roman" w:hAnsi="Arial"/>
      <w:color w:val="000000"/>
      <w:sz w:val="16"/>
      <w:szCs w:val="24"/>
      <w:lang w:eastAsia="en-US"/>
    </w:rPr>
  </w:style>
  <w:style w:type="paragraph" w:customStyle="1" w:styleId="ScheduleHeading">
    <w:name w:val="Schedule Heading"/>
    <w:next w:val="ScheduleLevel1"/>
    <w:rsid w:val="002451A8"/>
    <w:pPr>
      <w:keepNext/>
      <w:pageBreakBefore/>
      <w:numPr>
        <w:numId w:val="17"/>
      </w:numPr>
      <w:shd w:val="clear" w:color="auto" w:fill="000000"/>
      <w:spacing w:after="140" w:line="280" w:lineRule="atLeast"/>
      <w:outlineLvl w:val="0"/>
    </w:pPr>
    <w:rPr>
      <w:rFonts w:ascii="Arial" w:eastAsia="Times New Roman" w:hAnsi="Arial" w:cs="Arial"/>
      <w:b/>
      <w:caps/>
      <w:sz w:val="20"/>
      <w:szCs w:val="20"/>
      <w:lang w:val="en-US"/>
    </w:rPr>
  </w:style>
  <w:style w:type="paragraph" w:customStyle="1" w:styleId="ScheduleLevel1">
    <w:name w:val="Schedule Level 1"/>
    <w:next w:val="ScheduleLevel2"/>
    <w:rsid w:val="002451A8"/>
    <w:pPr>
      <w:keepNext/>
      <w:numPr>
        <w:ilvl w:val="1"/>
        <w:numId w:val="17"/>
      </w:numPr>
      <w:pBdr>
        <w:bottom w:val="single" w:sz="2" w:space="1" w:color="auto"/>
      </w:pBdr>
      <w:spacing w:before="200" w:line="280" w:lineRule="atLeast"/>
      <w:outlineLvl w:val="1"/>
    </w:pPr>
    <w:rPr>
      <w:rFonts w:ascii="Arial" w:eastAsia="Times New Roman" w:hAnsi="Arial" w:cs="Arial"/>
      <w:b/>
      <w:lang w:val="en-US"/>
    </w:rPr>
  </w:style>
  <w:style w:type="paragraph" w:customStyle="1" w:styleId="ScheduleLevel2">
    <w:name w:val="Schedule Level 2"/>
    <w:next w:val="ScheduleLevel3"/>
    <w:rsid w:val="002451A8"/>
    <w:pPr>
      <w:numPr>
        <w:ilvl w:val="2"/>
        <w:numId w:val="17"/>
      </w:numPr>
      <w:spacing w:before="200" w:line="280" w:lineRule="atLeast"/>
      <w:outlineLvl w:val="2"/>
    </w:pPr>
    <w:rPr>
      <w:rFonts w:ascii="Arial" w:eastAsia="Times New Roman" w:hAnsi="Arial" w:cs="Arial"/>
      <w:b/>
      <w:lang w:val="en-US"/>
    </w:rPr>
  </w:style>
  <w:style w:type="paragraph" w:customStyle="1" w:styleId="ScheduleLevel3">
    <w:name w:val="Schedule Level 3"/>
    <w:rsid w:val="002451A8"/>
    <w:pPr>
      <w:numPr>
        <w:ilvl w:val="3"/>
        <w:numId w:val="17"/>
      </w:numPr>
      <w:spacing w:before="140" w:after="140" w:line="280" w:lineRule="atLeast"/>
    </w:pPr>
    <w:rPr>
      <w:rFonts w:ascii="Arial" w:eastAsia="Times New Roman" w:hAnsi="Arial" w:cs="Arial"/>
      <w:lang w:val="en-US"/>
    </w:rPr>
  </w:style>
  <w:style w:type="paragraph" w:customStyle="1" w:styleId="ScheduleLevel4">
    <w:name w:val="Schedule Level 4"/>
    <w:rsid w:val="002451A8"/>
    <w:pPr>
      <w:numPr>
        <w:ilvl w:val="4"/>
        <w:numId w:val="17"/>
      </w:numPr>
      <w:spacing w:after="140" w:line="280" w:lineRule="atLeast"/>
    </w:pPr>
    <w:rPr>
      <w:rFonts w:ascii="Arial" w:eastAsia="Times New Roman" w:hAnsi="Arial" w:cs="Arial"/>
      <w:lang w:val="en-US"/>
    </w:rPr>
  </w:style>
  <w:style w:type="paragraph" w:customStyle="1" w:styleId="ScheduleLevel5">
    <w:name w:val="Schedule Level 5"/>
    <w:rsid w:val="002451A8"/>
    <w:pPr>
      <w:numPr>
        <w:ilvl w:val="5"/>
        <w:numId w:val="17"/>
      </w:numPr>
      <w:spacing w:after="140" w:line="280" w:lineRule="atLeast"/>
    </w:pPr>
    <w:rPr>
      <w:rFonts w:ascii="Arial" w:eastAsia="Times New Roman" w:hAnsi="Arial" w:cs="Arial"/>
      <w:lang w:val="en-US"/>
    </w:rPr>
  </w:style>
  <w:style w:type="paragraph" w:customStyle="1" w:styleId="ScheduleLevel6">
    <w:name w:val="Schedule Level 6"/>
    <w:rsid w:val="002451A8"/>
    <w:pPr>
      <w:numPr>
        <w:ilvl w:val="6"/>
        <w:numId w:val="17"/>
      </w:numPr>
      <w:spacing w:after="140" w:line="280" w:lineRule="atLeast"/>
    </w:pPr>
    <w:rPr>
      <w:rFonts w:ascii="Arial" w:eastAsia="Times New Roman" w:hAnsi="Arial" w:cs="Arial"/>
      <w:lang w:val="en-US"/>
    </w:rPr>
  </w:style>
  <w:style w:type="character" w:customStyle="1" w:styleId="ListParagraphChar">
    <w:name w:val="List Paragraph Char"/>
    <w:basedOn w:val="DefaultParagraphFont"/>
    <w:link w:val="ListParagraph"/>
    <w:uiPriority w:val="34"/>
    <w:locked/>
    <w:rsid w:val="002451A8"/>
    <w:rPr>
      <w:rFonts w:ascii="Times New Roman" w:eastAsia="Times New Roman" w:hAnsi="Times New Roman"/>
    </w:rPr>
  </w:style>
  <w:style w:type="table" w:customStyle="1" w:styleId="LightList-Accent11">
    <w:name w:val="Light List - Accent 11"/>
    <w:basedOn w:val="TableNormal"/>
    <w:uiPriority w:val="99"/>
    <w:rsid w:val="00A144CE"/>
    <w:rPr>
      <w:rFonts w:asciiTheme="minorHAnsi" w:hAnsiTheme="minorHAnsi" w:cstheme="minorBidi"/>
      <w:lang w:eastAsia="en-US"/>
    </w:rPr>
    <w:tblPr>
      <w:tblStyleRowBandSize w:val="1"/>
      <w:tblStyleColBandSize w:val="1"/>
      <w:tblInd w:w="0" w:type="dxa"/>
      <w:tblBorders>
        <w:top w:val="single" w:sz="8" w:space="0" w:color="00A9CE" w:themeColor="accent1"/>
        <w:left w:val="single" w:sz="8" w:space="0" w:color="00A9CE" w:themeColor="accent1"/>
        <w:bottom w:val="single" w:sz="8" w:space="0" w:color="00A9CE" w:themeColor="accent1"/>
        <w:right w:val="single" w:sz="8" w:space="0" w:color="00A9CE" w:themeColor="accent1"/>
      </w:tblBorders>
      <w:tblCellMar>
        <w:top w:w="0" w:type="dxa"/>
        <w:left w:w="108" w:type="dxa"/>
        <w:bottom w:w="0" w:type="dxa"/>
        <w:right w:w="108" w:type="dxa"/>
      </w:tblCellMar>
    </w:tblPr>
    <w:tblStylePr w:type="firstRow">
      <w:pPr>
        <w:spacing w:before="0" w:after="0" w:line="240" w:lineRule="auto"/>
      </w:pPr>
      <w:rPr>
        <w:b/>
        <w:bCs/>
        <w:color w:val="FBFEFF" w:themeColor="background1"/>
      </w:rPr>
      <w:tblPr/>
      <w:tcPr>
        <w:shd w:val="clear" w:color="auto" w:fill="00A9CE" w:themeFill="accent1"/>
      </w:tcPr>
    </w:tblStylePr>
    <w:tblStylePr w:type="lastRow">
      <w:pPr>
        <w:spacing w:before="0" w:after="0" w:line="240" w:lineRule="auto"/>
      </w:pPr>
      <w:rPr>
        <w:b/>
        <w:bCs/>
      </w:rPr>
      <w:tblPr/>
      <w:tcPr>
        <w:tcBorders>
          <w:top w:val="double" w:sz="6" w:space="0" w:color="00A9CE" w:themeColor="accent1"/>
          <w:left w:val="single" w:sz="8" w:space="0" w:color="00A9CE" w:themeColor="accent1"/>
          <w:bottom w:val="single" w:sz="8" w:space="0" w:color="00A9CE" w:themeColor="accent1"/>
          <w:right w:val="single" w:sz="8" w:space="0" w:color="00A9CE" w:themeColor="accent1"/>
        </w:tcBorders>
      </w:tcPr>
    </w:tblStylePr>
    <w:tblStylePr w:type="firstCol">
      <w:rPr>
        <w:b/>
        <w:bCs/>
      </w:rPr>
    </w:tblStylePr>
    <w:tblStylePr w:type="lastCol">
      <w:rPr>
        <w:b/>
        <w:bCs/>
      </w:rPr>
    </w:tblStylePr>
    <w:tblStylePr w:type="band1Vert">
      <w:tblPr/>
      <w:tcPr>
        <w:tcBorders>
          <w:top w:val="single" w:sz="8" w:space="0" w:color="00A9CE" w:themeColor="accent1"/>
          <w:left w:val="single" w:sz="8" w:space="0" w:color="00A9CE" w:themeColor="accent1"/>
          <w:bottom w:val="single" w:sz="8" w:space="0" w:color="00A9CE" w:themeColor="accent1"/>
          <w:right w:val="single" w:sz="8" w:space="0" w:color="00A9CE" w:themeColor="accent1"/>
        </w:tcBorders>
      </w:tcPr>
    </w:tblStylePr>
    <w:tblStylePr w:type="band1Horz">
      <w:tblPr/>
      <w:tcPr>
        <w:tcBorders>
          <w:top w:val="single" w:sz="8" w:space="0" w:color="00A9CE" w:themeColor="accent1"/>
          <w:left w:val="single" w:sz="8" w:space="0" w:color="00A9CE" w:themeColor="accent1"/>
          <w:bottom w:val="single" w:sz="8" w:space="0" w:color="00A9CE" w:themeColor="accent1"/>
          <w:right w:val="single" w:sz="8" w:space="0" w:color="00A9CE" w:themeColor="accent1"/>
        </w:tcBorders>
      </w:tcPr>
    </w:tblStylePr>
  </w:style>
  <w:style w:type="paragraph" w:customStyle="1" w:styleId="TableColumnHeadingLeft">
    <w:name w:val="Table Column Heading Left"/>
    <w:basedOn w:val="Normal"/>
    <w:rsid w:val="00580BC8"/>
    <w:pPr>
      <w:spacing w:before="40" w:after="40"/>
    </w:pPr>
    <w:rPr>
      <w:rFonts w:ascii="Arial" w:eastAsia="Times New Roman" w:hAnsi="Arial"/>
      <w:b/>
      <w:sz w:val="16"/>
      <w:szCs w:val="16"/>
    </w:rPr>
  </w:style>
  <w:style w:type="paragraph" w:customStyle="1" w:styleId="TableTextLeft">
    <w:name w:val="Table Text Left"/>
    <w:basedOn w:val="Normal"/>
    <w:link w:val="TableTextLeftChar"/>
    <w:rsid w:val="00580BC8"/>
    <w:pPr>
      <w:spacing w:before="40" w:after="40"/>
    </w:pPr>
    <w:rPr>
      <w:rFonts w:ascii="Arial" w:eastAsia="Times New Roman" w:hAnsi="Arial"/>
      <w:sz w:val="16"/>
      <w:szCs w:val="16"/>
    </w:rPr>
  </w:style>
  <w:style w:type="character" w:customStyle="1" w:styleId="TableTextLeftChar">
    <w:name w:val="Table Text Left Char"/>
    <w:link w:val="TableTextLeft"/>
    <w:rsid w:val="00580BC8"/>
    <w:rPr>
      <w:rFonts w:ascii="Arial" w:eastAsia="Times New Roman" w:hAnsi="Arial"/>
      <w:color w:val="000000"/>
      <w:sz w:val="16"/>
      <w:szCs w:val="16"/>
    </w:rPr>
  </w:style>
  <w:style w:type="table" w:styleId="LightList-Accent5">
    <w:name w:val="Light List Accent 5"/>
    <w:basedOn w:val="TableNormal"/>
    <w:uiPriority w:val="99"/>
    <w:rsid w:val="00580BC8"/>
    <w:tblPr>
      <w:tblStyleRowBandSize w:val="1"/>
      <w:tblStyleColBandSize w:val="1"/>
      <w:tblInd w:w="0" w:type="dxa"/>
      <w:tblBorders>
        <w:top w:val="single" w:sz="8" w:space="0" w:color="9FAEE5" w:themeColor="accent5"/>
        <w:left w:val="single" w:sz="8" w:space="0" w:color="9FAEE5" w:themeColor="accent5"/>
        <w:bottom w:val="single" w:sz="8" w:space="0" w:color="9FAEE5" w:themeColor="accent5"/>
        <w:right w:val="single" w:sz="8" w:space="0" w:color="9FAEE5" w:themeColor="accent5"/>
      </w:tblBorders>
      <w:tblCellMar>
        <w:top w:w="0" w:type="dxa"/>
        <w:left w:w="108" w:type="dxa"/>
        <w:bottom w:w="0" w:type="dxa"/>
        <w:right w:w="108" w:type="dxa"/>
      </w:tblCellMar>
    </w:tblPr>
    <w:tblStylePr w:type="firstRow">
      <w:pPr>
        <w:spacing w:before="0" w:after="0" w:line="240" w:lineRule="auto"/>
      </w:pPr>
      <w:rPr>
        <w:b/>
        <w:bCs/>
        <w:color w:val="FBFEFF" w:themeColor="background1"/>
      </w:rPr>
      <w:tblPr/>
      <w:tcPr>
        <w:shd w:val="clear" w:color="auto" w:fill="9FAEE5" w:themeFill="accent5"/>
      </w:tcPr>
    </w:tblStylePr>
    <w:tblStylePr w:type="lastRow">
      <w:pPr>
        <w:spacing w:before="0" w:after="0" w:line="240" w:lineRule="auto"/>
      </w:pPr>
      <w:rPr>
        <w:b/>
        <w:bCs/>
      </w:rPr>
      <w:tblPr/>
      <w:tcPr>
        <w:tcBorders>
          <w:top w:val="double" w:sz="6" w:space="0" w:color="9FAEE5" w:themeColor="accent5"/>
          <w:left w:val="single" w:sz="8" w:space="0" w:color="9FAEE5" w:themeColor="accent5"/>
          <w:bottom w:val="single" w:sz="8" w:space="0" w:color="9FAEE5" w:themeColor="accent5"/>
          <w:right w:val="single" w:sz="8" w:space="0" w:color="9FAEE5" w:themeColor="accent5"/>
        </w:tcBorders>
      </w:tcPr>
    </w:tblStylePr>
    <w:tblStylePr w:type="firstCol">
      <w:rPr>
        <w:b/>
        <w:bCs/>
      </w:rPr>
    </w:tblStylePr>
    <w:tblStylePr w:type="lastCol">
      <w:rPr>
        <w:b/>
        <w:bCs/>
      </w:rPr>
    </w:tblStylePr>
    <w:tblStylePr w:type="band1Vert">
      <w:tblPr/>
      <w:tcPr>
        <w:tcBorders>
          <w:top w:val="single" w:sz="8" w:space="0" w:color="9FAEE5" w:themeColor="accent5"/>
          <w:left w:val="single" w:sz="8" w:space="0" w:color="9FAEE5" w:themeColor="accent5"/>
          <w:bottom w:val="single" w:sz="8" w:space="0" w:color="9FAEE5" w:themeColor="accent5"/>
          <w:right w:val="single" w:sz="8" w:space="0" w:color="9FAEE5" w:themeColor="accent5"/>
        </w:tcBorders>
      </w:tcPr>
    </w:tblStylePr>
    <w:tblStylePr w:type="band1Horz">
      <w:tblPr/>
      <w:tcPr>
        <w:tcBorders>
          <w:top w:val="single" w:sz="8" w:space="0" w:color="9FAEE5" w:themeColor="accent5"/>
          <w:left w:val="single" w:sz="8" w:space="0" w:color="9FAEE5" w:themeColor="accent5"/>
          <w:bottom w:val="single" w:sz="8" w:space="0" w:color="9FAEE5" w:themeColor="accent5"/>
          <w:right w:val="single" w:sz="8" w:space="0" w:color="9FAEE5" w:themeColor="accent5"/>
        </w:tcBorders>
      </w:tcPr>
    </w:tblStylePr>
  </w:style>
  <w:style w:type="character" w:customStyle="1" w:styleId="BulletChar">
    <w:name w:val="Bullet Char"/>
    <w:basedOn w:val="DefaultParagraphFont"/>
    <w:link w:val="Bullet"/>
    <w:locked/>
    <w:rsid w:val="009A210A"/>
    <w:rPr>
      <w:rFonts w:ascii="Garamond" w:hAnsi="Garamond"/>
      <w:color w:val="000000"/>
    </w:rPr>
  </w:style>
  <w:style w:type="paragraph" w:customStyle="1" w:styleId="Bullet">
    <w:name w:val="Bullet"/>
    <w:basedOn w:val="Normal"/>
    <w:link w:val="BulletChar"/>
    <w:rsid w:val="009A210A"/>
    <w:pPr>
      <w:numPr>
        <w:numId w:val="19"/>
      </w:numPr>
      <w:spacing w:after="240" w:line="280" w:lineRule="exact"/>
      <w:jc w:val="both"/>
    </w:pPr>
    <w:rPr>
      <w:rFonts w:ascii="Garamond" w:eastAsiaTheme="minorHAnsi" w:hAnsi="Garamond"/>
    </w:rPr>
  </w:style>
  <w:style w:type="paragraph" w:customStyle="1" w:styleId="Dash">
    <w:name w:val="Dash"/>
    <w:basedOn w:val="Normal"/>
    <w:rsid w:val="009A210A"/>
    <w:pPr>
      <w:numPr>
        <w:ilvl w:val="1"/>
        <w:numId w:val="19"/>
      </w:numPr>
      <w:spacing w:after="240" w:line="280" w:lineRule="exact"/>
      <w:jc w:val="both"/>
    </w:pPr>
    <w:rPr>
      <w:rFonts w:ascii="Garamond" w:eastAsiaTheme="minorHAnsi" w:hAnsi="Garamond"/>
      <w:sz w:val="24"/>
      <w:szCs w:val="24"/>
    </w:rPr>
  </w:style>
  <w:style w:type="paragraph" w:customStyle="1" w:styleId="DoubleDot">
    <w:name w:val="Double Dot"/>
    <w:basedOn w:val="Normal"/>
    <w:rsid w:val="009A210A"/>
    <w:pPr>
      <w:numPr>
        <w:ilvl w:val="2"/>
        <w:numId w:val="19"/>
      </w:numPr>
      <w:spacing w:after="240" w:line="280" w:lineRule="exact"/>
      <w:jc w:val="both"/>
    </w:pPr>
    <w:rPr>
      <w:rFonts w:ascii="Garamond" w:eastAsiaTheme="minorHAnsi" w:hAnsi="Garamond"/>
      <w:sz w:val="24"/>
      <w:szCs w:val="24"/>
    </w:rPr>
  </w:style>
  <w:style w:type="paragraph" w:customStyle="1" w:styleId="Default">
    <w:name w:val="Default"/>
    <w:uiPriority w:val="99"/>
    <w:rsid w:val="00637DAC"/>
    <w:pPr>
      <w:autoSpaceDE w:val="0"/>
      <w:autoSpaceDN w:val="0"/>
      <w:adjustRightInd w:val="0"/>
    </w:pPr>
    <w:rPr>
      <w:rFonts w:ascii="Times New Roman" w:hAnsi="Times New Roman"/>
      <w:color w:val="000000"/>
      <w:sz w:val="24"/>
      <w:szCs w:val="24"/>
    </w:rPr>
  </w:style>
  <w:style w:type="table" w:customStyle="1" w:styleId="LightList-Accent12">
    <w:name w:val="Light List - Accent 12"/>
    <w:basedOn w:val="TableNormal"/>
    <w:uiPriority w:val="61"/>
    <w:rsid w:val="001A6556"/>
    <w:tblPr>
      <w:tblStyleRowBandSize w:val="1"/>
      <w:tblStyleColBandSize w:val="1"/>
      <w:tblInd w:w="0" w:type="dxa"/>
      <w:tblBorders>
        <w:top w:val="single" w:sz="8" w:space="0" w:color="00A9CE" w:themeColor="accent1"/>
        <w:left w:val="single" w:sz="8" w:space="0" w:color="00A9CE" w:themeColor="accent1"/>
        <w:bottom w:val="single" w:sz="8" w:space="0" w:color="00A9CE" w:themeColor="accent1"/>
        <w:right w:val="single" w:sz="8" w:space="0" w:color="00A9CE" w:themeColor="accent1"/>
      </w:tblBorders>
      <w:tblCellMar>
        <w:top w:w="0" w:type="dxa"/>
        <w:left w:w="108" w:type="dxa"/>
        <w:bottom w:w="0" w:type="dxa"/>
        <w:right w:w="108" w:type="dxa"/>
      </w:tblCellMar>
    </w:tblPr>
    <w:tblStylePr w:type="firstRow">
      <w:pPr>
        <w:spacing w:before="0" w:after="0" w:line="240" w:lineRule="auto"/>
      </w:pPr>
      <w:rPr>
        <w:b/>
        <w:bCs/>
        <w:color w:val="FBFEFF" w:themeColor="background1"/>
      </w:rPr>
      <w:tblPr/>
      <w:tcPr>
        <w:shd w:val="clear" w:color="auto" w:fill="00A9CE" w:themeFill="accent1"/>
      </w:tcPr>
    </w:tblStylePr>
    <w:tblStylePr w:type="lastRow">
      <w:pPr>
        <w:spacing w:before="0" w:after="0" w:line="240" w:lineRule="auto"/>
      </w:pPr>
      <w:rPr>
        <w:b/>
        <w:bCs/>
      </w:rPr>
      <w:tblPr/>
      <w:tcPr>
        <w:tcBorders>
          <w:top w:val="double" w:sz="6" w:space="0" w:color="00A9CE" w:themeColor="accent1"/>
          <w:left w:val="single" w:sz="8" w:space="0" w:color="00A9CE" w:themeColor="accent1"/>
          <w:bottom w:val="single" w:sz="8" w:space="0" w:color="00A9CE" w:themeColor="accent1"/>
          <w:right w:val="single" w:sz="8" w:space="0" w:color="00A9CE" w:themeColor="accent1"/>
        </w:tcBorders>
      </w:tcPr>
    </w:tblStylePr>
    <w:tblStylePr w:type="firstCol">
      <w:rPr>
        <w:b/>
        <w:bCs/>
      </w:rPr>
    </w:tblStylePr>
    <w:tblStylePr w:type="lastCol">
      <w:rPr>
        <w:b/>
        <w:bCs/>
      </w:rPr>
    </w:tblStylePr>
    <w:tblStylePr w:type="band1Vert">
      <w:tblPr/>
      <w:tcPr>
        <w:tcBorders>
          <w:top w:val="single" w:sz="8" w:space="0" w:color="00A9CE" w:themeColor="accent1"/>
          <w:left w:val="single" w:sz="8" w:space="0" w:color="00A9CE" w:themeColor="accent1"/>
          <w:bottom w:val="single" w:sz="8" w:space="0" w:color="00A9CE" w:themeColor="accent1"/>
          <w:right w:val="single" w:sz="8" w:space="0" w:color="00A9CE" w:themeColor="accent1"/>
        </w:tcBorders>
      </w:tcPr>
    </w:tblStylePr>
    <w:tblStylePr w:type="band1Horz">
      <w:tblPr/>
      <w:tcPr>
        <w:tcBorders>
          <w:top w:val="single" w:sz="8" w:space="0" w:color="00A9CE" w:themeColor="accent1"/>
          <w:left w:val="single" w:sz="8" w:space="0" w:color="00A9CE" w:themeColor="accent1"/>
          <w:bottom w:val="single" w:sz="8" w:space="0" w:color="00A9CE" w:themeColor="accent1"/>
          <w:right w:val="single" w:sz="8" w:space="0" w:color="00A9CE" w:themeColor="accent1"/>
        </w:tcBorders>
      </w:tcPr>
    </w:tblStylePr>
  </w:style>
  <w:style w:type="paragraph" w:customStyle="1" w:styleId="Author">
    <w:name w:val="Author"/>
    <w:basedOn w:val="Normal"/>
    <w:uiPriority w:val="99"/>
    <w:semiHidden/>
    <w:rsid w:val="00300092"/>
    <w:pPr>
      <w:spacing w:after="0" w:line="500" w:lineRule="atLeast"/>
      <w:ind w:right="6"/>
    </w:pPr>
    <w:rPr>
      <w:rFonts w:ascii="Arial" w:eastAsia="Times New Roman" w:hAnsi="Arial"/>
      <w:color w:val="auto"/>
    </w:rPr>
  </w:style>
  <w:style w:type="paragraph" w:styleId="Title">
    <w:name w:val="Title"/>
    <w:aliases w:val="Report Title"/>
    <w:basedOn w:val="Normal"/>
    <w:link w:val="TitleChar"/>
    <w:uiPriority w:val="99"/>
    <w:qFormat/>
    <w:rsid w:val="00300092"/>
    <w:pPr>
      <w:spacing w:after="360" w:line="500" w:lineRule="atLeast"/>
      <w:ind w:right="142"/>
      <w:jc w:val="right"/>
    </w:pPr>
    <w:rPr>
      <w:rFonts w:ascii="Arial" w:eastAsia="Times New Roman" w:hAnsi="Arial"/>
      <w:b/>
      <w:caps/>
      <w:color w:val="auto"/>
    </w:rPr>
  </w:style>
  <w:style w:type="character" w:customStyle="1" w:styleId="TitleChar">
    <w:name w:val="Title Char"/>
    <w:aliases w:val="Report Title Char"/>
    <w:basedOn w:val="DefaultParagraphFont"/>
    <w:link w:val="Title"/>
    <w:uiPriority w:val="99"/>
    <w:rsid w:val="00300092"/>
    <w:rPr>
      <w:rFonts w:ascii="Arial" w:eastAsia="Times New Roman" w:hAnsi="Arial"/>
      <w:b/>
      <w:caps/>
    </w:rPr>
  </w:style>
  <w:style w:type="paragraph" w:customStyle="1" w:styleId="Logo">
    <w:name w:val="Logo"/>
    <w:basedOn w:val="Normal"/>
    <w:uiPriority w:val="99"/>
    <w:semiHidden/>
    <w:rsid w:val="00300092"/>
    <w:pPr>
      <w:spacing w:after="0"/>
      <w:jc w:val="right"/>
    </w:pPr>
    <w:rPr>
      <w:rFonts w:ascii="New York" w:eastAsia="Times New Roman" w:hAnsi="New York"/>
      <w:color w:val="auto"/>
      <w:sz w:val="24"/>
    </w:rPr>
  </w:style>
  <w:style w:type="paragraph" w:customStyle="1" w:styleId="BodyText20">
    <w:name w:val="Body Text2"/>
    <w:basedOn w:val="Normal"/>
    <w:uiPriority w:val="99"/>
    <w:rsid w:val="00300092"/>
    <w:pPr>
      <w:spacing w:after="240" w:line="280" w:lineRule="exact"/>
    </w:pPr>
    <w:rPr>
      <w:rFonts w:ascii="Times New Roman" w:eastAsia="Times New Roman" w:hAnsi="Times New Roman"/>
      <w:color w:val="auto"/>
      <w:kern w:val="28"/>
    </w:rPr>
  </w:style>
  <w:style w:type="paragraph" w:customStyle="1" w:styleId="Dot1">
    <w:name w:val="Dot 1"/>
    <w:basedOn w:val="BodyText20"/>
    <w:uiPriority w:val="99"/>
    <w:semiHidden/>
    <w:rsid w:val="00300092"/>
    <w:pPr>
      <w:numPr>
        <w:numId w:val="26"/>
      </w:numPr>
      <w:tabs>
        <w:tab w:val="left" w:pos="360"/>
      </w:tabs>
      <w:spacing w:after="160"/>
      <w:ind w:left="357" w:hanging="357"/>
    </w:pPr>
  </w:style>
  <w:style w:type="paragraph" w:customStyle="1" w:styleId="Dot2">
    <w:name w:val="Dot 2"/>
    <w:basedOn w:val="Dot1"/>
    <w:uiPriority w:val="99"/>
    <w:semiHidden/>
    <w:rsid w:val="00300092"/>
    <w:pPr>
      <w:tabs>
        <w:tab w:val="clear" w:pos="360"/>
        <w:tab w:val="left" w:pos="709"/>
      </w:tabs>
      <w:ind w:left="714"/>
    </w:pPr>
  </w:style>
  <w:style w:type="character" w:customStyle="1" w:styleId="Red">
    <w:name w:val="Red"/>
    <w:basedOn w:val="DefaultParagraphFont"/>
    <w:uiPriority w:val="99"/>
    <w:rsid w:val="00300092"/>
    <w:rPr>
      <w:rFonts w:ascii="Arial" w:hAnsi="Arial" w:cs="Times New Roman"/>
      <w:color w:val="FF0000"/>
      <w:sz w:val="20"/>
    </w:rPr>
  </w:style>
  <w:style w:type="paragraph" w:customStyle="1" w:styleId="TableHeading">
    <w:name w:val="Table Heading"/>
    <w:basedOn w:val="Normal"/>
    <w:next w:val="BodyText20"/>
    <w:uiPriority w:val="99"/>
    <w:semiHidden/>
    <w:rsid w:val="00300092"/>
    <w:pPr>
      <w:spacing w:after="240" w:line="280" w:lineRule="atLeast"/>
    </w:pPr>
    <w:rPr>
      <w:rFonts w:ascii="Arial" w:eastAsia="Times New Roman" w:hAnsi="Arial" w:cs="Arial"/>
      <w:b/>
      <w:color w:val="auto"/>
    </w:rPr>
  </w:style>
  <w:style w:type="paragraph" w:customStyle="1" w:styleId="TableText0">
    <w:name w:val="Table Text"/>
    <w:basedOn w:val="Normal"/>
    <w:uiPriority w:val="99"/>
    <w:rsid w:val="00300092"/>
    <w:pPr>
      <w:spacing w:before="100" w:after="40" w:line="240" w:lineRule="atLeast"/>
    </w:pPr>
    <w:rPr>
      <w:rFonts w:ascii="Times New Roman" w:eastAsia="Times New Roman" w:hAnsi="Times New Roman"/>
      <w:color w:val="auto"/>
    </w:rPr>
  </w:style>
  <w:style w:type="paragraph" w:customStyle="1" w:styleId="Style1">
    <w:name w:val="Style1"/>
    <w:basedOn w:val="Caption"/>
    <w:uiPriority w:val="99"/>
    <w:semiHidden/>
    <w:rsid w:val="00300092"/>
    <w:pPr>
      <w:keepNext w:val="0"/>
      <w:spacing w:before="120" w:after="240" w:line="240" w:lineRule="atLeast"/>
    </w:pPr>
    <w:rPr>
      <w:rFonts w:ascii="Arial" w:eastAsia="Times New Roman" w:hAnsi="Arial"/>
      <w:b w:val="0"/>
      <w:color w:val="auto"/>
      <w:sz w:val="18"/>
    </w:rPr>
  </w:style>
  <w:style w:type="paragraph" w:customStyle="1" w:styleId="NumberedList">
    <w:name w:val="Numbered List"/>
    <w:basedOn w:val="BodyText20"/>
    <w:uiPriority w:val="99"/>
    <w:rsid w:val="00300092"/>
    <w:pPr>
      <w:numPr>
        <w:numId w:val="27"/>
      </w:numPr>
      <w:spacing w:line="280" w:lineRule="atLeast"/>
    </w:pPr>
  </w:style>
  <w:style w:type="paragraph" w:customStyle="1" w:styleId="Appendix">
    <w:name w:val="Appendix"/>
    <w:basedOn w:val="Heading1"/>
    <w:next w:val="BodyText20"/>
    <w:uiPriority w:val="99"/>
    <w:rsid w:val="00300092"/>
    <w:pPr>
      <w:keepLines w:val="0"/>
      <w:pageBreakBefore w:val="0"/>
      <w:numPr>
        <w:numId w:val="0"/>
      </w:numPr>
      <w:suppressAutoHyphens/>
      <w:spacing w:before="360" w:after="240" w:line="240" w:lineRule="auto"/>
    </w:pPr>
    <w:rPr>
      <w:rFonts w:ascii="Arial" w:eastAsia="Times New Roman" w:hAnsi="Arial" w:cs="Arial"/>
      <w:bCs w:val="0"/>
      <w:caps/>
      <w:color w:val="auto"/>
      <w:sz w:val="28"/>
    </w:rPr>
  </w:style>
  <w:style w:type="paragraph" w:customStyle="1" w:styleId="indent">
    <w:name w:val="indent"/>
    <w:basedOn w:val="BodyText20"/>
    <w:next w:val="Normal"/>
    <w:uiPriority w:val="99"/>
    <w:semiHidden/>
    <w:rsid w:val="00300092"/>
    <w:pPr>
      <w:ind w:left="709"/>
    </w:pPr>
  </w:style>
  <w:style w:type="character" w:customStyle="1" w:styleId="bold">
    <w:name w:val="bold"/>
    <w:basedOn w:val="DefaultParagraphFont"/>
    <w:uiPriority w:val="99"/>
    <w:semiHidden/>
    <w:rsid w:val="00300092"/>
    <w:rPr>
      <w:rFonts w:cs="Times New Roman"/>
      <w:b/>
    </w:rPr>
  </w:style>
  <w:style w:type="paragraph" w:customStyle="1" w:styleId="t">
    <w:name w:val="t"/>
    <w:basedOn w:val="Normal"/>
    <w:uiPriority w:val="99"/>
    <w:semiHidden/>
    <w:rsid w:val="00300092"/>
    <w:pPr>
      <w:spacing w:before="100" w:beforeAutospacing="1" w:after="100" w:afterAutospacing="1"/>
    </w:pPr>
    <w:rPr>
      <w:rFonts w:ascii="Times New Roman" w:eastAsia="Times New Roman" w:hAnsi="Times New Roman"/>
      <w:color w:val="auto"/>
      <w:sz w:val="24"/>
      <w:szCs w:val="24"/>
    </w:rPr>
  </w:style>
  <w:style w:type="character" w:customStyle="1" w:styleId="italic">
    <w:name w:val="italic"/>
    <w:basedOn w:val="DefaultParagraphFont"/>
    <w:uiPriority w:val="99"/>
    <w:semiHidden/>
    <w:rsid w:val="00300092"/>
    <w:rPr>
      <w:rFonts w:cs="Times New Roman"/>
      <w:i/>
    </w:rPr>
  </w:style>
  <w:style w:type="character" w:customStyle="1" w:styleId="BodytextChar0">
    <w:name w:val="Body text Char"/>
    <w:basedOn w:val="DefaultParagraphFont"/>
    <w:uiPriority w:val="99"/>
    <w:semiHidden/>
    <w:rsid w:val="00300092"/>
    <w:rPr>
      <w:rFonts w:cs="Times New Roman"/>
      <w:kern w:val="28"/>
      <w:sz w:val="22"/>
      <w:lang w:val="en-US" w:eastAsia="en-AU" w:bidi="ar-SA"/>
    </w:rPr>
  </w:style>
  <w:style w:type="character" w:customStyle="1" w:styleId="BodyTextChar10">
    <w:name w:val="Body Text Char10"/>
    <w:aliases w:val="Char2 Char8,Body Text Char1 Char8,Body Text Char Char Char8,Body Text Char2 Char8,Body Text Char2 Char Char1 Char Char8,Body Text Char1 Char Char Char Char Char8,Body Text Char2 Char Char1 Char Char Char Char Char Char8,block Char8"/>
    <w:basedOn w:val="DefaultParagraphFont"/>
    <w:uiPriority w:val="99"/>
    <w:semiHidden/>
    <w:locked/>
    <w:rsid w:val="00300092"/>
    <w:rPr>
      <w:rFonts w:cs="Times New Roman"/>
    </w:rPr>
  </w:style>
  <w:style w:type="character" w:customStyle="1" w:styleId="BodyTextChar9">
    <w:name w:val="Body Text Char9"/>
    <w:aliases w:val="Char2 Char7,Body Text Char1 Char7,Body Text Char Char Char7,Body Text Char2 Char7,Body Text Char2 Char Char1 Char Char7,Body Text Char1 Char Char Char Char Char7,Body Text Char2 Char Char1 Char Char Char Char Char Char7,block Char7,b Ch"/>
    <w:basedOn w:val="DefaultParagraphFont"/>
    <w:uiPriority w:val="99"/>
    <w:semiHidden/>
    <w:locked/>
    <w:rsid w:val="00300092"/>
    <w:rPr>
      <w:rFonts w:cs="Times New Roman"/>
    </w:rPr>
  </w:style>
  <w:style w:type="character" w:customStyle="1" w:styleId="BodyTextChar8">
    <w:name w:val="Body Text Char8"/>
    <w:aliases w:val="Char2 Char6,Body Text Char1 Char6,Body Text Char Char Char6,Body Text Char2 Char6,Body Text Char2 Char Char1 Char Char6,Body Text Char1 Char Char Char Char Char6,Body Text Char2 Char Char1 Char Char Char Char Char Char6,block Char6,b Ch5"/>
    <w:basedOn w:val="DefaultParagraphFont"/>
    <w:uiPriority w:val="99"/>
    <w:semiHidden/>
    <w:locked/>
    <w:rsid w:val="00300092"/>
    <w:rPr>
      <w:rFonts w:cs="Times New Roman"/>
    </w:rPr>
  </w:style>
  <w:style w:type="character" w:customStyle="1" w:styleId="BodyTextChar7">
    <w:name w:val="Body Text Char7"/>
    <w:aliases w:val="Char2 Char5,Body Text Char1 Char5,Body Text Char Char Char5,Body Text Char2 Char5,Body Text Char2 Char Char1 Char Char5,Body Text Char1 Char Char Char Char Char5,Body Text Char2 Char Char1 Char Char Char Char Char Char5,block Char5,b Ch4"/>
    <w:basedOn w:val="DefaultParagraphFont"/>
    <w:uiPriority w:val="99"/>
    <w:semiHidden/>
    <w:locked/>
    <w:rsid w:val="00300092"/>
    <w:rPr>
      <w:rFonts w:cs="Times New Roman"/>
    </w:rPr>
  </w:style>
  <w:style w:type="character" w:customStyle="1" w:styleId="BodyTextChar6">
    <w:name w:val="Body Text Char6"/>
    <w:aliases w:val="Char2 Char4,Body Text Char1 Char4,Body Text Char Char Char4,Body Text Char2 Char4,Body Text Char2 Char Char1 Char Char4,Body Text Char1 Char Char Char Char Char4,Body Text Char2 Char Char1 Char Char Char Char Char Char4,block Char4,b Ch3"/>
    <w:basedOn w:val="DefaultParagraphFont"/>
    <w:uiPriority w:val="99"/>
    <w:semiHidden/>
    <w:locked/>
    <w:rsid w:val="00300092"/>
    <w:rPr>
      <w:rFonts w:cs="Times New Roman"/>
    </w:rPr>
  </w:style>
  <w:style w:type="character" w:customStyle="1" w:styleId="BodyTextChar5">
    <w:name w:val="Body Text Char5"/>
    <w:aliases w:val="Char2 Char3,Body Text Char1 Char3,Body Text Char Char Char3,Body Text Char2 Char3,Body Text Char2 Char Char1 Char Char3,Body Text Char1 Char Char Char Char Char3,Body Text Char2 Char Char1 Char Char Char Char Char Char3,block Char3,b Ch2"/>
    <w:basedOn w:val="DefaultParagraphFont"/>
    <w:uiPriority w:val="99"/>
    <w:locked/>
    <w:rsid w:val="00300092"/>
    <w:rPr>
      <w:rFonts w:cs="Times New Roman"/>
    </w:rPr>
  </w:style>
  <w:style w:type="character" w:customStyle="1" w:styleId="BodyTextChar4">
    <w:name w:val="Body Text Char4"/>
    <w:aliases w:val="Char2 Char2,Body Text Char1 Char2,Body Text Char Char Char2,Body Text Char2 Char2,Body Text Char2 Char Char1 Char Char2,Body Text Char1 Char Char Char Char Char2,Body Text Char2 Char Char1 Char Char Char Char Char Char2,block Char2,b Ch1"/>
    <w:basedOn w:val="DefaultParagraphFont"/>
    <w:uiPriority w:val="99"/>
    <w:semiHidden/>
    <w:locked/>
    <w:rsid w:val="00300092"/>
    <w:rPr>
      <w:rFonts w:cs="Times New Roman"/>
    </w:rPr>
  </w:style>
  <w:style w:type="paragraph" w:customStyle="1" w:styleId="CoverTitle1">
    <w:name w:val="CoverTitle1"/>
    <w:basedOn w:val="Normal"/>
    <w:uiPriority w:val="99"/>
    <w:rsid w:val="00300092"/>
    <w:pPr>
      <w:keepNext/>
      <w:spacing w:after="0" w:line="312" w:lineRule="auto"/>
    </w:pPr>
    <w:rPr>
      <w:rFonts w:ascii="Arial" w:eastAsia="Times New Roman" w:hAnsi="Arial"/>
      <w:color w:val="auto"/>
      <w:sz w:val="36"/>
      <w:szCs w:val="24"/>
    </w:rPr>
  </w:style>
  <w:style w:type="paragraph" w:customStyle="1" w:styleId="CoverTitle2">
    <w:name w:val="CoverTitle2"/>
    <w:basedOn w:val="Normal"/>
    <w:next w:val="Normal"/>
    <w:uiPriority w:val="99"/>
    <w:rsid w:val="00300092"/>
    <w:pPr>
      <w:spacing w:after="0" w:line="280" w:lineRule="exact"/>
    </w:pPr>
    <w:rPr>
      <w:rFonts w:ascii="Arial" w:eastAsia="Times New Roman" w:hAnsi="Arial"/>
      <w:szCs w:val="24"/>
    </w:rPr>
  </w:style>
  <w:style w:type="character" w:customStyle="1" w:styleId="CoverTitle2Char">
    <w:name w:val="CoverTitle2 Char"/>
    <w:basedOn w:val="DefaultParagraphFont"/>
    <w:uiPriority w:val="99"/>
    <w:rsid w:val="00300092"/>
    <w:rPr>
      <w:rFonts w:ascii="Arial" w:hAnsi="Arial" w:cs="Times New Roman"/>
      <w:color w:val="000000"/>
      <w:sz w:val="24"/>
      <w:szCs w:val="24"/>
      <w:lang w:val="en-AU" w:eastAsia="en-AU" w:bidi="ar-SA"/>
    </w:rPr>
  </w:style>
  <w:style w:type="character" w:customStyle="1" w:styleId="CoverTitle1Char">
    <w:name w:val="CoverTitle1 Char"/>
    <w:basedOn w:val="DefaultParagraphFont"/>
    <w:uiPriority w:val="99"/>
    <w:semiHidden/>
    <w:rsid w:val="00300092"/>
    <w:rPr>
      <w:rFonts w:ascii="Arial" w:hAnsi="Arial" w:cs="Times New Roman"/>
      <w:sz w:val="24"/>
      <w:szCs w:val="24"/>
      <w:lang w:val="en-AU" w:eastAsia="en-AU" w:bidi="ar-SA"/>
    </w:rPr>
  </w:style>
  <w:style w:type="paragraph" w:customStyle="1" w:styleId="Contents">
    <w:name w:val="Contents"/>
    <w:basedOn w:val="Normal"/>
    <w:uiPriority w:val="99"/>
    <w:rsid w:val="00300092"/>
    <w:pPr>
      <w:spacing w:after="80" w:line="260" w:lineRule="exact"/>
    </w:pPr>
    <w:rPr>
      <w:rFonts w:ascii="Arial Bold" w:eastAsia="Times New Roman" w:hAnsi="Arial Bold"/>
      <w:b/>
      <w:color w:val="auto"/>
      <w:sz w:val="28"/>
    </w:rPr>
  </w:style>
  <w:style w:type="character" w:customStyle="1" w:styleId="CharChar3">
    <w:name w:val="Char Char3"/>
    <w:basedOn w:val="DefaultParagraphFont"/>
    <w:uiPriority w:val="99"/>
    <w:semiHidden/>
    <w:rsid w:val="00300092"/>
    <w:rPr>
      <w:rFonts w:ascii="Arial" w:hAnsi="Arial" w:cs="Arial"/>
      <w:b/>
      <w:caps/>
      <w:sz w:val="28"/>
      <w:szCs w:val="28"/>
      <w:lang w:val="en-AU" w:eastAsia="en-AU" w:bidi="ar-SA"/>
    </w:rPr>
  </w:style>
  <w:style w:type="character" w:customStyle="1" w:styleId="CharChar1">
    <w:name w:val="Char Char1"/>
    <w:basedOn w:val="BodyTextChar3"/>
    <w:uiPriority w:val="99"/>
    <w:semiHidden/>
    <w:rsid w:val="00300092"/>
    <w:rPr>
      <w:rFonts w:ascii="Arial" w:eastAsia="Times New Roman" w:hAnsi="Arial" w:cs="Arial"/>
      <w:b/>
      <w:caps/>
      <w:sz w:val="24"/>
      <w:szCs w:val="24"/>
      <w:lang w:val="en-AU" w:eastAsia="en-AU" w:bidi="ar-SA"/>
    </w:rPr>
  </w:style>
  <w:style w:type="paragraph" w:customStyle="1" w:styleId="Hanging">
    <w:name w:val="Hanging"/>
    <w:basedOn w:val="Normal"/>
    <w:uiPriority w:val="99"/>
    <w:semiHidden/>
    <w:rsid w:val="00300092"/>
    <w:pPr>
      <w:spacing w:after="0"/>
      <w:ind w:left="567" w:hanging="567"/>
    </w:pPr>
    <w:rPr>
      <w:rFonts w:ascii="Times New Roman" w:eastAsia="Times New Roman" w:hAnsi="Times New Roman"/>
      <w:color w:val="auto"/>
    </w:rPr>
  </w:style>
  <w:style w:type="paragraph" w:customStyle="1" w:styleId="Style12ptBoldBefore12ptAfter12pt">
    <w:name w:val="Style 12 pt Bold Before:  12 pt After:  12 pt"/>
    <w:basedOn w:val="Normal"/>
    <w:uiPriority w:val="99"/>
    <w:semiHidden/>
    <w:rsid w:val="00300092"/>
    <w:pPr>
      <w:spacing w:before="240" w:after="240"/>
    </w:pPr>
    <w:rPr>
      <w:rFonts w:ascii="Arial" w:eastAsia="Times New Roman" w:hAnsi="Arial"/>
      <w:b/>
      <w:bCs/>
      <w:color w:val="auto"/>
      <w:sz w:val="24"/>
      <w:szCs w:val="20"/>
    </w:rPr>
  </w:style>
  <w:style w:type="paragraph" w:customStyle="1" w:styleId="Heading10">
    <w:name w:val="Heading1"/>
    <w:basedOn w:val="Heading1"/>
    <w:uiPriority w:val="99"/>
    <w:rsid w:val="00300092"/>
    <w:pPr>
      <w:keepLines w:val="0"/>
      <w:pageBreakBefore w:val="0"/>
      <w:numPr>
        <w:numId w:val="0"/>
      </w:numPr>
      <w:suppressAutoHyphens/>
      <w:spacing w:before="360" w:after="240" w:line="240" w:lineRule="auto"/>
    </w:pPr>
    <w:rPr>
      <w:rFonts w:ascii="Arial Bold" w:eastAsia="Times New Roman" w:hAnsi="Arial Bold" w:cs="Arial"/>
      <w:bCs w:val="0"/>
      <w:caps/>
      <w:color w:val="auto"/>
      <w:sz w:val="28"/>
    </w:rPr>
  </w:style>
  <w:style w:type="paragraph" w:customStyle="1" w:styleId="Heading20">
    <w:name w:val="Heading2"/>
    <w:basedOn w:val="Heading2"/>
    <w:uiPriority w:val="99"/>
    <w:rsid w:val="00300092"/>
    <w:pPr>
      <w:numPr>
        <w:ilvl w:val="0"/>
        <w:numId w:val="0"/>
      </w:numPr>
      <w:suppressAutoHyphens/>
    </w:pPr>
    <w:rPr>
      <w:rFonts w:ascii="Arial Bold" w:eastAsia="Times New Roman" w:hAnsi="Arial Bold" w:cs="Arial"/>
      <w:b/>
      <w:bCs w:val="0"/>
      <w:color w:val="auto"/>
      <w:sz w:val="28"/>
      <w:szCs w:val="28"/>
    </w:rPr>
  </w:style>
  <w:style w:type="paragraph" w:customStyle="1" w:styleId="Heading30">
    <w:name w:val="Heading3"/>
    <w:basedOn w:val="Heading3"/>
    <w:uiPriority w:val="99"/>
    <w:rsid w:val="00300092"/>
    <w:pPr>
      <w:numPr>
        <w:ilvl w:val="0"/>
        <w:numId w:val="0"/>
      </w:numPr>
      <w:suppressAutoHyphens/>
      <w:spacing w:before="240"/>
    </w:pPr>
    <w:rPr>
      <w:rFonts w:ascii="Arial Bold" w:eastAsia="Times New Roman" w:hAnsi="Arial Bold" w:cs="Arial"/>
      <w:bCs w:val="0"/>
      <w:caps w:val="0"/>
      <w:sz w:val="24"/>
      <w:szCs w:val="24"/>
    </w:rPr>
  </w:style>
  <w:style w:type="table" w:customStyle="1" w:styleId="TableGrid10">
    <w:name w:val="Table Grid1"/>
    <w:uiPriority w:val="99"/>
    <w:rsid w:val="00300092"/>
    <w:pPr>
      <w:jc w:val="both"/>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99"/>
    <w:qFormat/>
    <w:rsid w:val="00300092"/>
    <w:rPr>
      <w:rFonts w:eastAsia="Times New Roman"/>
      <w:lang w:val="en-US" w:eastAsia="en-US"/>
    </w:rPr>
  </w:style>
  <w:style w:type="paragraph" w:customStyle="1" w:styleId="Char">
    <w:name w:val="Char"/>
    <w:basedOn w:val="Normal"/>
    <w:uiPriority w:val="99"/>
    <w:rsid w:val="00300092"/>
    <w:pPr>
      <w:spacing w:after="160" w:line="240" w:lineRule="exact"/>
    </w:pPr>
    <w:rPr>
      <w:rFonts w:ascii="Verdana" w:eastAsia="Times New Roman" w:hAnsi="Verdana"/>
      <w:color w:val="auto"/>
      <w:sz w:val="20"/>
      <w:szCs w:val="24"/>
      <w:lang w:val="en-US" w:eastAsia="en-US"/>
    </w:rPr>
  </w:style>
  <w:style w:type="paragraph" w:customStyle="1" w:styleId="IGbulletlist">
    <w:name w:val="IG_bullet list"/>
    <w:basedOn w:val="ListBullet"/>
    <w:uiPriority w:val="99"/>
    <w:rsid w:val="00300092"/>
    <w:pPr>
      <w:numPr>
        <w:numId w:val="28"/>
      </w:numPr>
      <w:tabs>
        <w:tab w:val="num" w:pos="199"/>
      </w:tabs>
      <w:ind w:left="397" w:hanging="397"/>
    </w:pPr>
  </w:style>
  <w:style w:type="paragraph" w:customStyle="1" w:styleId="ReferencesText">
    <w:name w:val="References Text"/>
    <w:basedOn w:val="BodyText"/>
    <w:uiPriority w:val="99"/>
    <w:rsid w:val="00300092"/>
    <w:pPr>
      <w:spacing w:after="227" w:line="300" w:lineRule="exact"/>
    </w:pPr>
    <w:rPr>
      <w:rFonts w:ascii="Palatino" w:eastAsia="Times New Roman" w:hAnsi="Palatino"/>
      <w:color w:val="auto"/>
      <w:sz w:val="24"/>
      <w:szCs w:val="20"/>
      <w:lang w:eastAsia="en-US"/>
    </w:rPr>
  </w:style>
  <w:style w:type="character" w:customStyle="1" w:styleId="FootnoteCharacters">
    <w:name w:val="Footnote Characters"/>
    <w:basedOn w:val="DefaultParagraphFont"/>
    <w:uiPriority w:val="99"/>
    <w:rsid w:val="00300092"/>
    <w:rPr>
      <w:rFonts w:cs="Times New Roman"/>
      <w:vertAlign w:val="superscript"/>
    </w:rPr>
  </w:style>
  <w:style w:type="paragraph" w:customStyle="1" w:styleId="SingleParagraph">
    <w:name w:val="Single Paragraph"/>
    <w:basedOn w:val="Normal"/>
    <w:uiPriority w:val="99"/>
    <w:rsid w:val="00300092"/>
    <w:pPr>
      <w:spacing w:after="0"/>
    </w:pPr>
    <w:rPr>
      <w:rFonts w:ascii="Times New Roman" w:eastAsia="Times New Roman" w:hAnsi="Times New Roman"/>
      <w:color w:val="auto"/>
      <w:sz w:val="24"/>
      <w:szCs w:val="20"/>
    </w:rPr>
  </w:style>
  <w:style w:type="paragraph" w:customStyle="1" w:styleId="tabletext1">
    <w:name w:val="table text"/>
    <w:basedOn w:val="Normal"/>
    <w:uiPriority w:val="99"/>
    <w:rsid w:val="00300092"/>
    <w:pPr>
      <w:tabs>
        <w:tab w:val="left" w:pos="1987"/>
      </w:tabs>
      <w:spacing w:before="40" w:after="40"/>
    </w:pPr>
    <w:rPr>
      <w:rFonts w:ascii="Times New Roman" w:eastAsia="Times New Roman" w:hAnsi="Times New Roman"/>
      <w:color w:val="auto"/>
      <w:sz w:val="20"/>
      <w:szCs w:val="20"/>
      <w:lang w:eastAsia="zh-CN"/>
    </w:rPr>
  </w:style>
  <w:style w:type="paragraph" w:customStyle="1" w:styleId="tableheaderwithintable">
    <w:name w:val="table header (within table)"/>
    <w:basedOn w:val="Heading4"/>
    <w:uiPriority w:val="99"/>
    <w:rsid w:val="00300092"/>
    <w:pPr>
      <w:tabs>
        <w:tab w:val="left" w:pos="1987"/>
      </w:tabs>
      <w:spacing w:before="60" w:after="60"/>
      <w:jc w:val="center"/>
    </w:pPr>
    <w:rPr>
      <w:rFonts w:ascii="Times New Roman" w:eastAsia="Times New Roman" w:hAnsi="Times New Roman" w:cs="Times New Roman"/>
      <w:bCs w:val="0"/>
      <w:i/>
      <w:iCs w:val="0"/>
      <w:color w:val="auto"/>
      <w:spacing w:val="0"/>
      <w:kern w:val="28"/>
      <w:sz w:val="20"/>
      <w:szCs w:val="20"/>
      <w:lang w:eastAsia="zh-CN"/>
    </w:rPr>
  </w:style>
  <w:style w:type="paragraph" w:customStyle="1" w:styleId="IGbodytext">
    <w:name w:val="IG_body text"/>
    <w:basedOn w:val="BodyText"/>
    <w:uiPriority w:val="99"/>
    <w:rsid w:val="00300092"/>
    <w:pPr>
      <w:spacing w:after="240" w:line="280" w:lineRule="atLeast"/>
      <w:jc w:val="both"/>
    </w:pPr>
    <w:rPr>
      <w:rFonts w:ascii="Times New Roman" w:eastAsia="Times New Roman" w:hAnsi="Times New Roman" w:cs="Arial"/>
      <w:color w:val="auto"/>
      <w:szCs w:val="28"/>
    </w:rPr>
  </w:style>
  <w:style w:type="paragraph" w:customStyle="1" w:styleId="Bullet1">
    <w:name w:val="Bullet1"/>
    <w:basedOn w:val="Normal"/>
    <w:uiPriority w:val="99"/>
    <w:rsid w:val="00300092"/>
    <w:pPr>
      <w:numPr>
        <w:numId w:val="29"/>
      </w:numPr>
      <w:tabs>
        <w:tab w:val="clear" w:pos="720"/>
        <w:tab w:val="num" w:pos="643"/>
      </w:tabs>
      <w:ind w:left="643" w:hanging="360"/>
      <w:jc w:val="both"/>
    </w:pPr>
    <w:rPr>
      <w:rFonts w:ascii="Arial" w:eastAsia="Times New Roman" w:hAnsi="Arial"/>
      <w:bCs/>
      <w:color w:val="auto"/>
      <w:szCs w:val="20"/>
      <w:lang w:eastAsia="en-US"/>
    </w:rPr>
  </w:style>
  <w:style w:type="table" w:customStyle="1" w:styleId="MediumShading1-Accent11">
    <w:name w:val="Medium Shading 1 - Accent 11"/>
    <w:uiPriority w:val="99"/>
    <w:rsid w:val="00300092"/>
    <w:rPr>
      <w:rFonts w:ascii="Times New Roman" w:eastAsia="Times New Roman" w:hAnsi="Times New Roman"/>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customStyle="1" w:styleId="para0">
    <w:name w:val="para0"/>
    <w:basedOn w:val="Normal"/>
    <w:uiPriority w:val="99"/>
    <w:rsid w:val="00300092"/>
    <w:pPr>
      <w:spacing w:after="220" w:line="300" w:lineRule="auto"/>
    </w:pPr>
    <w:rPr>
      <w:rFonts w:ascii="Arial" w:eastAsia="Times New Roman" w:hAnsi="Arial" w:cs="Arial"/>
      <w:sz w:val="18"/>
      <w:szCs w:val="18"/>
    </w:rPr>
  </w:style>
  <w:style w:type="paragraph" w:customStyle="1" w:styleId="Figure">
    <w:name w:val="Figure"/>
    <w:basedOn w:val="BodyText"/>
    <w:uiPriority w:val="99"/>
    <w:rsid w:val="00300092"/>
    <w:pPr>
      <w:spacing w:before="60" w:after="0"/>
      <w:jc w:val="center"/>
    </w:pPr>
    <w:rPr>
      <w:rFonts w:ascii="Cambria" w:eastAsia="Times New Roman" w:hAnsi="Cambria"/>
      <w:color w:val="1F497D"/>
      <w:sz w:val="18"/>
      <w:szCs w:val="24"/>
      <w:lang w:eastAsia="en-US"/>
    </w:rPr>
  </w:style>
  <w:style w:type="character" w:customStyle="1" w:styleId="CaptionLabel">
    <w:name w:val="Caption Label"/>
    <w:basedOn w:val="DefaultParagraphFont"/>
    <w:uiPriority w:val="99"/>
    <w:rsid w:val="00300092"/>
    <w:rPr>
      <w:rFonts w:ascii="Cambria" w:hAnsi="Cambria" w:cs="Times New Roman"/>
      <w:b/>
      <w:color w:val="17365D"/>
      <w:sz w:val="20"/>
    </w:rPr>
  </w:style>
  <w:style w:type="paragraph" w:customStyle="1" w:styleId="Note">
    <w:name w:val="Note"/>
    <w:next w:val="BodyText"/>
    <w:uiPriority w:val="99"/>
    <w:rsid w:val="00300092"/>
    <w:pPr>
      <w:spacing w:before="40" w:line="180" w:lineRule="exact"/>
    </w:pPr>
    <w:rPr>
      <w:rFonts w:eastAsia="Times New Roman"/>
      <w:sz w:val="14"/>
      <w:szCs w:val="24"/>
      <w:lang w:eastAsia="en-US"/>
    </w:rPr>
  </w:style>
  <w:style w:type="paragraph" w:customStyle="1" w:styleId="Tableunitsrow">
    <w:name w:val="Table units row"/>
    <w:basedOn w:val="Tablecolumnheadings"/>
    <w:uiPriority w:val="99"/>
    <w:rsid w:val="00300092"/>
  </w:style>
  <w:style w:type="table" w:customStyle="1" w:styleId="ATTableFormat">
    <w:name w:val="AT Table Format"/>
    <w:uiPriority w:val="99"/>
    <w:rsid w:val="00300092"/>
    <w:pPr>
      <w:spacing w:before="40" w:after="40" w:line="300" w:lineRule="exact"/>
    </w:pPr>
    <w:rPr>
      <w:rFonts w:ascii="Cambria" w:eastAsia="Times New Roman" w:hAnsi="Cambria"/>
      <w:sz w:val="16"/>
      <w:szCs w:val="24"/>
      <w:lang w:eastAsia="zh-CN"/>
    </w:rPr>
    <w:tblPr>
      <w:tblInd w:w="0" w:type="dxa"/>
      <w:tblBorders>
        <w:top w:val="single" w:sz="8" w:space="0" w:color="17365D"/>
        <w:left w:val="single" w:sz="4" w:space="0" w:color="C0C0C0"/>
        <w:bottom w:val="single" w:sz="12" w:space="0" w:color="17365D"/>
        <w:right w:val="single" w:sz="4" w:space="0" w:color="C0C0C0"/>
        <w:insideH w:val="single" w:sz="4" w:space="0" w:color="C0C0C0"/>
        <w:insideV w:val="single" w:sz="4" w:space="0" w:color="C0C0C0"/>
      </w:tblBorders>
      <w:tblCellMar>
        <w:top w:w="0" w:type="dxa"/>
        <w:left w:w="108" w:type="dxa"/>
        <w:bottom w:w="0" w:type="dxa"/>
        <w:right w:w="108" w:type="dxa"/>
      </w:tblCellMar>
    </w:tblPr>
  </w:style>
  <w:style w:type="paragraph" w:customStyle="1" w:styleId="Preparedfor">
    <w:name w:val="Prepared for"/>
    <w:uiPriority w:val="99"/>
    <w:semiHidden/>
    <w:rsid w:val="00300092"/>
    <w:pPr>
      <w:spacing w:before="180" w:line="300" w:lineRule="exact"/>
      <w:ind w:left="1674"/>
      <w:jc w:val="right"/>
    </w:pPr>
    <w:rPr>
      <w:rFonts w:ascii="Century Gothic" w:eastAsia="Times New Roman" w:hAnsi="Century Gothic"/>
      <w:sz w:val="18"/>
      <w:szCs w:val="20"/>
    </w:rPr>
  </w:style>
  <w:style w:type="paragraph" w:customStyle="1" w:styleId="SaveDate">
    <w:name w:val="Save Date"/>
    <w:basedOn w:val="Normal"/>
    <w:uiPriority w:val="99"/>
    <w:rsid w:val="00300092"/>
    <w:pPr>
      <w:spacing w:before="180" w:after="0" w:line="300" w:lineRule="exact"/>
      <w:ind w:left="2716"/>
      <w:jc w:val="right"/>
    </w:pPr>
    <w:rPr>
      <w:rFonts w:ascii="Century Gothic" w:eastAsia="Times New Roman" w:hAnsi="Century Gothic"/>
      <w:b/>
      <w:color w:val="auto"/>
      <w:sz w:val="24"/>
      <w:szCs w:val="24"/>
      <w:lang w:eastAsia="en-US"/>
    </w:rPr>
  </w:style>
  <w:style w:type="paragraph" w:customStyle="1" w:styleId="SubTitle">
    <w:name w:val="Sub Title"/>
    <w:uiPriority w:val="99"/>
    <w:rsid w:val="00300092"/>
    <w:pPr>
      <w:spacing w:before="40" w:line="360" w:lineRule="exact"/>
      <w:ind w:left="2778"/>
      <w:jc w:val="right"/>
    </w:pPr>
    <w:rPr>
      <w:rFonts w:ascii="Cambria" w:eastAsia="Times New Roman" w:hAnsi="Cambria"/>
      <w:sz w:val="24"/>
      <w:szCs w:val="20"/>
    </w:rPr>
  </w:style>
  <w:style w:type="paragraph" w:customStyle="1" w:styleId="Office">
    <w:name w:val="Office"/>
    <w:basedOn w:val="Normal"/>
    <w:uiPriority w:val="99"/>
    <w:semiHidden/>
    <w:rsid w:val="00300092"/>
    <w:pPr>
      <w:spacing w:before="200" w:after="0"/>
      <w:ind w:right="-289"/>
    </w:pPr>
    <w:rPr>
      <w:rFonts w:ascii="Century Gothic" w:eastAsia="Times New Roman" w:hAnsi="Century Gothic"/>
      <w:b/>
      <w:color w:val="808080"/>
      <w:sz w:val="20"/>
      <w:szCs w:val="20"/>
    </w:rPr>
  </w:style>
  <w:style w:type="paragraph" w:customStyle="1" w:styleId="Heading100">
    <w:name w:val="Heading 10"/>
    <w:basedOn w:val="Heading4"/>
    <w:next w:val="BodyText"/>
    <w:uiPriority w:val="99"/>
    <w:rsid w:val="00300092"/>
    <w:pPr>
      <w:keepLines w:val="0"/>
      <w:spacing w:before="300" w:after="20" w:line="280" w:lineRule="exact"/>
    </w:pPr>
    <w:rPr>
      <w:rFonts w:eastAsia="Times New Roman" w:cs="Times New Roman"/>
      <w:bCs w:val="0"/>
      <w:iCs w:val="0"/>
      <w:color w:val="17365D"/>
      <w:spacing w:val="0"/>
      <w:sz w:val="22"/>
    </w:rPr>
  </w:style>
  <w:style w:type="paragraph" w:customStyle="1" w:styleId="Heading11">
    <w:name w:val="Heading 11"/>
    <w:basedOn w:val="Heading5"/>
    <w:next w:val="BodyText"/>
    <w:uiPriority w:val="99"/>
    <w:rsid w:val="00300092"/>
    <w:pPr>
      <w:keepLines w:val="0"/>
      <w:spacing w:before="300" w:after="20" w:line="280" w:lineRule="exact"/>
    </w:pPr>
    <w:rPr>
      <w:rFonts w:eastAsia="Times New Roman" w:cs="Times New Roman"/>
      <w:i/>
      <w:color w:val="17365D"/>
    </w:rPr>
  </w:style>
  <w:style w:type="paragraph" w:customStyle="1" w:styleId="BoxText">
    <w:name w:val="Box Text"/>
    <w:basedOn w:val="BodyText"/>
    <w:uiPriority w:val="99"/>
    <w:rsid w:val="00300092"/>
    <w:pPr>
      <w:spacing w:before="140" w:after="0" w:line="250" w:lineRule="exact"/>
      <w:jc w:val="both"/>
    </w:pPr>
    <w:rPr>
      <w:rFonts w:eastAsia="Times New Roman"/>
      <w:color w:val="auto"/>
      <w:sz w:val="17"/>
      <w:szCs w:val="24"/>
    </w:rPr>
  </w:style>
  <w:style w:type="paragraph" w:customStyle="1" w:styleId="BoxSource">
    <w:name w:val="Box Source"/>
    <w:basedOn w:val="BoxText"/>
    <w:next w:val="BodyText"/>
    <w:uiPriority w:val="99"/>
    <w:rsid w:val="00300092"/>
  </w:style>
  <w:style w:type="paragraph" w:customStyle="1" w:styleId="BoxContinued">
    <w:name w:val="Box Continued"/>
    <w:basedOn w:val="BoxSource"/>
    <w:next w:val="BodyText"/>
    <w:uiPriority w:val="99"/>
    <w:rsid w:val="00300092"/>
  </w:style>
  <w:style w:type="paragraph" w:customStyle="1" w:styleId="BoxSideHeading1">
    <w:name w:val="Box Side Heading 1"/>
    <w:basedOn w:val="BoxText"/>
    <w:next w:val="BoxText"/>
    <w:uiPriority w:val="99"/>
    <w:rsid w:val="00300092"/>
  </w:style>
  <w:style w:type="paragraph" w:customStyle="1" w:styleId="BoxSideHeading2">
    <w:name w:val="Box Side Heading 2"/>
    <w:basedOn w:val="BoxText"/>
    <w:next w:val="BoxText"/>
    <w:uiPriority w:val="99"/>
    <w:rsid w:val="00300092"/>
  </w:style>
  <w:style w:type="paragraph" w:customStyle="1" w:styleId="BoxListBullet">
    <w:name w:val="Box List Bullet"/>
    <w:basedOn w:val="BoxText"/>
    <w:uiPriority w:val="99"/>
    <w:rsid w:val="00300092"/>
    <w:pPr>
      <w:numPr>
        <w:numId w:val="31"/>
      </w:numPr>
      <w:tabs>
        <w:tab w:val="clear" w:pos="227"/>
      </w:tabs>
      <w:ind w:left="0" w:firstLine="0"/>
    </w:pPr>
  </w:style>
  <w:style w:type="paragraph" w:customStyle="1" w:styleId="BoxListBullet2">
    <w:name w:val="Box List Bullet 2"/>
    <w:basedOn w:val="BoxListBullet"/>
    <w:uiPriority w:val="99"/>
    <w:rsid w:val="00300092"/>
    <w:pPr>
      <w:numPr>
        <w:numId w:val="32"/>
      </w:numPr>
      <w:tabs>
        <w:tab w:val="clear" w:pos="454"/>
      </w:tabs>
      <w:ind w:left="0" w:firstLine="0"/>
    </w:pPr>
  </w:style>
  <w:style w:type="paragraph" w:customStyle="1" w:styleId="BoxListNumber">
    <w:name w:val="Box List Number"/>
    <w:basedOn w:val="BoxListBullet"/>
    <w:uiPriority w:val="99"/>
    <w:rsid w:val="00300092"/>
    <w:pPr>
      <w:numPr>
        <w:numId w:val="30"/>
      </w:numPr>
      <w:tabs>
        <w:tab w:val="clear" w:pos="227"/>
      </w:tabs>
      <w:ind w:left="0" w:firstLine="0"/>
    </w:pPr>
  </w:style>
  <w:style w:type="paragraph" w:customStyle="1" w:styleId="BoxQuote">
    <w:name w:val="Box Quote"/>
    <w:basedOn w:val="BoxText"/>
    <w:next w:val="BoxText"/>
    <w:uiPriority w:val="99"/>
    <w:rsid w:val="00300092"/>
  </w:style>
  <w:style w:type="paragraph" w:customStyle="1" w:styleId="ChapterSummary">
    <w:name w:val="Chapter Summary"/>
    <w:basedOn w:val="BodyText"/>
    <w:next w:val="BodyText"/>
    <w:uiPriority w:val="99"/>
    <w:rsid w:val="00300092"/>
    <w:pPr>
      <w:spacing w:before="180" w:after="180" w:line="300" w:lineRule="exact"/>
      <w:jc w:val="both"/>
    </w:pPr>
    <w:rPr>
      <w:rFonts w:ascii="Cambria" w:eastAsia="Times New Roman" w:hAnsi="Cambria"/>
      <w:b/>
      <w:i/>
      <w:color w:val="auto"/>
      <w:sz w:val="24"/>
      <w:szCs w:val="24"/>
    </w:rPr>
  </w:style>
  <w:style w:type="paragraph" w:customStyle="1" w:styleId="Continued">
    <w:name w:val="Continued"/>
    <w:basedOn w:val="BoxContinued"/>
    <w:next w:val="BodyText"/>
    <w:uiPriority w:val="99"/>
    <w:rsid w:val="00300092"/>
  </w:style>
  <w:style w:type="character" w:customStyle="1" w:styleId="DraftingNote">
    <w:name w:val="Drafting Note"/>
    <w:basedOn w:val="DefaultParagraphFont"/>
    <w:uiPriority w:val="99"/>
    <w:rsid w:val="00300092"/>
    <w:rPr>
      <w:rFonts w:ascii="Calibri" w:hAnsi="Calibri" w:cs="Times New Roman"/>
      <w:b/>
      <w:color w:val="FF0000"/>
      <w:sz w:val="23"/>
      <w:u w:val="dotted"/>
    </w:rPr>
  </w:style>
  <w:style w:type="paragraph" w:customStyle="1" w:styleId="Heading1nonumber">
    <w:name w:val="Heading 1 (no number)"/>
    <w:basedOn w:val="BodyText"/>
    <w:next w:val="BodyText"/>
    <w:uiPriority w:val="99"/>
    <w:rsid w:val="00300092"/>
    <w:pPr>
      <w:keepNext/>
      <w:spacing w:before="200" w:after="60" w:line="420" w:lineRule="exact"/>
      <w:jc w:val="both"/>
      <w:outlineLvl w:val="0"/>
    </w:pPr>
    <w:rPr>
      <w:rFonts w:ascii="Cambria" w:eastAsia="Times New Roman" w:hAnsi="Cambria"/>
      <w:b/>
      <w:color w:val="17365D"/>
      <w:kern w:val="28"/>
      <w:sz w:val="36"/>
      <w:szCs w:val="24"/>
    </w:rPr>
  </w:style>
  <w:style w:type="paragraph" w:customStyle="1" w:styleId="Heading2nonumber">
    <w:name w:val="Heading 2 (no number)"/>
    <w:basedOn w:val="Heading2"/>
    <w:next w:val="BodyText"/>
    <w:uiPriority w:val="99"/>
    <w:rsid w:val="00300092"/>
    <w:pPr>
      <w:numPr>
        <w:ilvl w:val="0"/>
        <w:numId w:val="0"/>
      </w:numPr>
      <w:tabs>
        <w:tab w:val="clear" w:pos="851"/>
      </w:tabs>
      <w:spacing w:before="300" w:after="60" w:line="340" w:lineRule="exact"/>
    </w:pPr>
    <w:rPr>
      <w:rFonts w:ascii="Cambria" w:eastAsia="Times New Roman" w:hAnsi="Cambria" w:cs="Times New Roman"/>
      <w:b/>
      <w:bCs w:val="0"/>
      <w:color w:val="17365D"/>
      <w:kern w:val="36"/>
      <w:sz w:val="28"/>
      <w:szCs w:val="24"/>
    </w:rPr>
  </w:style>
  <w:style w:type="paragraph" w:customStyle="1" w:styleId="Heading3nonumber">
    <w:name w:val="Heading 3 (no number)"/>
    <w:basedOn w:val="Heading3"/>
    <w:next w:val="BodyText"/>
    <w:uiPriority w:val="99"/>
    <w:rsid w:val="00300092"/>
    <w:pPr>
      <w:numPr>
        <w:ilvl w:val="0"/>
        <w:numId w:val="0"/>
      </w:numPr>
      <w:tabs>
        <w:tab w:val="clear" w:pos="851"/>
      </w:tabs>
      <w:spacing w:before="300" w:after="0" w:line="270" w:lineRule="exact"/>
    </w:pPr>
    <w:rPr>
      <w:rFonts w:ascii="Cambria" w:eastAsia="Times New Roman" w:hAnsi="Cambria" w:cs="Times New Roman"/>
      <w:bCs w:val="0"/>
      <w:caps w:val="0"/>
      <w:color w:val="17365D"/>
      <w:sz w:val="22"/>
      <w:szCs w:val="24"/>
    </w:rPr>
  </w:style>
  <w:style w:type="paragraph" w:customStyle="1" w:styleId="Heading8nonumber">
    <w:name w:val="Heading 8 (no number)"/>
    <w:basedOn w:val="Heading8"/>
    <w:next w:val="BodyText"/>
    <w:uiPriority w:val="99"/>
    <w:rsid w:val="00300092"/>
    <w:pPr>
      <w:keepNext/>
      <w:spacing w:before="300" w:line="340" w:lineRule="exact"/>
    </w:pPr>
    <w:rPr>
      <w:rFonts w:ascii="Cambria" w:eastAsia="Times New Roman" w:hAnsi="Cambria" w:cs="Times New Roman"/>
      <w:b/>
      <w:i w:val="0"/>
      <w:iCs w:val="0"/>
      <w:color w:val="17365D"/>
      <w:sz w:val="28"/>
      <w:szCs w:val="28"/>
    </w:rPr>
  </w:style>
  <w:style w:type="paragraph" w:customStyle="1" w:styleId="Heading9nonumber">
    <w:name w:val="Heading 9 (no number)"/>
    <w:basedOn w:val="Heading9"/>
    <w:next w:val="BodyText"/>
    <w:uiPriority w:val="99"/>
    <w:rsid w:val="00300092"/>
    <w:pPr>
      <w:pageBreakBefore w:val="0"/>
      <w:numPr>
        <w:numId w:val="0"/>
      </w:numPr>
      <w:tabs>
        <w:tab w:val="clear" w:pos="2268"/>
      </w:tabs>
      <w:spacing w:before="300" w:after="0" w:line="270" w:lineRule="exact"/>
      <w:jc w:val="both"/>
    </w:pPr>
    <w:rPr>
      <w:rFonts w:ascii="Cambria" w:eastAsia="Times New Roman" w:hAnsi="Cambria" w:cs="Times New Roman"/>
      <w:bCs w:val="0"/>
      <w:color w:val="17365D"/>
      <w:sz w:val="22"/>
      <w:szCs w:val="22"/>
    </w:rPr>
  </w:style>
  <w:style w:type="paragraph" w:customStyle="1" w:styleId="Invisiblepara">
    <w:name w:val="Invisible para"/>
    <w:basedOn w:val="Normal"/>
    <w:uiPriority w:val="99"/>
    <w:rsid w:val="00300092"/>
    <w:pPr>
      <w:keepNext/>
      <w:spacing w:before="40" w:after="0"/>
    </w:pPr>
    <w:rPr>
      <w:rFonts w:eastAsia="Times New Roman"/>
      <w:color w:val="auto"/>
      <w:szCs w:val="24"/>
      <w:lang w:eastAsia="en-US"/>
    </w:rPr>
  </w:style>
  <w:style w:type="paragraph" w:customStyle="1" w:styleId="KeyPoints">
    <w:name w:val="Key Points"/>
    <w:basedOn w:val="BodyText"/>
    <w:uiPriority w:val="99"/>
    <w:rsid w:val="00300092"/>
    <w:pPr>
      <w:numPr>
        <w:numId w:val="41"/>
      </w:numPr>
      <w:spacing w:before="180" w:after="0" w:line="300" w:lineRule="exact"/>
      <w:jc w:val="both"/>
    </w:pPr>
    <w:rPr>
      <w:rFonts w:ascii="Cambria" w:eastAsia="Times New Roman" w:hAnsi="Cambria"/>
      <w:color w:val="auto"/>
      <w:sz w:val="21"/>
      <w:szCs w:val="24"/>
    </w:rPr>
  </w:style>
  <w:style w:type="character" w:customStyle="1" w:styleId="Notelabel">
    <w:name w:val="Note label"/>
    <w:uiPriority w:val="99"/>
    <w:rsid w:val="00300092"/>
    <w:rPr>
      <w:vertAlign w:val="superscript"/>
    </w:rPr>
  </w:style>
  <w:style w:type="character" w:customStyle="1" w:styleId="NoteLabelTable">
    <w:name w:val="Note Label Table"/>
    <w:basedOn w:val="DefaultParagraphFont"/>
    <w:uiPriority w:val="99"/>
    <w:rsid w:val="00300092"/>
    <w:rPr>
      <w:rFonts w:ascii="Century Gothic" w:hAnsi="Century Gothic" w:cs="Times New Roman"/>
      <w:b/>
      <w:color w:val="17365D"/>
      <w:position w:val="6"/>
      <w:sz w:val="14"/>
    </w:rPr>
  </w:style>
  <w:style w:type="paragraph" w:styleId="Quote">
    <w:name w:val="Quote"/>
    <w:basedOn w:val="BodyText"/>
    <w:next w:val="BodyText"/>
    <w:link w:val="QuoteChar"/>
    <w:uiPriority w:val="99"/>
    <w:qFormat/>
    <w:rsid w:val="00300092"/>
    <w:pPr>
      <w:spacing w:before="80" w:after="0" w:line="280" w:lineRule="exact"/>
      <w:ind w:left="340"/>
      <w:jc w:val="both"/>
    </w:pPr>
    <w:rPr>
      <w:rFonts w:eastAsia="Times New Roman"/>
      <w:color w:val="auto"/>
      <w:sz w:val="21"/>
      <w:szCs w:val="24"/>
    </w:rPr>
  </w:style>
  <w:style w:type="character" w:customStyle="1" w:styleId="QuoteChar">
    <w:name w:val="Quote Char"/>
    <w:basedOn w:val="DefaultParagraphFont"/>
    <w:link w:val="Quote"/>
    <w:uiPriority w:val="99"/>
    <w:rsid w:val="00300092"/>
    <w:rPr>
      <w:rFonts w:eastAsia="Times New Roman"/>
      <w:sz w:val="21"/>
      <w:szCs w:val="24"/>
    </w:rPr>
  </w:style>
  <w:style w:type="paragraph" w:styleId="Subtitle0">
    <w:name w:val="Subtitle"/>
    <w:basedOn w:val="Normal"/>
    <w:next w:val="Normal"/>
    <w:link w:val="SubtitleChar"/>
    <w:uiPriority w:val="99"/>
    <w:qFormat/>
    <w:rsid w:val="00300092"/>
    <w:pPr>
      <w:numPr>
        <w:ilvl w:val="1"/>
      </w:numPr>
      <w:spacing w:before="180" w:after="0" w:line="300" w:lineRule="exact"/>
    </w:pPr>
    <w:rPr>
      <w:rFonts w:ascii="Cambria" w:eastAsia="Times New Roman" w:hAnsi="Cambria"/>
      <w:i/>
      <w:iCs/>
      <w:color w:val="4F81BD"/>
      <w:spacing w:val="15"/>
      <w:sz w:val="24"/>
      <w:szCs w:val="24"/>
      <w:lang w:eastAsia="en-US"/>
    </w:rPr>
  </w:style>
  <w:style w:type="character" w:customStyle="1" w:styleId="SubtitleChar">
    <w:name w:val="Subtitle Char"/>
    <w:basedOn w:val="DefaultParagraphFont"/>
    <w:link w:val="Subtitle0"/>
    <w:uiPriority w:val="99"/>
    <w:rsid w:val="00300092"/>
    <w:rPr>
      <w:rFonts w:ascii="Cambria" w:eastAsia="Times New Roman" w:hAnsi="Cambria"/>
      <w:i/>
      <w:iCs/>
      <w:color w:val="4F81BD"/>
      <w:spacing w:val="15"/>
      <w:sz w:val="24"/>
      <w:szCs w:val="24"/>
      <w:lang w:eastAsia="en-US"/>
    </w:rPr>
  </w:style>
  <w:style w:type="paragraph" w:customStyle="1" w:styleId="PageNumberLandscape">
    <w:name w:val="Page Number Landscape"/>
    <w:basedOn w:val="Footer"/>
    <w:uiPriority w:val="99"/>
    <w:rsid w:val="00300092"/>
    <w:pPr>
      <w:tabs>
        <w:tab w:val="clear" w:pos="4513"/>
        <w:tab w:val="clear" w:pos="9026"/>
      </w:tabs>
      <w:spacing w:after="200" w:line="276" w:lineRule="auto"/>
    </w:pPr>
    <w:rPr>
      <w:rFonts w:eastAsia="Times New Roman"/>
      <w:sz w:val="22"/>
      <w:lang w:eastAsia="en-US"/>
    </w:rPr>
  </w:style>
  <w:style w:type="paragraph" w:customStyle="1" w:styleId="Tablecontinued">
    <w:name w:val="Table continued"/>
    <w:basedOn w:val="Note"/>
    <w:next w:val="BodyText"/>
    <w:uiPriority w:val="99"/>
    <w:rsid w:val="00300092"/>
    <w:pPr>
      <w:spacing w:after="120" w:line="220" w:lineRule="exact"/>
      <w:jc w:val="right"/>
    </w:pPr>
  </w:style>
  <w:style w:type="paragraph" w:customStyle="1" w:styleId="Tablesideheading1">
    <w:name w:val="Table side heading 1"/>
    <w:basedOn w:val="Tablebody"/>
    <w:next w:val="Tablebody"/>
    <w:uiPriority w:val="99"/>
    <w:rsid w:val="00300092"/>
  </w:style>
  <w:style w:type="paragraph" w:customStyle="1" w:styleId="Tablesideheading2">
    <w:name w:val="Table side heading 2"/>
    <w:basedOn w:val="Tablesideheading1"/>
    <w:next w:val="Tablebody"/>
    <w:uiPriority w:val="99"/>
    <w:rsid w:val="00300092"/>
    <w:rPr>
      <w:rFonts w:ascii="Cambria" w:hAnsi="Cambria"/>
      <w:i/>
      <w:color w:val="auto"/>
      <w:szCs w:val="16"/>
    </w:rPr>
  </w:style>
  <w:style w:type="paragraph" w:customStyle="1" w:styleId="Tablelistbullet">
    <w:name w:val="Table list bullet"/>
    <w:basedOn w:val="Tablebody"/>
    <w:uiPriority w:val="99"/>
    <w:rsid w:val="00300092"/>
    <w:pPr>
      <w:numPr>
        <w:numId w:val="33"/>
      </w:numPr>
      <w:tabs>
        <w:tab w:val="clear" w:pos="170"/>
      </w:tabs>
      <w:ind w:left="0" w:firstLine="0"/>
    </w:pPr>
  </w:style>
  <w:style w:type="paragraph" w:customStyle="1" w:styleId="Tablelistbullet2">
    <w:name w:val="Table list bullet 2"/>
    <w:basedOn w:val="Tablebody"/>
    <w:uiPriority w:val="99"/>
    <w:rsid w:val="00300092"/>
    <w:pPr>
      <w:numPr>
        <w:numId w:val="34"/>
      </w:numPr>
      <w:tabs>
        <w:tab w:val="clear" w:pos="454"/>
      </w:tabs>
      <w:ind w:left="0" w:firstLine="0"/>
    </w:pPr>
  </w:style>
  <w:style w:type="paragraph" w:customStyle="1" w:styleId="Tablelistnumber">
    <w:name w:val="Table list number"/>
    <w:basedOn w:val="Tablebody"/>
    <w:uiPriority w:val="99"/>
    <w:rsid w:val="00300092"/>
    <w:pPr>
      <w:numPr>
        <w:numId w:val="35"/>
      </w:numPr>
      <w:tabs>
        <w:tab w:val="clear" w:pos="170"/>
      </w:tabs>
      <w:ind w:left="0" w:firstLine="0"/>
    </w:pPr>
  </w:style>
  <w:style w:type="paragraph" w:customStyle="1" w:styleId="Footerlandscape">
    <w:name w:val="Footer landscape"/>
    <w:basedOn w:val="PageNumberLandscape"/>
    <w:uiPriority w:val="99"/>
    <w:rsid w:val="00300092"/>
    <w:pPr>
      <w:framePr w:wrap="around" w:vAnchor="text" w:hAnchor="margin" w:xAlign="right" w:y="1"/>
      <w:spacing w:after="0" w:line="240" w:lineRule="auto"/>
      <w:ind w:right="40"/>
    </w:pPr>
    <w:rPr>
      <w:sz w:val="16"/>
      <w:szCs w:val="24"/>
    </w:rPr>
  </w:style>
  <w:style w:type="paragraph" w:customStyle="1" w:styleId="Chart">
    <w:name w:val="Chart"/>
    <w:basedOn w:val="Figure"/>
    <w:next w:val="Figure"/>
    <w:uiPriority w:val="99"/>
    <w:rsid w:val="00300092"/>
  </w:style>
  <w:style w:type="paragraph" w:customStyle="1" w:styleId="LastBoxRow">
    <w:name w:val="LastBoxRow"/>
    <w:basedOn w:val="BoxText"/>
    <w:uiPriority w:val="99"/>
    <w:rsid w:val="00300092"/>
    <w:rPr>
      <w:sz w:val="8"/>
      <w:szCs w:val="8"/>
    </w:rPr>
  </w:style>
  <w:style w:type="paragraph" w:customStyle="1" w:styleId="BoxListNumber2">
    <w:name w:val="Box List Number 2"/>
    <w:basedOn w:val="ListNumber2"/>
    <w:uiPriority w:val="99"/>
    <w:rsid w:val="00300092"/>
    <w:pPr>
      <w:numPr>
        <w:numId w:val="42"/>
      </w:numPr>
      <w:tabs>
        <w:tab w:val="clear" w:pos="794"/>
        <w:tab w:val="num" w:pos="454"/>
      </w:tabs>
      <w:spacing w:before="80" w:after="0" w:line="250" w:lineRule="exact"/>
      <w:ind w:left="454" w:hanging="227"/>
      <w:contextualSpacing w:val="0"/>
      <w:jc w:val="both"/>
    </w:pPr>
    <w:rPr>
      <w:rFonts w:eastAsia="Times New Roman"/>
      <w:color w:val="auto"/>
      <w:sz w:val="17"/>
      <w:szCs w:val="24"/>
    </w:rPr>
  </w:style>
  <w:style w:type="paragraph" w:customStyle="1" w:styleId="OfficeAddress">
    <w:name w:val="OfficeAddress"/>
    <w:basedOn w:val="Normal"/>
    <w:autoRedefine/>
    <w:uiPriority w:val="99"/>
    <w:semiHidden/>
    <w:rsid w:val="00300092"/>
    <w:pPr>
      <w:spacing w:after="0"/>
      <w:ind w:right="-291"/>
    </w:pPr>
    <w:rPr>
      <w:rFonts w:eastAsia="Times New Roman"/>
      <w:color w:val="auto"/>
      <w:sz w:val="16"/>
      <w:szCs w:val="20"/>
    </w:rPr>
  </w:style>
  <w:style w:type="paragraph" w:customStyle="1" w:styleId="OfficeContact">
    <w:name w:val="OfficeContact"/>
    <w:basedOn w:val="Normal"/>
    <w:autoRedefine/>
    <w:uiPriority w:val="99"/>
    <w:semiHidden/>
    <w:rsid w:val="00300092"/>
    <w:pPr>
      <w:spacing w:before="60" w:after="0"/>
    </w:pPr>
    <w:rPr>
      <w:rFonts w:eastAsia="Times New Roman"/>
      <w:color w:val="auto"/>
      <w:sz w:val="16"/>
      <w:szCs w:val="20"/>
    </w:rPr>
  </w:style>
  <w:style w:type="paragraph" w:customStyle="1" w:styleId="OfficeEmail">
    <w:name w:val="OfficeEmail"/>
    <w:basedOn w:val="OfficeAddress"/>
    <w:autoRedefine/>
    <w:uiPriority w:val="99"/>
    <w:semiHidden/>
    <w:rsid w:val="00300092"/>
  </w:style>
  <w:style w:type="paragraph" w:customStyle="1" w:styleId="Table">
    <w:name w:val="Table"/>
    <w:uiPriority w:val="99"/>
    <w:rsid w:val="00300092"/>
    <w:pPr>
      <w:spacing w:before="40" w:after="40"/>
    </w:pPr>
    <w:rPr>
      <w:rFonts w:ascii="Arial" w:eastAsia="Times New Roman" w:hAnsi="Arial"/>
      <w:color w:val="000000"/>
      <w:sz w:val="16"/>
      <w:szCs w:val="24"/>
    </w:rPr>
  </w:style>
  <w:style w:type="character" w:customStyle="1" w:styleId="Datasourcetextstyle">
    <w:name w:val="Data source text style"/>
    <w:uiPriority w:val="99"/>
    <w:rsid w:val="00300092"/>
    <w:rPr>
      <w:rFonts w:ascii="Cambria" w:hAnsi="Cambria"/>
      <w:sz w:val="14"/>
      <w:vertAlign w:val="baseline"/>
    </w:rPr>
  </w:style>
  <w:style w:type="paragraph" w:customStyle="1" w:styleId="QuoteListBullet">
    <w:name w:val="Quote List Bullet"/>
    <w:basedOn w:val="ListBullet"/>
    <w:autoRedefine/>
    <w:uiPriority w:val="99"/>
    <w:rsid w:val="00300092"/>
    <w:pPr>
      <w:numPr>
        <w:numId w:val="36"/>
      </w:numPr>
      <w:tabs>
        <w:tab w:val="clear" w:pos="397"/>
        <w:tab w:val="num" w:pos="709"/>
      </w:tabs>
      <w:spacing w:before="80" w:after="0" w:line="280" w:lineRule="exact"/>
      <w:ind w:left="709" w:hanging="369"/>
      <w:contextualSpacing w:val="0"/>
      <w:jc w:val="both"/>
    </w:pPr>
    <w:rPr>
      <w:rFonts w:eastAsia="Times New Roman"/>
      <w:color w:val="auto"/>
      <w:sz w:val="21"/>
      <w:szCs w:val="21"/>
    </w:rPr>
  </w:style>
  <w:style w:type="paragraph" w:customStyle="1" w:styleId="AppendixFooterlandscape">
    <w:name w:val="AppendixFooter landscape"/>
    <w:uiPriority w:val="99"/>
    <w:rsid w:val="00300092"/>
    <w:pPr>
      <w:framePr w:wrap="around" w:vAnchor="text" w:hAnchor="margin" w:xAlign="right" w:y="1"/>
      <w:spacing w:before="180" w:line="200" w:lineRule="exact"/>
      <w:ind w:right="40"/>
      <w:jc w:val="both"/>
    </w:pPr>
    <w:rPr>
      <w:rFonts w:ascii="Cambria" w:eastAsia="Times New Roman" w:hAnsi="Cambria"/>
      <w:b/>
      <w:sz w:val="16"/>
      <w:szCs w:val="24"/>
    </w:rPr>
  </w:style>
  <w:style w:type="paragraph" w:customStyle="1" w:styleId="AppendixLandscapePageNumber">
    <w:name w:val="AppendixLandscapePage Number"/>
    <w:basedOn w:val="Normal"/>
    <w:uiPriority w:val="99"/>
    <w:rsid w:val="00300092"/>
    <w:pPr>
      <w:framePr w:wrap="around" w:vAnchor="text" w:hAnchor="margin" w:xAlign="right" w:y="1"/>
      <w:spacing w:before="40" w:after="0" w:line="300" w:lineRule="exact"/>
      <w:ind w:left="-142" w:right="40"/>
      <w:jc w:val="right"/>
    </w:pPr>
    <w:rPr>
      <w:rFonts w:ascii="Cambria" w:eastAsia="Times New Roman" w:hAnsi="Cambria"/>
      <w:color w:val="auto"/>
      <w:sz w:val="16"/>
      <w:szCs w:val="24"/>
      <w:lang w:eastAsia="en-US"/>
    </w:rPr>
  </w:style>
  <w:style w:type="paragraph" w:customStyle="1" w:styleId="LastTableRow">
    <w:name w:val="LastTableRow"/>
    <w:basedOn w:val="Tablebody"/>
    <w:uiPriority w:val="99"/>
    <w:rsid w:val="00300092"/>
  </w:style>
  <w:style w:type="paragraph" w:customStyle="1" w:styleId="HeaderLandscape">
    <w:name w:val="HeaderLandscape"/>
    <w:uiPriority w:val="99"/>
    <w:rsid w:val="00300092"/>
    <w:rPr>
      <w:rFonts w:ascii="Century Gothic" w:eastAsia="Times New Roman" w:hAnsi="Century Gothic"/>
      <w:b/>
      <w:sz w:val="16"/>
      <w:szCs w:val="16"/>
      <w:lang w:eastAsia="en-US"/>
    </w:rPr>
  </w:style>
  <w:style w:type="paragraph" w:customStyle="1" w:styleId="Contact">
    <w:name w:val="Contact"/>
    <w:basedOn w:val="OfficeAddress"/>
    <w:autoRedefine/>
    <w:uiPriority w:val="99"/>
    <w:semiHidden/>
    <w:rsid w:val="00300092"/>
    <w:pPr>
      <w:ind w:right="-289"/>
    </w:pPr>
  </w:style>
  <w:style w:type="paragraph" w:customStyle="1" w:styleId="Heading1NewPage">
    <w:name w:val="Heading 1 (New Page)"/>
    <w:basedOn w:val="Heading1"/>
    <w:next w:val="BodyText"/>
    <w:uiPriority w:val="99"/>
    <w:rsid w:val="00300092"/>
    <w:pPr>
      <w:keepLines w:val="0"/>
      <w:numPr>
        <w:numId w:val="40"/>
      </w:numPr>
      <w:tabs>
        <w:tab w:val="clear" w:pos="851"/>
        <w:tab w:val="left" w:pos="902"/>
        <w:tab w:val="num" w:pos="1800"/>
      </w:tabs>
      <w:spacing w:before="300" w:after="60" w:line="420" w:lineRule="exact"/>
      <w:ind w:left="902" w:hanging="902"/>
    </w:pPr>
    <w:rPr>
      <w:rFonts w:ascii="Cambria" w:eastAsia="Times New Roman" w:hAnsi="Cambria" w:cs="Times New Roman"/>
      <w:bCs w:val="0"/>
      <w:color w:val="17365D"/>
      <w:kern w:val="28"/>
      <w:sz w:val="36"/>
      <w:szCs w:val="24"/>
    </w:rPr>
  </w:style>
  <w:style w:type="paragraph" w:customStyle="1" w:styleId="BoxQuoteListBullet">
    <w:name w:val="Box Quote List Bullet"/>
    <w:basedOn w:val="BoxQuote"/>
    <w:uiPriority w:val="99"/>
    <w:rsid w:val="00300092"/>
    <w:pPr>
      <w:numPr>
        <w:numId w:val="43"/>
      </w:numPr>
      <w:spacing w:before="40" w:line="240" w:lineRule="auto"/>
      <w:ind w:left="369" w:right="306" w:hanging="142"/>
    </w:pPr>
    <w:rPr>
      <w:sz w:val="15"/>
      <w:szCs w:val="14"/>
    </w:rPr>
  </w:style>
  <w:style w:type="paragraph" w:styleId="Bibliography">
    <w:name w:val="Bibliography"/>
    <w:basedOn w:val="Reference"/>
    <w:next w:val="BodyText"/>
    <w:uiPriority w:val="99"/>
    <w:rsid w:val="00300092"/>
    <w:pPr>
      <w:spacing w:before="100" w:after="0"/>
      <w:ind w:left="340" w:hanging="340"/>
      <w:jc w:val="both"/>
    </w:pPr>
    <w:rPr>
      <w:rFonts w:eastAsia="Times New Roman"/>
      <w:color w:val="auto"/>
      <w:sz w:val="21"/>
      <w:szCs w:val="24"/>
    </w:rPr>
  </w:style>
  <w:style w:type="paragraph" w:customStyle="1" w:styleId="LetterHeading1">
    <w:name w:val="Letter Heading 1"/>
    <w:next w:val="BodyText"/>
    <w:uiPriority w:val="99"/>
    <w:rsid w:val="00300092"/>
    <w:pPr>
      <w:spacing w:before="200"/>
    </w:pPr>
    <w:rPr>
      <w:rFonts w:ascii="Cambria" w:eastAsia="Times New Roman" w:hAnsi="Cambria"/>
      <w:b/>
      <w:color w:val="17365D"/>
      <w:sz w:val="23"/>
      <w:szCs w:val="36"/>
    </w:rPr>
  </w:style>
  <w:style w:type="paragraph" w:customStyle="1" w:styleId="LetterHeading2">
    <w:name w:val="Letter Heading 2"/>
    <w:basedOn w:val="LetterHeading1"/>
    <w:next w:val="BodyText"/>
    <w:uiPriority w:val="99"/>
    <w:rsid w:val="00300092"/>
    <w:rPr>
      <w:i/>
      <w:szCs w:val="28"/>
    </w:rPr>
  </w:style>
  <w:style w:type="paragraph" w:customStyle="1" w:styleId="LetterHeading3">
    <w:name w:val="Letter Heading 3"/>
    <w:basedOn w:val="LetterHeading2"/>
    <w:next w:val="BodyText"/>
    <w:uiPriority w:val="99"/>
    <w:rsid w:val="00300092"/>
    <w:rPr>
      <w:rFonts w:ascii="Calibri" w:hAnsi="Calibri"/>
      <w:i w:val="0"/>
      <w:sz w:val="20"/>
      <w:szCs w:val="27"/>
    </w:rPr>
  </w:style>
  <w:style w:type="paragraph" w:customStyle="1" w:styleId="CoverLogos">
    <w:name w:val="Cover Logos"/>
    <w:uiPriority w:val="99"/>
    <w:rsid w:val="00300092"/>
    <w:pPr>
      <w:framePr w:wrap="notBeside" w:vAnchor="text" w:hAnchor="text" w:y="1"/>
      <w:spacing w:before="60"/>
      <w:jc w:val="right"/>
    </w:pPr>
    <w:rPr>
      <w:rFonts w:ascii="Garamond" w:eastAsia="Times New Roman" w:hAnsi="Garamond"/>
      <w:noProof/>
      <w:sz w:val="24"/>
      <w:szCs w:val="20"/>
    </w:rPr>
  </w:style>
  <w:style w:type="paragraph" w:customStyle="1" w:styleId="CoverInfo">
    <w:name w:val="Cover Info"/>
    <w:uiPriority w:val="99"/>
    <w:rsid w:val="00300092"/>
    <w:pPr>
      <w:spacing w:before="80" w:line="250" w:lineRule="exact"/>
    </w:pPr>
    <w:rPr>
      <w:rFonts w:eastAsia="Times New Roman"/>
      <w:color w:val="000000"/>
      <w:szCs w:val="20"/>
      <w:lang w:val="fr-FR"/>
    </w:rPr>
  </w:style>
  <w:style w:type="paragraph" w:customStyle="1" w:styleId="Copyright">
    <w:name w:val="Copyright"/>
    <w:uiPriority w:val="99"/>
    <w:rsid w:val="00300092"/>
    <w:pPr>
      <w:spacing w:before="80" w:line="250" w:lineRule="exact"/>
      <w:jc w:val="both"/>
    </w:pPr>
    <w:rPr>
      <w:rFonts w:eastAsia="Times New Roman"/>
      <w:color w:val="000000"/>
      <w:sz w:val="20"/>
      <w:szCs w:val="20"/>
    </w:rPr>
  </w:style>
  <w:style w:type="paragraph" w:customStyle="1" w:styleId="CoverHeadings">
    <w:name w:val="Cover Headings"/>
    <w:uiPriority w:val="99"/>
    <w:rsid w:val="00300092"/>
    <w:pPr>
      <w:spacing w:before="240" w:line="270" w:lineRule="exact"/>
    </w:pPr>
    <w:rPr>
      <w:rFonts w:ascii="Cambria" w:eastAsia="Times New Roman" w:hAnsi="Cambria"/>
      <w:b/>
      <w:color w:val="17365D"/>
      <w:szCs w:val="24"/>
      <w:lang w:eastAsia="en-US"/>
    </w:rPr>
  </w:style>
  <w:style w:type="paragraph" w:customStyle="1" w:styleId="Confidential">
    <w:name w:val="Confidential"/>
    <w:next w:val="BodyText"/>
    <w:uiPriority w:val="99"/>
    <w:rsid w:val="00300092"/>
    <w:pPr>
      <w:spacing w:before="120" w:line="520" w:lineRule="exact"/>
      <w:ind w:left="2268"/>
      <w:jc w:val="right"/>
    </w:pPr>
    <w:rPr>
      <w:rFonts w:ascii="Century Gothic" w:eastAsia="Times New Roman" w:hAnsi="Century Gothic"/>
      <w:b/>
      <w:color w:val="000000"/>
      <w:sz w:val="52"/>
      <w:szCs w:val="24"/>
      <w:lang w:eastAsia="en-US"/>
    </w:rPr>
  </w:style>
  <w:style w:type="paragraph" w:customStyle="1" w:styleId="SideNote">
    <w:name w:val="Side Note"/>
    <w:basedOn w:val="BodyText"/>
    <w:next w:val="BodyText"/>
    <w:uiPriority w:val="99"/>
    <w:rsid w:val="00300092"/>
    <w:pPr>
      <w:keepNext/>
      <w:framePr w:w="2268" w:hSpace="284" w:vSpace="181" w:wrap="around" w:vAnchor="text" w:hAnchor="page" w:x="494" w:y="256"/>
      <w:spacing w:after="0"/>
    </w:pPr>
    <w:rPr>
      <w:rFonts w:ascii="Cambria" w:eastAsia="Times New Roman" w:hAnsi="Cambria"/>
      <w:b/>
      <w:color w:val="17365D"/>
      <w:sz w:val="16"/>
      <w:szCs w:val="24"/>
    </w:rPr>
  </w:style>
  <w:style w:type="paragraph" w:customStyle="1" w:styleId="SideDash">
    <w:name w:val="Side Dash"/>
    <w:basedOn w:val="SideNote"/>
    <w:next w:val="BodyText"/>
    <w:uiPriority w:val="99"/>
    <w:rsid w:val="00300092"/>
    <w:pPr>
      <w:framePr w:wrap="around"/>
      <w:numPr>
        <w:numId w:val="44"/>
      </w:numPr>
    </w:pPr>
  </w:style>
  <w:style w:type="character" w:customStyle="1" w:styleId="NoSpacingChar">
    <w:name w:val="No Spacing Char"/>
    <w:basedOn w:val="DefaultParagraphFont"/>
    <w:link w:val="NoSpacing"/>
    <w:uiPriority w:val="99"/>
    <w:locked/>
    <w:rsid w:val="00300092"/>
    <w:rPr>
      <w:rFonts w:eastAsia="Times New Roman"/>
      <w:lang w:val="en-US" w:eastAsia="en-US"/>
    </w:rPr>
  </w:style>
  <w:style w:type="character" w:styleId="PlaceholderText">
    <w:name w:val="Placeholder Text"/>
    <w:basedOn w:val="DefaultParagraphFont"/>
    <w:uiPriority w:val="99"/>
    <w:semiHidden/>
    <w:rsid w:val="00300092"/>
    <w:rPr>
      <w:rFonts w:cs="Times New Roman"/>
      <w:color w:val="808080"/>
    </w:rPr>
  </w:style>
  <w:style w:type="paragraph" w:customStyle="1" w:styleId="SideNoteopListBullet">
    <w:name w:val="Side Note op List Bullet"/>
    <w:basedOn w:val="SideNote"/>
    <w:uiPriority w:val="99"/>
    <w:rsid w:val="00300092"/>
    <w:pPr>
      <w:framePr w:wrap="around" w:y="143"/>
    </w:pPr>
    <w:rPr>
      <w:noProof/>
    </w:rPr>
  </w:style>
  <w:style w:type="paragraph" w:customStyle="1" w:styleId="Subject">
    <w:name w:val="Subject"/>
    <w:basedOn w:val="Normal"/>
    <w:uiPriority w:val="99"/>
    <w:rsid w:val="00300092"/>
    <w:pPr>
      <w:spacing w:after="0" w:line="300" w:lineRule="exact"/>
      <w:outlineLvl w:val="0"/>
    </w:pPr>
    <w:rPr>
      <w:rFonts w:ascii="Cambria" w:eastAsia="Times New Roman" w:hAnsi="Cambria" w:cs="Cambria"/>
      <w:b/>
      <w:color w:val="17365D"/>
      <w:szCs w:val="24"/>
      <w:lang w:eastAsia="en-US"/>
    </w:rPr>
  </w:style>
  <w:style w:type="paragraph" w:customStyle="1" w:styleId="Address">
    <w:name w:val="Address"/>
    <w:basedOn w:val="BodyText"/>
    <w:uiPriority w:val="99"/>
    <w:rsid w:val="00300092"/>
    <w:pPr>
      <w:spacing w:after="0" w:line="300" w:lineRule="exact"/>
      <w:jc w:val="both"/>
    </w:pPr>
    <w:rPr>
      <w:rFonts w:eastAsia="Times New Roman"/>
      <w:color w:val="auto"/>
      <w:sz w:val="23"/>
      <w:szCs w:val="20"/>
      <w:lang w:eastAsia="en-US"/>
    </w:rPr>
  </w:style>
  <w:style w:type="paragraph" w:customStyle="1" w:styleId="SignatureBlock">
    <w:name w:val="Signature Block"/>
    <w:basedOn w:val="BodyText"/>
    <w:next w:val="BodyText"/>
    <w:uiPriority w:val="99"/>
    <w:rsid w:val="00300092"/>
    <w:pPr>
      <w:spacing w:before="160" w:after="0"/>
      <w:outlineLvl w:val="0"/>
    </w:pPr>
    <w:rPr>
      <w:rFonts w:eastAsia="Times New Roman"/>
      <w:color w:val="auto"/>
      <w:sz w:val="24"/>
      <w:szCs w:val="20"/>
      <w:lang w:eastAsia="en-US"/>
    </w:rPr>
  </w:style>
  <w:style w:type="paragraph" w:customStyle="1" w:styleId="SideHeads">
    <w:name w:val="SideHeads"/>
    <w:basedOn w:val="Normal"/>
    <w:uiPriority w:val="99"/>
    <w:rsid w:val="00300092"/>
    <w:pPr>
      <w:spacing w:after="0"/>
    </w:pPr>
    <w:rPr>
      <w:rFonts w:ascii="Century Gothic" w:eastAsia="Times New Roman" w:hAnsi="Century Gothic"/>
      <w:caps/>
      <w:noProof/>
      <w:color w:val="auto"/>
      <w:sz w:val="12"/>
      <w:szCs w:val="20"/>
      <w:lang w:eastAsia="en-US"/>
    </w:rPr>
  </w:style>
  <w:style w:type="paragraph" w:customStyle="1" w:styleId="PhoneFax">
    <w:name w:val="PhoneFax"/>
    <w:basedOn w:val="Normal"/>
    <w:uiPriority w:val="99"/>
    <w:rsid w:val="00300092"/>
    <w:pPr>
      <w:tabs>
        <w:tab w:val="left" w:pos="851"/>
      </w:tabs>
      <w:spacing w:after="0" w:line="160" w:lineRule="exact"/>
    </w:pPr>
    <w:rPr>
      <w:rFonts w:ascii="Century Gothic" w:eastAsia="Times New Roman" w:hAnsi="Century Gothic"/>
      <w:noProof/>
      <w:color w:val="auto"/>
      <w:sz w:val="12"/>
      <w:szCs w:val="20"/>
      <w:lang w:eastAsia="en-US"/>
    </w:rPr>
  </w:style>
  <w:style w:type="paragraph" w:customStyle="1" w:styleId="SideAddress">
    <w:name w:val="SideAddress"/>
    <w:basedOn w:val="Normal"/>
    <w:uiPriority w:val="99"/>
    <w:rsid w:val="00300092"/>
    <w:pPr>
      <w:spacing w:after="0" w:line="160" w:lineRule="exact"/>
    </w:pPr>
    <w:rPr>
      <w:rFonts w:ascii="Century Gothic" w:eastAsia="Times New Roman" w:hAnsi="Century Gothic"/>
      <w:noProof/>
      <w:color w:val="auto"/>
      <w:sz w:val="12"/>
      <w:szCs w:val="20"/>
      <w:lang w:eastAsia="en-US"/>
    </w:rPr>
  </w:style>
  <w:style w:type="paragraph" w:customStyle="1" w:styleId="OfficeSide">
    <w:name w:val="OfficeSide"/>
    <w:basedOn w:val="Normal"/>
    <w:uiPriority w:val="99"/>
    <w:rsid w:val="00300092"/>
    <w:pPr>
      <w:spacing w:after="0"/>
    </w:pPr>
    <w:rPr>
      <w:rFonts w:ascii="Century Gothic" w:eastAsia="Times New Roman" w:hAnsi="Century Gothic"/>
      <w:caps/>
      <w:color w:val="auto"/>
      <w:sz w:val="16"/>
      <w:szCs w:val="20"/>
      <w:lang w:eastAsia="en-US"/>
    </w:rPr>
  </w:style>
  <w:style w:type="paragraph" w:customStyle="1" w:styleId="HeaderAddress">
    <w:name w:val="HeaderAddress"/>
    <w:basedOn w:val="Normal"/>
    <w:uiPriority w:val="99"/>
    <w:rsid w:val="00300092"/>
    <w:pPr>
      <w:spacing w:after="0"/>
    </w:pPr>
    <w:rPr>
      <w:rFonts w:ascii="Century Gothic" w:eastAsia="Times New Roman" w:hAnsi="Century Gothic"/>
      <w:color w:val="auto"/>
      <w:sz w:val="11"/>
      <w:szCs w:val="20"/>
      <w:lang w:eastAsia="en-US"/>
    </w:rPr>
  </w:style>
  <w:style w:type="paragraph" w:customStyle="1" w:styleId="HeaderOffice">
    <w:name w:val="HeaderOffice"/>
    <w:basedOn w:val="Normal"/>
    <w:autoRedefine/>
    <w:uiPriority w:val="99"/>
    <w:rsid w:val="00300092"/>
    <w:pPr>
      <w:spacing w:before="500" w:after="20"/>
    </w:pPr>
    <w:rPr>
      <w:rFonts w:ascii="Century Gothic" w:eastAsia="Times New Roman" w:hAnsi="Century Gothic"/>
      <w:b/>
      <w:caps/>
      <w:noProof/>
      <w:color w:val="auto"/>
      <w:sz w:val="11"/>
      <w:szCs w:val="20"/>
      <w:lang w:eastAsia="en-US"/>
    </w:rPr>
  </w:style>
  <w:style w:type="character" w:styleId="BookTitle">
    <w:name w:val="Book Title"/>
    <w:basedOn w:val="DefaultParagraphFont"/>
    <w:uiPriority w:val="99"/>
    <w:qFormat/>
    <w:rsid w:val="00300092"/>
    <w:rPr>
      <w:rFonts w:cs="Times New Roman"/>
      <w:b/>
      <w:bCs/>
      <w:smallCaps/>
      <w:spacing w:val="5"/>
    </w:rPr>
  </w:style>
  <w:style w:type="table" w:customStyle="1" w:styleId="ColorfulGrid1">
    <w:name w:val="Colorful Grid1"/>
    <w:uiPriority w:val="99"/>
    <w:rsid w:val="00300092"/>
    <w:rPr>
      <w:rFonts w:ascii="Garamond" w:eastAsia="Times New Roman" w:hAnsi="Garamond"/>
      <w:color w:val="000000"/>
      <w:sz w:val="24"/>
      <w:szCs w:val="24"/>
      <w:lang w:eastAsia="zh-CN"/>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300092"/>
    <w:rPr>
      <w:rFonts w:ascii="Garamond" w:eastAsia="Times New Roman" w:hAnsi="Garamond"/>
      <w:color w:val="000000"/>
      <w:sz w:val="24"/>
      <w:szCs w:val="24"/>
      <w:lang w:eastAsia="zh-CN"/>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300092"/>
    <w:rPr>
      <w:rFonts w:ascii="Garamond" w:eastAsia="Times New Roman" w:hAnsi="Garamond"/>
      <w:color w:val="000000"/>
      <w:sz w:val="24"/>
      <w:szCs w:val="24"/>
      <w:lang w:eastAsia="zh-CN"/>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300092"/>
    <w:rPr>
      <w:rFonts w:ascii="Garamond" w:eastAsia="Times New Roman" w:hAnsi="Garamond"/>
      <w:color w:val="000000"/>
      <w:sz w:val="24"/>
      <w:szCs w:val="24"/>
      <w:lang w:eastAsia="zh-CN"/>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300092"/>
    <w:rPr>
      <w:rFonts w:ascii="Garamond" w:eastAsia="Times New Roman" w:hAnsi="Garamond"/>
      <w:color w:val="000000"/>
      <w:sz w:val="24"/>
      <w:szCs w:val="24"/>
      <w:lang w:eastAsia="zh-CN"/>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300092"/>
    <w:rPr>
      <w:rFonts w:ascii="Garamond" w:eastAsia="Times New Roman" w:hAnsi="Garamond"/>
      <w:color w:val="000000"/>
      <w:sz w:val="24"/>
      <w:szCs w:val="24"/>
      <w:lang w:eastAsia="zh-CN"/>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300092"/>
    <w:rPr>
      <w:rFonts w:ascii="Garamond" w:eastAsia="Times New Roman" w:hAnsi="Garamond"/>
      <w:color w:val="000000"/>
      <w:sz w:val="24"/>
      <w:szCs w:val="24"/>
      <w:lang w:eastAsia="zh-CN"/>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300092"/>
    <w:rPr>
      <w:rFonts w:ascii="Garamond" w:eastAsia="Times New Roman" w:hAnsi="Garamond"/>
      <w:color w:val="000000"/>
      <w:sz w:val="24"/>
      <w:szCs w:val="24"/>
      <w:lang w:eastAsia="zh-CN"/>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300092"/>
    <w:rPr>
      <w:rFonts w:ascii="Garamond" w:eastAsia="Times New Roman" w:hAnsi="Garamond"/>
      <w:color w:val="000000"/>
      <w:sz w:val="24"/>
      <w:szCs w:val="24"/>
      <w:lang w:eastAsia="zh-CN"/>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300092"/>
    <w:rPr>
      <w:rFonts w:ascii="Garamond" w:eastAsia="Times New Roman" w:hAnsi="Garamond"/>
      <w:color w:val="000000"/>
      <w:sz w:val="24"/>
      <w:szCs w:val="24"/>
      <w:lang w:eastAsia="zh-CN"/>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300092"/>
    <w:rPr>
      <w:rFonts w:ascii="Garamond" w:eastAsia="Times New Roman" w:hAnsi="Garamond"/>
      <w:color w:val="000000"/>
      <w:sz w:val="24"/>
      <w:szCs w:val="24"/>
      <w:lang w:eastAsia="zh-CN"/>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300092"/>
    <w:rPr>
      <w:rFonts w:ascii="Garamond" w:eastAsia="Times New Roman" w:hAnsi="Garamond"/>
      <w:color w:val="000000"/>
      <w:sz w:val="24"/>
      <w:szCs w:val="24"/>
      <w:lang w:eastAsia="zh-CN"/>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300092"/>
    <w:rPr>
      <w:rFonts w:ascii="Garamond" w:eastAsia="Times New Roman" w:hAnsi="Garamond"/>
      <w:color w:val="000000"/>
      <w:sz w:val="24"/>
      <w:szCs w:val="24"/>
      <w:lang w:eastAsia="zh-CN"/>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300092"/>
    <w:rPr>
      <w:rFonts w:ascii="Garamond" w:eastAsia="Times New Roman" w:hAnsi="Garamond"/>
      <w:color w:val="000000"/>
      <w:sz w:val="24"/>
      <w:szCs w:val="24"/>
      <w:lang w:eastAsia="zh-CN"/>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300092"/>
    <w:rPr>
      <w:rFonts w:ascii="Garamond" w:eastAsia="Times New Roman" w:hAnsi="Garamond"/>
      <w:color w:val="000000"/>
      <w:sz w:val="24"/>
      <w:szCs w:val="24"/>
      <w:lang w:eastAsia="zh-CN"/>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300092"/>
    <w:rPr>
      <w:rFonts w:ascii="Garamond" w:eastAsia="Times New Roman" w:hAnsi="Garamond"/>
      <w:color w:val="000000"/>
      <w:sz w:val="24"/>
      <w:szCs w:val="24"/>
      <w:lang w:eastAsia="zh-CN"/>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300092"/>
    <w:rPr>
      <w:rFonts w:ascii="Garamond" w:eastAsia="Times New Roman" w:hAnsi="Garamond"/>
      <w:color w:val="000000"/>
      <w:sz w:val="24"/>
      <w:szCs w:val="24"/>
      <w:lang w:eastAsia="zh-CN"/>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300092"/>
    <w:rPr>
      <w:rFonts w:ascii="Garamond" w:eastAsia="Times New Roman" w:hAnsi="Garamond"/>
      <w:color w:val="000000"/>
      <w:sz w:val="24"/>
      <w:szCs w:val="24"/>
      <w:lang w:eastAsia="zh-CN"/>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300092"/>
    <w:rPr>
      <w:rFonts w:ascii="Garamond" w:eastAsia="Times New Roman" w:hAnsi="Garamond"/>
      <w:color w:val="000000"/>
      <w:sz w:val="24"/>
      <w:szCs w:val="24"/>
      <w:lang w:eastAsia="zh-CN"/>
    </w:rPr>
    <w:tblPr>
      <w:tblStyleRowBandSize w:val="1"/>
      <w:tblStyleColBandSize w:val="1"/>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300092"/>
    <w:rPr>
      <w:rFonts w:ascii="Garamond" w:eastAsia="Times New Roman" w:hAnsi="Garamond"/>
      <w:color w:val="000000"/>
      <w:sz w:val="24"/>
      <w:szCs w:val="24"/>
      <w:lang w:eastAsia="zh-CN"/>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300092"/>
    <w:rPr>
      <w:rFonts w:ascii="Garamond" w:eastAsia="Times New Roman" w:hAnsi="Garamond"/>
      <w:color w:val="000000"/>
      <w:sz w:val="24"/>
      <w:szCs w:val="24"/>
      <w:lang w:eastAsia="zh-CN"/>
    </w:rPr>
    <w:tblPr>
      <w:tblStyleRowBandSize w:val="1"/>
      <w:tblStyleColBandSize w:val="1"/>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300092"/>
    <w:rPr>
      <w:rFonts w:ascii="Garamond" w:eastAsia="Times New Roman" w:hAnsi="Garamond"/>
      <w:color w:val="FFFFFF"/>
      <w:sz w:val="24"/>
      <w:szCs w:val="24"/>
      <w:lang w:eastAsia="zh-CN"/>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300092"/>
    <w:rPr>
      <w:rFonts w:ascii="Garamond" w:eastAsia="Times New Roman" w:hAnsi="Garamond"/>
      <w:color w:val="FFFFFF"/>
      <w:sz w:val="24"/>
      <w:szCs w:val="24"/>
      <w:lang w:eastAsia="zh-CN"/>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300092"/>
    <w:rPr>
      <w:rFonts w:ascii="Garamond" w:eastAsia="Times New Roman" w:hAnsi="Garamond"/>
      <w:color w:val="FFFFFF"/>
      <w:sz w:val="24"/>
      <w:szCs w:val="24"/>
      <w:lang w:eastAsia="zh-CN"/>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300092"/>
    <w:rPr>
      <w:rFonts w:ascii="Garamond" w:eastAsia="Times New Roman" w:hAnsi="Garamond"/>
      <w:color w:val="FFFFFF"/>
      <w:sz w:val="24"/>
      <w:szCs w:val="24"/>
      <w:lang w:eastAsia="zh-CN"/>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300092"/>
    <w:rPr>
      <w:rFonts w:ascii="Garamond" w:eastAsia="Times New Roman" w:hAnsi="Garamond"/>
      <w:color w:val="FFFFFF"/>
      <w:sz w:val="24"/>
      <w:szCs w:val="24"/>
      <w:lang w:eastAsia="zh-CN"/>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300092"/>
    <w:rPr>
      <w:rFonts w:ascii="Garamond" w:eastAsia="Times New Roman" w:hAnsi="Garamond"/>
      <w:color w:val="FFFFFF"/>
      <w:sz w:val="24"/>
      <w:szCs w:val="24"/>
      <w:lang w:eastAsia="zh-CN"/>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300092"/>
    <w:rPr>
      <w:rFonts w:ascii="Garamond" w:eastAsia="Times New Roman" w:hAnsi="Garamond"/>
      <w:color w:val="FFFFFF"/>
      <w:sz w:val="24"/>
      <w:szCs w:val="24"/>
      <w:lang w:eastAsia="zh-CN"/>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character" w:styleId="IntenseEmphasis">
    <w:name w:val="Intense Emphasis"/>
    <w:basedOn w:val="DefaultParagraphFont"/>
    <w:uiPriority w:val="99"/>
    <w:qFormat/>
    <w:rsid w:val="00300092"/>
    <w:rPr>
      <w:rFonts w:cs="Times New Roman"/>
      <w:b/>
      <w:bCs/>
      <w:i/>
      <w:iCs/>
      <w:color w:val="4F81BD"/>
    </w:rPr>
  </w:style>
  <w:style w:type="paragraph" w:styleId="IntenseQuote">
    <w:name w:val="Intense Quote"/>
    <w:basedOn w:val="Normal"/>
    <w:next w:val="Normal"/>
    <w:link w:val="IntenseQuoteChar"/>
    <w:uiPriority w:val="99"/>
    <w:qFormat/>
    <w:rsid w:val="00300092"/>
    <w:pPr>
      <w:pBdr>
        <w:bottom w:val="single" w:sz="4" w:space="4" w:color="4F81BD"/>
      </w:pBdr>
      <w:spacing w:before="200" w:after="280" w:line="300" w:lineRule="exact"/>
      <w:ind w:left="936" w:right="936"/>
    </w:pPr>
    <w:rPr>
      <w:rFonts w:eastAsia="Times New Roman"/>
      <w:b/>
      <w:bCs/>
      <w:i/>
      <w:iCs/>
      <w:color w:val="4F81BD"/>
      <w:sz w:val="24"/>
      <w:szCs w:val="24"/>
      <w:lang w:eastAsia="en-US"/>
    </w:rPr>
  </w:style>
  <w:style w:type="character" w:customStyle="1" w:styleId="IntenseQuoteChar">
    <w:name w:val="Intense Quote Char"/>
    <w:basedOn w:val="DefaultParagraphFont"/>
    <w:link w:val="IntenseQuote"/>
    <w:uiPriority w:val="99"/>
    <w:rsid w:val="00300092"/>
    <w:rPr>
      <w:rFonts w:eastAsia="Times New Roman"/>
      <w:b/>
      <w:bCs/>
      <w:i/>
      <w:iCs/>
      <w:color w:val="4F81BD"/>
      <w:sz w:val="24"/>
      <w:szCs w:val="24"/>
      <w:lang w:eastAsia="en-US"/>
    </w:rPr>
  </w:style>
  <w:style w:type="character" w:styleId="IntenseReference">
    <w:name w:val="Intense Reference"/>
    <w:basedOn w:val="DefaultParagraphFont"/>
    <w:uiPriority w:val="99"/>
    <w:qFormat/>
    <w:rsid w:val="00300092"/>
    <w:rPr>
      <w:rFonts w:cs="Times New Roman"/>
      <w:b/>
      <w:bCs/>
      <w:smallCaps/>
      <w:color w:val="C0504D"/>
      <w:spacing w:val="5"/>
      <w:u w:val="single"/>
    </w:rPr>
  </w:style>
  <w:style w:type="table" w:customStyle="1" w:styleId="LightGrid1">
    <w:name w:val="Light Grid1"/>
    <w:uiPriority w:val="99"/>
    <w:rsid w:val="00300092"/>
    <w:rPr>
      <w:rFonts w:ascii="Garamond" w:eastAsia="Times New Roman" w:hAnsi="Garamond"/>
      <w:sz w:val="24"/>
      <w:szCs w:val="24"/>
      <w:lang w:eastAsia="zh-C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300092"/>
    <w:rPr>
      <w:rFonts w:ascii="Garamond" w:eastAsia="Times New Roman" w:hAnsi="Garamond"/>
      <w:sz w:val="24"/>
      <w:szCs w:val="24"/>
      <w:lang w:eastAsia="zh-C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300092"/>
    <w:rPr>
      <w:rFonts w:ascii="Garamond" w:eastAsia="Times New Roman" w:hAnsi="Garamond"/>
      <w:sz w:val="24"/>
      <w:szCs w:val="24"/>
      <w:lang w:eastAsia="zh-CN"/>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300092"/>
    <w:rPr>
      <w:rFonts w:ascii="Garamond" w:eastAsia="Times New Roman" w:hAnsi="Garamond"/>
      <w:sz w:val="24"/>
      <w:szCs w:val="24"/>
      <w:lang w:eastAsia="zh-CN"/>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300092"/>
    <w:rPr>
      <w:rFonts w:ascii="Garamond" w:eastAsia="Times New Roman" w:hAnsi="Garamond"/>
      <w:sz w:val="24"/>
      <w:szCs w:val="24"/>
      <w:lang w:eastAsia="zh-CN"/>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300092"/>
    <w:rPr>
      <w:rFonts w:ascii="Garamond" w:eastAsia="Times New Roman" w:hAnsi="Garamond"/>
      <w:sz w:val="24"/>
      <w:szCs w:val="24"/>
      <w:lang w:eastAsia="zh-C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300092"/>
    <w:rPr>
      <w:rFonts w:ascii="Garamond" w:eastAsia="Times New Roman" w:hAnsi="Garamond"/>
      <w:sz w:val="24"/>
      <w:szCs w:val="24"/>
      <w:lang w:eastAsia="zh-CN"/>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300092"/>
    <w:rPr>
      <w:rFonts w:ascii="Garamond" w:eastAsia="Times New Roman" w:hAnsi="Garamond"/>
      <w:sz w:val="24"/>
      <w:szCs w:val="24"/>
      <w:lang w:eastAsia="zh-C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LightList-Accent2">
    <w:name w:val="Light List Accent 2"/>
    <w:basedOn w:val="TableNormal"/>
    <w:uiPriority w:val="99"/>
    <w:rsid w:val="00300092"/>
    <w:rPr>
      <w:rFonts w:ascii="Garamond" w:eastAsia="Times New Roman" w:hAnsi="Garamond"/>
      <w:sz w:val="24"/>
      <w:szCs w:val="24"/>
      <w:lang w:eastAsia="zh-CN"/>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300092"/>
    <w:rPr>
      <w:rFonts w:ascii="Garamond" w:eastAsia="Times New Roman" w:hAnsi="Garamond"/>
      <w:sz w:val="24"/>
      <w:szCs w:val="24"/>
      <w:lang w:eastAsia="zh-C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300092"/>
    <w:rPr>
      <w:rFonts w:ascii="Garamond" w:eastAsia="Times New Roman" w:hAnsi="Garamond"/>
      <w:sz w:val="24"/>
      <w:szCs w:val="24"/>
      <w:lang w:eastAsia="zh-CN"/>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6">
    <w:name w:val="Light List Accent 6"/>
    <w:basedOn w:val="TableNormal"/>
    <w:uiPriority w:val="99"/>
    <w:rsid w:val="00300092"/>
    <w:rPr>
      <w:rFonts w:ascii="Garamond" w:eastAsia="Times New Roman" w:hAnsi="Garamond"/>
      <w:sz w:val="24"/>
      <w:szCs w:val="24"/>
      <w:lang w:eastAsia="zh-CN"/>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300092"/>
    <w:rPr>
      <w:rFonts w:ascii="Garamond" w:eastAsia="Times New Roman" w:hAnsi="Garamond"/>
      <w:color w:val="000000"/>
      <w:sz w:val="24"/>
      <w:szCs w:val="24"/>
      <w:lang w:eastAsia="zh-CN"/>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300092"/>
    <w:rPr>
      <w:rFonts w:ascii="Garamond" w:eastAsia="Times New Roman" w:hAnsi="Garamond"/>
      <w:color w:val="365F91"/>
      <w:sz w:val="24"/>
      <w:szCs w:val="24"/>
      <w:lang w:eastAsia="zh-CN"/>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300092"/>
    <w:rPr>
      <w:rFonts w:ascii="Garamond" w:eastAsia="Times New Roman" w:hAnsi="Garamond"/>
      <w:color w:val="943634"/>
      <w:sz w:val="24"/>
      <w:szCs w:val="24"/>
      <w:lang w:eastAsia="zh-CN"/>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300092"/>
    <w:rPr>
      <w:rFonts w:ascii="Garamond" w:eastAsia="Times New Roman" w:hAnsi="Garamond"/>
      <w:color w:val="76923C"/>
      <w:sz w:val="24"/>
      <w:szCs w:val="24"/>
      <w:lang w:eastAsia="zh-CN"/>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300092"/>
    <w:rPr>
      <w:rFonts w:ascii="Garamond" w:eastAsia="Times New Roman" w:hAnsi="Garamond"/>
      <w:color w:val="5F497A"/>
      <w:sz w:val="24"/>
      <w:szCs w:val="24"/>
      <w:lang w:eastAsia="zh-CN"/>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300092"/>
    <w:rPr>
      <w:rFonts w:ascii="Garamond" w:eastAsia="Times New Roman" w:hAnsi="Garamond"/>
      <w:color w:val="31849B"/>
      <w:sz w:val="24"/>
      <w:szCs w:val="24"/>
      <w:lang w:eastAsia="zh-CN"/>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300092"/>
    <w:rPr>
      <w:rFonts w:ascii="Garamond" w:eastAsia="Times New Roman" w:hAnsi="Garamond"/>
      <w:color w:val="E36C0A"/>
      <w:sz w:val="24"/>
      <w:szCs w:val="24"/>
      <w:lang w:eastAsia="zh-CN"/>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table" w:customStyle="1" w:styleId="MediumGrid11">
    <w:name w:val="Medium Grid 11"/>
    <w:uiPriority w:val="99"/>
    <w:rsid w:val="00300092"/>
    <w:rPr>
      <w:rFonts w:ascii="Garamond" w:eastAsia="Times New Roman" w:hAnsi="Garamond"/>
      <w:sz w:val="24"/>
      <w:szCs w:val="24"/>
      <w:lang w:eastAsia="zh-CN"/>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300092"/>
    <w:rPr>
      <w:rFonts w:ascii="Garamond" w:eastAsia="Times New Roman" w:hAnsi="Garamond"/>
      <w:sz w:val="24"/>
      <w:szCs w:val="24"/>
      <w:lang w:eastAsia="zh-C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300092"/>
    <w:rPr>
      <w:rFonts w:ascii="Garamond" w:eastAsia="Times New Roman" w:hAnsi="Garamond"/>
      <w:sz w:val="24"/>
      <w:szCs w:val="24"/>
      <w:lang w:eastAsia="zh-CN"/>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300092"/>
    <w:rPr>
      <w:rFonts w:ascii="Garamond" w:eastAsia="Times New Roman" w:hAnsi="Garamond"/>
      <w:sz w:val="24"/>
      <w:szCs w:val="24"/>
      <w:lang w:eastAsia="zh-C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300092"/>
    <w:rPr>
      <w:rFonts w:ascii="Garamond" w:eastAsia="Times New Roman" w:hAnsi="Garamond"/>
      <w:sz w:val="24"/>
      <w:szCs w:val="24"/>
      <w:lang w:eastAsia="zh-CN"/>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300092"/>
    <w:rPr>
      <w:rFonts w:ascii="Garamond" w:eastAsia="Times New Roman" w:hAnsi="Garamond"/>
      <w:sz w:val="24"/>
      <w:szCs w:val="24"/>
      <w:lang w:eastAsia="zh-C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300092"/>
    <w:rPr>
      <w:rFonts w:ascii="Garamond" w:eastAsia="Times New Roman" w:hAnsi="Garamond"/>
      <w:sz w:val="24"/>
      <w:szCs w:val="24"/>
      <w:lang w:eastAsia="zh-CN"/>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300092"/>
    <w:rPr>
      <w:rFonts w:ascii="Cambria" w:eastAsia="Times New Roman" w:hAnsi="Cambria"/>
      <w:color w:val="000000"/>
      <w:sz w:val="24"/>
      <w:szCs w:val="24"/>
      <w:lang w:eastAsia="zh-C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300092"/>
    <w:rPr>
      <w:rFonts w:ascii="Cambria" w:eastAsia="Times New Roman" w:hAnsi="Cambria"/>
      <w:color w:val="000000"/>
      <w:sz w:val="24"/>
      <w:szCs w:val="24"/>
      <w:lang w:eastAsia="zh-C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300092"/>
    <w:rPr>
      <w:rFonts w:ascii="Cambria" w:eastAsia="Times New Roman" w:hAnsi="Cambria"/>
      <w:color w:val="000000"/>
      <w:sz w:val="24"/>
      <w:szCs w:val="24"/>
      <w:lang w:eastAsia="zh-CN"/>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300092"/>
    <w:rPr>
      <w:rFonts w:ascii="Cambria" w:eastAsia="Times New Roman" w:hAnsi="Cambria"/>
      <w:color w:val="000000"/>
      <w:sz w:val="24"/>
      <w:szCs w:val="24"/>
      <w:lang w:eastAsia="zh-CN"/>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300092"/>
    <w:rPr>
      <w:rFonts w:ascii="Cambria" w:eastAsia="Times New Roman" w:hAnsi="Cambria"/>
      <w:color w:val="000000"/>
      <w:sz w:val="24"/>
      <w:szCs w:val="24"/>
      <w:lang w:eastAsia="zh-CN"/>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300092"/>
    <w:rPr>
      <w:rFonts w:ascii="Cambria" w:eastAsia="Times New Roman" w:hAnsi="Cambria"/>
      <w:color w:val="000000"/>
      <w:sz w:val="24"/>
      <w:szCs w:val="24"/>
      <w:lang w:eastAsia="zh-C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300092"/>
    <w:rPr>
      <w:rFonts w:ascii="Cambria" w:eastAsia="Times New Roman" w:hAnsi="Cambria"/>
      <w:color w:val="000000"/>
      <w:sz w:val="24"/>
      <w:szCs w:val="24"/>
      <w:lang w:eastAsia="zh-CN"/>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300092"/>
    <w:rPr>
      <w:rFonts w:ascii="Garamond" w:eastAsia="Times New Roman" w:hAnsi="Garamond"/>
      <w:sz w:val="24"/>
      <w:szCs w:val="24"/>
      <w:lang w:eastAsia="zh-C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300092"/>
    <w:rPr>
      <w:rFonts w:ascii="Garamond" w:eastAsia="Times New Roman" w:hAnsi="Garamond"/>
      <w:sz w:val="24"/>
      <w:szCs w:val="24"/>
      <w:lang w:eastAsia="zh-C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300092"/>
    <w:rPr>
      <w:rFonts w:ascii="Garamond" w:eastAsia="Times New Roman" w:hAnsi="Garamond"/>
      <w:sz w:val="24"/>
      <w:szCs w:val="24"/>
      <w:lang w:eastAsia="zh-C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300092"/>
    <w:rPr>
      <w:rFonts w:ascii="Garamond" w:eastAsia="Times New Roman" w:hAnsi="Garamond"/>
      <w:sz w:val="24"/>
      <w:szCs w:val="24"/>
      <w:lang w:eastAsia="zh-C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300092"/>
    <w:rPr>
      <w:rFonts w:ascii="Garamond" w:eastAsia="Times New Roman" w:hAnsi="Garamond"/>
      <w:sz w:val="24"/>
      <w:szCs w:val="24"/>
      <w:lang w:eastAsia="zh-C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300092"/>
    <w:rPr>
      <w:rFonts w:ascii="Garamond" w:eastAsia="Times New Roman" w:hAnsi="Garamond"/>
      <w:sz w:val="24"/>
      <w:szCs w:val="24"/>
      <w:lang w:eastAsia="zh-C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300092"/>
    <w:rPr>
      <w:rFonts w:ascii="Garamond" w:eastAsia="Times New Roman" w:hAnsi="Garamond"/>
      <w:sz w:val="24"/>
      <w:szCs w:val="24"/>
      <w:lang w:eastAsia="zh-C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300092"/>
    <w:rPr>
      <w:rFonts w:ascii="Garamond" w:eastAsia="Times New Roman" w:hAnsi="Garamond"/>
      <w:color w:val="000000"/>
      <w:sz w:val="24"/>
      <w:szCs w:val="24"/>
      <w:lang w:eastAsia="zh-CN"/>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300092"/>
    <w:rPr>
      <w:rFonts w:ascii="Garamond" w:eastAsia="Times New Roman" w:hAnsi="Garamond"/>
      <w:color w:val="000000"/>
      <w:sz w:val="24"/>
      <w:szCs w:val="24"/>
      <w:lang w:eastAsia="zh-CN"/>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300092"/>
    <w:rPr>
      <w:rFonts w:ascii="Garamond" w:eastAsia="Times New Roman" w:hAnsi="Garamond"/>
      <w:color w:val="000000"/>
      <w:sz w:val="24"/>
      <w:szCs w:val="24"/>
      <w:lang w:eastAsia="zh-CN"/>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300092"/>
    <w:rPr>
      <w:rFonts w:ascii="Garamond" w:eastAsia="Times New Roman" w:hAnsi="Garamond"/>
      <w:color w:val="000000"/>
      <w:sz w:val="24"/>
      <w:szCs w:val="24"/>
      <w:lang w:eastAsia="zh-CN"/>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300092"/>
    <w:rPr>
      <w:rFonts w:ascii="Garamond" w:eastAsia="Times New Roman" w:hAnsi="Garamond"/>
      <w:color w:val="000000"/>
      <w:sz w:val="24"/>
      <w:szCs w:val="24"/>
      <w:lang w:eastAsia="zh-CN"/>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300092"/>
    <w:rPr>
      <w:rFonts w:ascii="Garamond" w:eastAsia="Times New Roman" w:hAnsi="Garamond"/>
      <w:color w:val="000000"/>
      <w:sz w:val="24"/>
      <w:szCs w:val="24"/>
      <w:lang w:eastAsia="zh-CN"/>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300092"/>
    <w:rPr>
      <w:rFonts w:ascii="Garamond" w:eastAsia="Times New Roman" w:hAnsi="Garamond"/>
      <w:color w:val="000000"/>
      <w:sz w:val="24"/>
      <w:szCs w:val="24"/>
      <w:lang w:eastAsia="zh-CN"/>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300092"/>
    <w:rPr>
      <w:rFonts w:ascii="Cambria" w:eastAsia="Times New Roman" w:hAnsi="Cambria"/>
      <w:color w:val="000000"/>
      <w:sz w:val="24"/>
      <w:szCs w:val="24"/>
      <w:lang w:eastAsia="zh-C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300092"/>
    <w:rPr>
      <w:rFonts w:ascii="Cambria" w:eastAsia="Times New Roman" w:hAnsi="Cambria"/>
      <w:color w:val="000000"/>
      <w:sz w:val="24"/>
      <w:szCs w:val="24"/>
      <w:lang w:eastAsia="zh-C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300092"/>
    <w:rPr>
      <w:rFonts w:ascii="Cambria" w:eastAsia="Times New Roman" w:hAnsi="Cambria"/>
      <w:color w:val="000000"/>
      <w:sz w:val="24"/>
      <w:szCs w:val="24"/>
      <w:lang w:eastAsia="zh-CN"/>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300092"/>
    <w:rPr>
      <w:rFonts w:ascii="Cambria" w:eastAsia="Times New Roman" w:hAnsi="Cambria"/>
      <w:color w:val="000000"/>
      <w:sz w:val="24"/>
      <w:szCs w:val="24"/>
      <w:lang w:eastAsia="zh-C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300092"/>
    <w:rPr>
      <w:rFonts w:ascii="Cambria" w:eastAsia="Times New Roman" w:hAnsi="Cambria"/>
      <w:color w:val="000000"/>
      <w:sz w:val="24"/>
      <w:szCs w:val="24"/>
      <w:lang w:eastAsia="zh-CN"/>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300092"/>
    <w:rPr>
      <w:rFonts w:ascii="Cambria" w:eastAsia="Times New Roman" w:hAnsi="Cambria"/>
      <w:color w:val="000000"/>
      <w:sz w:val="24"/>
      <w:szCs w:val="24"/>
      <w:lang w:eastAsia="zh-C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300092"/>
    <w:rPr>
      <w:rFonts w:ascii="Cambria" w:eastAsia="Times New Roman" w:hAnsi="Cambria"/>
      <w:color w:val="000000"/>
      <w:sz w:val="24"/>
      <w:szCs w:val="24"/>
      <w:lang w:eastAsia="zh-CN"/>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300092"/>
    <w:rPr>
      <w:rFonts w:ascii="Garamond" w:eastAsia="Times New Roman" w:hAnsi="Garamond"/>
      <w:sz w:val="24"/>
      <w:szCs w:val="24"/>
      <w:lang w:eastAsia="zh-CN"/>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styleId="MediumShading1-Accent2">
    <w:name w:val="Medium Shading 1 Accent 2"/>
    <w:basedOn w:val="TableNormal"/>
    <w:uiPriority w:val="99"/>
    <w:rsid w:val="00300092"/>
    <w:rPr>
      <w:rFonts w:ascii="Garamond" w:eastAsia="Times New Roman" w:hAnsi="Garamond"/>
      <w:sz w:val="24"/>
      <w:szCs w:val="24"/>
      <w:lang w:eastAsia="zh-CN"/>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300092"/>
    <w:rPr>
      <w:rFonts w:ascii="Garamond" w:eastAsia="Times New Roman" w:hAnsi="Garamond"/>
      <w:sz w:val="24"/>
      <w:szCs w:val="24"/>
      <w:lang w:eastAsia="zh-C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300092"/>
    <w:rPr>
      <w:rFonts w:ascii="Garamond" w:eastAsia="Times New Roman" w:hAnsi="Garamond"/>
      <w:sz w:val="24"/>
      <w:szCs w:val="24"/>
      <w:lang w:eastAsia="zh-CN"/>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300092"/>
    <w:rPr>
      <w:rFonts w:ascii="Garamond" w:eastAsia="Times New Roman" w:hAnsi="Garamond"/>
      <w:sz w:val="24"/>
      <w:szCs w:val="24"/>
      <w:lang w:eastAsia="zh-C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300092"/>
    <w:rPr>
      <w:rFonts w:ascii="Garamond" w:eastAsia="Times New Roman" w:hAnsi="Garamond"/>
      <w:sz w:val="24"/>
      <w:szCs w:val="24"/>
      <w:lang w:eastAsia="zh-CN"/>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300092"/>
    <w:rPr>
      <w:rFonts w:ascii="Garamond" w:eastAsia="Times New Roman" w:hAnsi="Garamond"/>
      <w:sz w:val="24"/>
      <w:szCs w:val="24"/>
      <w:lang w:eastAsia="zh-C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300092"/>
    <w:rPr>
      <w:rFonts w:ascii="Garamond" w:eastAsia="Times New Roman" w:hAnsi="Garamond"/>
      <w:sz w:val="24"/>
      <w:szCs w:val="24"/>
      <w:lang w:eastAsia="zh-C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300092"/>
    <w:rPr>
      <w:rFonts w:ascii="Garamond" w:eastAsia="Times New Roman" w:hAnsi="Garamond"/>
      <w:sz w:val="24"/>
      <w:szCs w:val="24"/>
      <w:lang w:eastAsia="zh-C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300092"/>
    <w:rPr>
      <w:rFonts w:ascii="Garamond" w:eastAsia="Times New Roman" w:hAnsi="Garamond"/>
      <w:sz w:val="24"/>
      <w:szCs w:val="24"/>
      <w:lang w:eastAsia="zh-C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300092"/>
    <w:rPr>
      <w:rFonts w:ascii="Garamond" w:eastAsia="Times New Roman" w:hAnsi="Garamond"/>
      <w:sz w:val="24"/>
      <w:szCs w:val="24"/>
      <w:lang w:eastAsia="zh-C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300092"/>
    <w:rPr>
      <w:rFonts w:ascii="Garamond" w:eastAsia="Times New Roman" w:hAnsi="Garamond"/>
      <w:sz w:val="24"/>
      <w:szCs w:val="24"/>
      <w:lang w:eastAsia="zh-C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300092"/>
    <w:rPr>
      <w:rFonts w:ascii="Garamond" w:eastAsia="Times New Roman" w:hAnsi="Garamond"/>
      <w:sz w:val="24"/>
      <w:szCs w:val="24"/>
      <w:lang w:eastAsia="zh-C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character" w:styleId="SubtleEmphasis">
    <w:name w:val="Subtle Emphasis"/>
    <w:basedOn w:val="DefaultParagraphFont"/>
    <w:uiPriority w:val="99"/>
    <w:qFormat/>
    <w:rsid w:val="00300092"/>
    <w:rPr>
      <w:rFonts w:cs="Times New Roman"/>
      <w:i/>
      <w:iCs/>
      <w:color w:val="808080"/>
    </w:rPr>
  </w:style>
  <w:style w:type="character" w:styleId="SubtleReference">
    <w:name w:val="Subtle Reference"/>
    <w:basedOn w:val="DefaultParagraphFont"/>
    <w:uiPriority w:val="99"/>
    <w:qFormat/>
    <w:rsid w:val="00300092"/>
    <w:rPr>
      <w:rFonts w:cs="Times New Roman"/>
      <w:smallCaps/>
      <w:color w:val="C0504D"/>
      <w:u w:val="single"/>
    </w:rPr>
  </w:style>
  <w:style w:type="table" w:customStyle="1" w:styleId="ColorfulGrid2">
    <w:name w:val="Colorful Grid2"/>
    <w:basedOn w:val="TableNormal"/>
    <w:uiPriority w:val="99"/>
    <w:rsid w:val="00300092"/>
    <w:rPr>
      <w:rFonts w:ascii="Garamond" w:eastAsia="Times New Roman" w:hAnsi="Garamond"/>
      <w:color w:val="000000"/>
      <w:sz w:val="24"/>
      <w:szCs w:val="24"/>
      <w:lang w:eastAsia="zh-CN"/>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rFonts w:cs="Times New Roman"/>
        <w:b/>
        <w:bCs/>
      </w:rPr>
      <w:tblPr/>
      <w:tcPr>
        <w:shd w:val="clear" w:color="auto" w:fill="999999"/>
      </w:tcPr>
    </w:tblStylePr>
    <w:tblStylePr w:type="lastRow">
      <w:rPr>
        <w:rFonts w:cs="Times New Roman"/>
        <w:b/>
        <w:bCs/>
        <w:color w:val="000000"/>
      </w:rPr>
      <w:tblPr/>
      <w:tcPr>
        <w:shd w:val="clear" w:color="auto" w:fill="999999"/>
      </w:tcPr>
    </w:tblStylePr>
    <w:tblStylePr w:type="firstCol">
      <w:rPr>
        <w:rFonts w:cs="Times New Roman"/>
        <w:color w:val="FFFFFF"/>
      </w:rPr>
      <w:tblPr/>
      <w:tcPr>
        <w:shd w:val="clear" w:color="auto" w:fill="000000"/>
      </w:tcPr>
    </w:tblStylePr>
    <w:tblStylePr w:type="lastCol">
      <w:rPr>
        <w:rFonts w:cs="Times New Roman"/>
        <w:color w:val="FFFFFF"/>
      </w:rPr>
      <w:tblPr/>
      <w:tcPr>
        <w:shd w:val="clear" w:color="auto" w:fill="000000"/>
      </w:tc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customStyle="1" w:styleId="ColorfulList2">
    <w:name w:val="Colorful List2"/>
    <w:basedOn w:val="TableNormal"/>
    <w:uiPriority w:val="99"/>
    <w:rsid w:val="00300092"/>
    <w:rPr>
      <w:rFonts w:ascii="Garamond" w:eastAsia="Times New Roman" w:hAnsi="Garamond"/>
      <w:color w:val="000000"/>
      <w:sz w:val="24"/>
      <w:szCs w:val="24"/>
      <w:lang w:eastAsia="zh-CN"/>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0C0C0"/>
      </w:tcPr>
    </w:tblStylePr>
    <w:tblStylePr w:type="band1Horz">
      <w:rPr>
        <w:rFonts w:cs="Times New Roman"/>
      </w:rPr>
      <w:tblPr/>
      <w:tcPr>
        <w:shd w:val="clear" w:color="auto" w:fill="CCCCCC"/>
      </w:tcPr>
    </w:tblStylePr>
  </w:style>
  <w:style w:type="table" w:customStyle="1" w:styleId="ColorfulShading2">
    <w:name w:val="Colorful Shading2"/>
    <w:basedOn w:val="TableNormal"/>
    <w:uiPriority w:val="99"/>
    <w:rsid w:val="00300092"/>
    <w:rPr>
      <w:rFonts w:ascii="Garamond" w:eastAsia="Times New Roman" w:hAnsi="Garamond"/>
      <w:color w:val="000000"/>
      <w:sz w:val="24"/>
      <w:szCs w:val="24"/>
      <w:lang w:eastAsia="zh-CN"/>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customStyle="1" w:styleId="DarkList2">
    <w:name w:val="Dark List2"/>
    <w:basedOn w:val="TableNormal"/>
    <w:uiPriority w:val="99"/>
    <w:rsid w:val="00300092"/>
    <w:rPr>
      <w:rFonts w:ascii="Garamond" w:eastAsia="Times New Roman" w:hAnsi="Garamond"/>
      <w:color w:val="FFFFFF"/>
      <w:sz w:val="24"/>
      <w:szCs w:val="24"/>
      <w:lang w:eastAsia="zh-CN"/>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000000"/>
      </w:tcPr>
    </w:tblStylePr>
    <w:tblStylePr w:type="firstCol">
      <w:rPr>
        <w:rFonts w:cs="Times New Roman"/>
      </w:rPr>
      <w:tblPr/>
      <w:tcPr>
        <w:tcBorders>
          <w:top w:val="nil"/>
          <w:left w:val="nil"/>
          <w:bottom w:val="nil"/>
          <w:right w:val="single" w:sz="18" w:space="0" w:color="FFFFFF"/>
          <w:insideH w:val="nil"/>
          <w:insideV w:val="nil"/>
        </w:tcBorders>
        <w:shd w:val="clear" w:color="auto" w:fill="000000"/>
      </w:tcPr>
    </w:tblStylePr>
    <w:tblStylePr w:type="lastCol">
      <w:rPr>
        <w:rFonts w:cs="Times New Roman"/>
      </w:rPr>
      <w:tblPr/>
      <w:tcPr>
        <w:tcBorders>
          <w:top w:val="nil"/>
          <w:left w:val="single" w:sz="18" w:space="0" w:color="FFFFFF"/>
          <w:bottom w:val="nil"/>
          <w:right w:val="nil"/>
          <w:insideH w:val="nil"/>
          <w:insideV w:val="nil"/>
        </w:tcBorders>
        <w:shd w:val="clear" w:color="auto" w:fill="000000"/>
      </w:tcPr>
    </w:tblStylePr>
    <w:tblStylePr w:type="band1Vert">
      <w:rPr>
        <w:rFonts w:cs="Times New Roman"/>
      </w:rPr>
      <w:tblPr/>
      <w:tcPr>
        <w:tcBorders>
          <w:top w:val="nil"/>
          <w:left w:val="nil"/>
          <w:bottom w:val="nil"/>
          <w:right w:val="nil"/>
          <w:insideH w:val="nil"/>
          <w:insideV w:val="nil"/>
        </w:tcBorders>
        <w:shd w:val="clear" w:color="auto" w:fill="000000"/>
      </w:tcPr>
    </w:tblStylePr>
    <w:tblStylePr w:type="band1Horz">
      <w:rPr>
        <w:rFonts w:cs="Times New Roman"/>
      </w:rPr>
      <w:tblPr/>
      <w:tcPr>
        <w:tcBorders>
          <w:top w:val="nil"/>
          <w:left w:val="nil"/>
          <w:bottom w:val="nil"/>
          <w:right w:val="nil"/>
          <w:insideH w:val="nil"/>
          <w:insideV w:val="nil"/>
        </w:tcBorders>
        <w:shd w:val="clear" w:color="auto" w:fill="000000"/>
      </w:tcPr>
    </w:tblStylePr>
  </w:style>
  <w:style w:type="table" w:customStyle="1" w:styleId="LightGrid2">
    <w:name w:val="Light Grid2"/>
    <w:basedOn w:val="TableNormal"/>
    <w:uiPriority w:val="99"/>
    <w:rsid w:val="00300092"/>
    <w:rPr>
      <w:rFonts w:ascii="Garamond" w:eastAsia="Times New Roman" w:hAnsi="Garamond"/>
      <w:sz w:val="24"/>
      <w:szCs w:val="24"/>
      <w:lang w:eastAsia="zh-C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2">
    <w:name w:val="Light Grid - Accent 12"/>
    <w:basedOn w:val="TableNormal"/>
    <w:uiPriority w:val="99"/>
    <w:rsid w:val="00300092"/>
    <w:rPr>
      <w:rFonts w:ascii="Garamond" w:eastAsia="Times New Roman" w:hAnsi="Garamond"/>
      <w:sz w:val="24"/>
      <w:szCs w:val="24"/>
      <w:lang w:eastAsia="zh-C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2">
    <w:name w:val="Light List2"/>
    <w:basedOn w:val="TableNormal"/>
    <w:uiPriority w:val="99"/>
    <w:rsid w:val="00300092"/>
    <w:rPr>
      <w:rFonts w:ascii="Garamond" w:eastAsia="Times New Roman" w:hAnsi="Garamond"/>
      <w:sz w:val="24"/>
      <w:szCs w:val="24"/>
      <w:lang w:eastAsia="zh-C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20">
    <w:name w:val="Light List - Accent 12"/>
    <w:basedOn w:val="TableNormal"/>
    <w:uiPriority w:val="99"/>
    <w:rsid w:val="00300092"/>
    <w:rPr>
      <w:rFonts w:ascii="Garamond" w:eastAsia="Times New Roman" w:hAnsi="Garamond"/>
      <w:sz w:val="24"/>
      <w:szCs w:val="24"/>
      <w:lang w:eastAsia="zh-C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2">
    <w:name w:val="Light Shading2"/>
    <w:basedOn w:val="TableNormal"/>
    <w:uiPriority w:val="99"/>
    <w:rsid w:val="00300092"/>
    <w:rPr>
      <w:rFonts w:ascii="Garamond" w:eastAsia="Times New Roman" w:hAnsi="Garamond"/>
      <w:color w:val="000000"/>
      <w:sz w:val="24"/>
      <w:szCs w:val="24"/>
      <w:lang w:eastAsia="zh-CN"/>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LightShading-Accent12">
    <w:name w:val="Light Shading - Accent 12"/>
    <w:basedOn w:val="TableNormal"/>
    <w:uiPriority w:val="99"/>
    <w:rsid w:val="00300092"/>
    <w:rPr>
      <w:rFonts w:ascii="Garamond" w:eastAsia="Times New Roman" w:hAnsi="Garamond"/>
      <w:color w:val="365F91"/>
      <w:sz w:val="24"/>
      <w:szCs w:val="24"/>
      <w:lang w:eastAsia="zh-CN"/>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MediumGrid12">
    <w:name w:val="Medium Grid 12"/>
    <w:basedOn w:val="TableNormal"/>
    <w:uiPriority w:val="99"/>
    <w:rsid w:val="00300092"/>
    <w:rPr>
      <w:rFonts w:ascii="Garamond" w:eastAsia="Times New Roman" w:hAnsi="Garamond"/>
      <w:sz w:val="24"/>
      <w:szCs w:val="24"/>
      <w:lang w:eastAsia="zh-CN"/>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rFonts w:cs="Times New Roman"/>
        <w:b/>
        <w:bCs/>
      </w:rPr>
    </w:tblStylePr>
    <w:tblStylePr w:type="lastRow">
      <w:rPr>
        <w:rFonts w:cs="Times New Roman"/>
        <w:b/>
        <w:bCs/>
      </w:rPr>
      <w:tblPr/>
      <w:tcPr>
        <w:tcBorders>
          <w:top w:val="single" w:sz="18" w:space="0" w:color="40404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customStyle="1" w:styleId="MediumGrid22">
    <w:name w:val="Medium Grid 22"/>
    <w:basedOn w:val="TableNormal"/>
    <w:uiPriority w:val="99"/>
    <w:rsid w:val="00300092"/>
    <w:rPr>
      <w:rFonts w:ascii="Cambria" w:eastAsia="Times New Roman" w:hAnsi="Cambria"/>
      <w:color w:val="000000"/>
      <w:sz w:val="24"/>
      <w:szCs w:val="24"/>
      <w:lang w:eastAsia="zh-C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rFonts w:cs="Times New Roman"/>
        <w:b/>
        <w:bCs/>
        <w:color w:val="000000"/>
      </w:rPr>
      <w:tblPr/>
      <w:tcPr>
        <w:shd w:val="clear" w:color="auto" w:fill="E6E6E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CCCCCC"/>
      </w:tcPr>
    </w:tblStylePr>
    <w:tblStylePr w:type="band1Vert">
      <w:rPr>
        <w:rFonts w:cs="Times New Roman"/>
      </w:rPr>
      <w:tblPr/>
      <w:tcPr>
        <w:shd w:val="clear" w:color="auto" w:fill="808080"/>
      </w:tcPr>
    </w:tblStylePr>
    <w:tblStylePr w:type="band1Horz">
      <w:rPr>
        <w:rFonts w:cs="Times New Roman"/>
      </w:rPr>
      <w:tblPr/>
      <w:tcPr>
        <w:tcBorders>
          <w:insideH w:val="single" w:sz="6" w:space="0" w:color="000000"/>
          <w:insideV w:val="single" w:sz="6" w:space="0" w:color="000000"/>
        </w:tcBorders>
        <w:shd w:val="clear" w:color="auto" w:fill="808080"/>
      </w:tcPr>
    </w:tblStylePr>
    <w:tblStylePr w:type="nwCell">
      <w:rPr>
        <w:rFonts w:cs="Times New Roman"/>
      </w:rPr>
      <w:tblPr/>
      <w:tcPr>
        <w:shd w:val="clear" w:color="auto" w:fill="FFFFFF"/>
      </w:tcPr>
    </w:tblStylePr>
  </w:style>
  <w:style w:type="table" w:customStyle="1" w:styleId="MediumGrid32">
    <w:name w:val="Medium Grid 32"/>
    <w:basedOn w:val="TableNormal"/>
    <w:uiPriority w:val="99"/>
    <w:rsid w:val="00300092"/>
    <w:rPr>
      <w:rFonts w:ascii="Garamond" w:eastAsia="Times New Roman" w:hAnsi="Garamond"/>
      <w:sz w:val="24"/>
      <w:szCs w:val="24"/>
      <w:lang w:eastAsia="zh-C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List12">
    <w:name w:val="Medium List 12"/>
    <w:basedOn w:val="TableNormal"/>
    <w:uiPriority w:val="99"/>
    <w:rsid w:val="00300092"/>
    <w:rPr>
      <w:rFonts w:ascii="Garamond" w:eastAsia="Times New Roman" w:hAnsi="Garamond"/>
      <w:color w:val="000000"/>
      <w:sz w:val="24"/>
      <w:szCs w:val="24"/>
      <w:lang w:eastAsia="zh-CN"/>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MediumList1-Accent12">
    <w:name w:val="Medium List 1 - Accent 12"/>
    <w:basedOn w:val="TableNormal"/>
    <w:uiPriority w:val="99"/>
    <w:rsid w:val="00300092"/>
    <w:rPr>
      <w:rFonts w:ascii="Garamond" w:eastAsia="Times New Roman" w:hAnsi="Garamond"/>
      <w:color w:val="000000"/>
      <w:sz w:val="24"/>
      <w:szCs w:val="24"/>
      <w:lang w:eastAsia="zh-CN"/>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table" w:customStyle="1" w:styleId="MediumList22">
    <w:name w:val="Medium List 22"/>
    <w:basedOn w:val="TableNormal"/>
    <w:uiPriority w:val="99"/>
    <w:rsid w:val="00300092"/>
    <w:rPr>
      <w:rFonts w:ascii="Cambria" w:eastAsia="Times New Roman" w:hAnsi="Cambria"/>
      <w:color w:val="000000"/>
      <w:sz w:val="24"/>
      <w:szCs w:val="24"/>
      <w:lang w:eastAsia="zh-C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2">
    <w:name w:val="Medium Shading 12"/>
    <w:basedOn w:val="TableNormal"/>
    <w:uiPriority w:val="99"/>
    <w:rsid w:val="00300092"/>
    <w:rPr>
      <w:rFonts w:ascii="Garamond" w:eastAsia="Times New Roman" w:hAnsi="Garamond"/>
      <w:sz w:val="24"/>
      <w:szCs w:val="24"/>
      <w:lang w:eastAsia="zh-CN"/>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MediumShading1-Accent12">
    <w:name w:val="Medium Shading 1 - Accent 12"/>
    <w:basedOn w:val="TableNormal"/>
    <w:uiPriority w:val="99"/>
    <w:rsid w:val="00300092"/>
    <w:rPr>
      <w:rFonts w:ascii="Garamond" w:eastAsia="Times New Roman" w:hAnsi="Garamond"/>
      <w:sz w:val="24"/>
      <w:szCs w:val="24"/>
      <w:lang w:eastAsia="zh-C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customStyle="1" w:styleId="MediumShading22">
    <w:name w:val="Medium Shading 22"/>
    <w:basedOn w:val="TableNormal"/>
    <w:uiPriority w:val="99"/>
    <w:rsid w:val="00300092"/>
    <w:rPr>
      <w:rFonts w:ascii="Garamond" w:eastAsia="Times New Roman" w:hAnsi="Garamond"/>
      <w:sz w:val="24"/>
      <w:szCs w:val="24"/>
      <w:lang w:eastAsia="zh-C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2">
    <w:name w:val="Medium Shading 2 - Accent 12"/>
    <w:basedOn w:val="TableNormal"/>
    <w:uiPriority w:val="99"/>
    <w:rsid w:val="00300092"/>
    <w:rPr>
      <w:rFonts w:ascii="Garamond" w:eastAsia="Times New Roman" w:hAnsi="Garamond"/>
      <w:sz w:val="24"/>
      <w:szCs w:val="24"/>
      <w:lang w:eastAsia="zh-C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styleId="Revision">
    <w:name w:val="Revision"/>
    <w:hidden/>
    <w:uiPriority w:val="99"/>
    <w:semiHidden/>
    <w:rsid w:val="00300092"/>
    <w:rPr>
      <w:rFonts w:ascii="Times New Roman" w:eastAsia="Times New Roman" w:hAnsi="Times New Roman"/>
    </w:rPr>
  </w:style>
  <w:style w:type="character" w:customStyle="1" w:styleId="CommentTextChar2">
    <w:name w:val="Comment Text Char2"/>
    <w:basedOn w:val="DefaultParagraphFont"/>
    <w:uiPriority w:val="99"/>
    <w:locked/>
    <w:rsid w:val="00300092"/>
    <w:rPr>
      <w:rFonts w:ascii="Arial" w:hAnsi="Arial" w:cs="Times New Roman"/>
      <w:lang w:val="en-AU" w:eastAsia="en-AU" w:bidi="ar-SA"/>
    </w:rPr>
  </w:style>
  <w:style w:type="character" w:customStyle="1" w:styleId="F-tCharChar">
    <w:name w:val="F-t Char Char"/>
    <w:basedOn w:val="DefaultParagraphFont"/>
    <w:uiPriority w:val="99"/>
    <w:locked/>
    <w:rsid w:val="00300092"/>
    <w:rPr>
      <w:rFonts w:ascii="Arial" w:hAnsi="Arial" w:cs="Times New Roman"/>
      <w:lang w:val="en-AU" w:eastAsia="en-AU" w:bidi="ar-SA"/>
    </w:rPr>
  </w:style>
  <w:style w:type="paragraph" w:customStyle="1" w:styleId="bullets0">
    <w:name w:val="bullets"/>
    <w:basedOn w:val="Normal"/>
    <w:uiPriority w:val="99"/>
    <w:rsid w:val="00300092"/>
    <w:pPr>
      <w:spacing w:before="100" w:beforeAutospacing="1" w:after="100" w:afterAutospacing="1"/>
    </w:pPr>
    <w:rPr>
      <w:rFonts w:ascii="Times New Roman" w:eastAsia="Times New Roman" w:hAnsi="Times New Roman"/>
      <w:color w:val="auto"/>
      <w:sz w:val="24"/>
      <w:szCs w:val="24"/>
    </w:rPr>
  </w:style>
  <w:style w:type="numbering" w:customStyle="1" w:styleId="ATbulletedlist">
    <w:name w:val="AT bulleted list"/>
    <w:rsid w:val="00300092"/>
    <w:pPr>
      <w:numPr>
        <w:numId w:val="37"/>
      </w:numPr>
    </w:pPr>
  </w:style>
  <w:style w:type="numbering" w:customStyle="1" w:styleId="ATNumberedList">
    <w:name w:val="AT Numbered List"/>
    <w:rsid w:val="00300092"/>
    <w:pPr>
      <w:numPr>
        <w:numId w:val="39"/>
      </w:numPr>
    </w:pPr>
  </w:style>
  <w:style w:type="numbering" w:customStyle="1" w:styleId="ATNumberedlist0">
    <w:name w:val="AT Numbered list"/>
    <w:rsid w:val="00300092"/>
    <w:pPr>
      <w:numPr>
        <w:numId w:val="38"/>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TableBullets"/>
    <w:pPr>
      <w:numPr>
        <w:numId w:val="8"/>
      </w:numPr>
    </w:pPr>
  </w:style>
  <w:style w:type="numbering" w:customStyle="1" w:styleId="Heading2Char">
    <w:name w:val="Sources"/>
    <w:pPr>
      <w:numPr>
        <w:numId w:val="7"/>
      </w:numPr>
    </w:pPr>
  </w:style>
  <w:style w:type="numbering" w:customStyle="1" w:styleId="Heading3Char">
    <w:name w:val="1ai"/>
    <w:pPr>
      <w:numPr>
        <w:numId w:val="11"/>
      </w:numPr>
    </w:pPr>
  </w:style>
  <w:style w:type="numbering" w:customStyle="1" w:styleId="Heading4Char">
    <w:name w:val="111111"/>
    <w:pPr>
      <w:numPr>
        <w:numId w:val="10"/>
      </w:numPr>
    </w:pPr>
  </w:style>
  <w:style w:type="numbering" w:customStyle="1" w:styleId="Heading5Char">
    <w:name w:val="Bullets"/>
    <w:pPr>
      <w:numPr>
        <w:numId w:val="6"/>
      </w:numPr>
    </w:pPr>
  </w:style>
  <w:style w:type="numbering" w:customStyle="1" w:styleId="Heading6Char">
    <w:name w:val="Numbers"/>
    <w:pPr>
      <w:numPr>
        <w:numId w:val="9"/>
      </w:numPr>
    </w:pPr>
  </w:style>
  <w:style w:type="numbering" w:customStyle="1" w:styleId="Heading7Char">
    <w:name w:val="ArticleSection"/>
    <w:pPr>
      <w:numPr>
        <w:numId w:val="12"/>
      </w:numPr>
    </w:pPr>
  </w:style>
  <w:style w:type="numbering" w:customStyle="1" w:styleId="Heading8Char">
    <w:name w:val="ATbulletedlist"/>
    <w:pPr>
      <w:numPr>
        <w:numId w:val="37"/>
      </w:numPr>
    </w:pPr>
  </w:style>
  <w:style w:type="numbering" w:customStyle="1" w:styleId="Heading9Char">
    <w:name w:val="ATNumberedList"/>
    <w:pPr>
      <w:numPr>
        <w:numId w:val="39"/>
      </w:numPr>
    </w:pPr>
  </w:style>
  <w:style w:type="numbering" w:customStyle="1" w:styleId="Header">
    <w:name w:val="ATNumberedlist0"/>
    <w:pPr>
      <w:numPr>
        <w:numId w:val="38"/>
      </w:numPr>
    </w:pPr>
  </w:style>
</w:styles>
</file>

<file path=word/webSettings.xml><?xml version="1.0" encoding="utf-8"?>
<w:webSettings xmlns:r="http://schemas.openxmlformats.org/officeDocument/2006/relationships" xmlns:w="http://schemas.openxmlformats.org/wordprocessingml/2006/main">
  <w:divs>
    <w:div w:id="279993382">
      <w:bodyDiv w:val="1"/>
      <w:marLeft w:val="0"/>
      <w:marRight w:val="0"/>
      <w:marTop w:val="0"/>
      <w:marBottom w:val="0"/>
      <w:divBdr>
        <w:top w:val="none" w:sz="0" w:space="0" w:color="auto"/>
        <w:left w:val="none" w:sz="0" w:space="0" w:color="auto"/>
        <w:bottom w:val="none" w:sz="0" w:space="0" w:color="auto"/>
        <w:right w:val="none" w:sz="0" w:space="0" w:color="auto"/>
      </w:divBdr>
    </w:div>
    <w:div w:id="417213154">
      <w:bodyDiv w:val="1"/>
      <w:marLeft w:val="0"/>
      <w:marRight w:val="0"/>
      <w:marTop w:val="0"/>
      <w:marBottom w:val="0"/>
      <w:divBdr>
        <w:top w:val="none" w:sz="0" w:space="0" w:color="auto"/>
        <w:left w:val="none" w:sz="0" w:space="0" w:color="auto"/>
        <w:bottom w:val="none" w:sz="0" w:space="0" w:color="auto"/>
        <w:right w:val="none" w:sz="0" w:space="0" w:color="auto"/>
      </w:divBdr>
    </w:div>
    <w:div w:id="835002939">
      <w:bodyDiv w:val="1"/>
      <w:marLeft w:val="0"/>
      <w:marRight w:val="0"/>
      <w:marTop w:val="0"/>
      <w:marBottom w:val="0"/>
      <w:divBdr>
        <w:top w:val="none" w:sz="0" w:space="0" w:color="auto"/>
        <w:left w:val="none" w:sz="0" w:space="0" w:color="auto"/>
        <w:bottom w:val="none" w:sz="0" w:space="0" w:color="auto"/>
        <w:right w:val="none" w:sz="0" w:space="0" w:color="auto"/>
      </w:divBdr>
    </w:div>
    <w:div w:id="840772986">
      <w:bodyDiv w:val="1"/>
      <w:marLeft w:val="0"/>
      <w:marRight w:val="0"/>
      <w:marTop w:val="0"/>
      <w:marBottom w:val="0"/>
      <w:divBdr>
        <w:top w:val="none" w:sz="0" w:space="0" w:color="auto"/>
        <w:left w:val="none" w:sz="0" w:space="0" w:color="auto"/>
        <w:bottom w:val="none" w:sz="0" w:space="0" w:color="auto"/>
        <w:right w:val="none" w:sz="0" w:space="0" w:color="auto"/>
      </w:divBdr>
    </w:div>
    <w:div w:id="1480532522">
      <w:bodyDiv w:val="1"/>
      <w:marLeft w:val="0"/>
      <w:marRight w:val="0"/>
      <w:marTop w:val="0"/>
      <w:marBottom w:val="0"/>
      <w:divBdr>
        <w:top w:val="none" w:sz="0" w:space="0" w:color="auto"/>
        <w:left w:val="none" w:sz="0" w:space="0" w:color="auto"/>
        <w:bottom w:val="none" w:sz="0" w:space="0" w:color="auto"/>
        <w:right w:val="none" w:sz="0" w:space="0" w:color="auto"/>
      </w:divBdr>
    </w:div>
    <w:div w:id="1701390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21" Type="http://schemas.openxmlformats.org/officeDocument/2006/relationships/image" Target="media/image9.emf"/><Relationship Id="rId34" Type="http://schemas.openxmlformats.org/officeDocument/2006/relationships/image" Target="media/image22.emf"/><Relationship Id="rId42" Type="http://schemas.openxmlformats.org/officeDocument/2006/relationships/image" Target="media/image30.emf"/><Relationship Id="rId47" Type="http://schemas.openxmlformats.org/officeDocument/2006/relationships/image" Target="media/image35.emf"/><Relationship Id="rId50" Type="http://schemas.openxmlformats.org/officeDocument/2006/relationships/image" Target="media/image38.emf"/><Relationship Id="rId55" Type="http://schemas.openxmlformats.org/officeDocument/2006/relationships/image" Target="media/image43.emf"/><Relationship Id="rId63" Type="http://schemas.openxmlformats.org/officeDocument/2006/relationships/image" Target="media/image51.emf"/><Relationship Id="rId68" Type="http://schemas.openxmlformats.org/officeDocument/2006/relationships/hyperlink" Target="http://www.climatechange.gov.au/publications/projections/~/media/publications/projections/bitre-transport-modelling-pdf.pdf" TargetMode="External"/><Relationship Id="rId76" Type="http://schemas.openxmlformats.org/officeDocument/2006/relationships/hyperlink" Target="http://www.csiro.au/resources/FuelForThoughtModelling.html" TargetMode="External"/><Relationship Id="rId84" Type="http://schemas.openxmlformats.org/officeDocument/2006/relationships/image" Target="media/image52.wmf"/><Relationship Id="rId89" Type="http://schemas.openxmlformats.org/officeDocument/2006/relationships/header" Target="header3.xml"/><Relationship Id="rId97" Type="http://schemas.microsoft.com/office/2007/relationships/stylesWithEffects" Target="stylesWithEffects.xml"/><Relationship Id="rId7" Type="http://schemas.openxmlformats.org/officeDocument/2006/relationships/endnotes" Target="endnotes.xml"/><Relationship Id="rId71" Type="http://schemas.openxmlformats.org/officeDocument/2006/relationships/hyperlink" Target="http://www.csiro.au/~/media/CSIROau/Flagships/Energy%20Transformed%20Flagship/ALCTF%20technical%20report.pdf" TargetMode="External"/><Relationship Id="rId92"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image" Target="media/image17.emf"/><Relationship Id="rId11" Type="http://schemas.openxmlformats.org/officeDocument/2006/relationships/header" Target="header1.xm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image" Target="media/image33.emf"/><Relationship Id="rId53" Type="http://schemas.openxmlformats.org/officeDocument/2006/relationships/image" Target="media/image41.emf"/><Relationship Id="rId58" Type="http://schemas.openxmlformats.org/officeDocument/2006/relationships/image" Target="media/image46.emf"/><Relationship Id="rId66" Type="http://schemas.openxmlformats.org/officeDocument/2006/relationships/hyperlink" Target="http://www.transportation.anl.gov/modeling_simulation/VISION/" TargetMode="External"/><Relationship Id="rId74" Type="http://schemas.openxmlformats.org/officeDocument/2006/relationships/hyperlink" Target="http://www.bitre.gov.au/publications/2010/files/sp_005_Gargett.pdf" TargetMode="External"/><Relationship Id="rId79" Type="http://schemas.openxmlformats.org/officeDocument/2006/relationships/hyperlink" Target="http://www.iea.org/publications/free_new_Desc.asp?PUBS_ID=2133" TargetMode="External"/><Relationship Id="rId87" Type="http://schemas.openxmlformats.org/officeDocument/2006/relationships/image" Target="media/image55.wmf"/><Relationship Id="rId5" Type="http://schemas.openxmlformats.org/officeDocument/2006/relationships/webSettings" Target="webSettings.xml"/><Relationship Id="rId61" Type="http://schemas.openxmlformats.org/officeDocument/2006/relationships/image" Target="media/image49.emf"/><Relationship Id="rId82" Type="http://schemas.openxmlformats.org/officeDocument/2006/relationships/hyperlink" Target="https://rirdc.infoservices.com.au/downloads/07-071.pdf" TargetMode="External"/><Relationship Id="rId90" Type="http://schemas.openxmlformats.org/officeDocument/2006/relationships/header" Target="header4.xml"/><Relationship Id="rId95" Type="http://schemas.openxmlformats.org/officeDocument/2006/relationships/fontTable" Target="fontTable.xml"/><Relationship Id="rId19" Type="http://schemas.openxmlformats.org/officeDocument/2006/relationships/image" Target="media/image7.emf"/><Relationship Id="rId14" Type="http://schemas.openxmlformats.org/officeDocument/2006/relationships/footer" Target="footer3.xml"/><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31.emf"/><Relationship Id="rId48" Type="http://schemas.openxmlformats.org/officeDocument/2006/relationships/image" Target="media/image36.emf"/><Relationship Id="rId56" Type="http://schemas.openxmlformats.org/officeDocument/2006/relationships/image" Target="media/image44.emf"/><Relationship Id="rId64" Type="http://schemas.openxmlformats.org/officeDocument/2006/relationships/hyperlink" Target="http://abs.gov.au/AUSSTATS/abs@.nsf/DetailsPage/9210.0.55.00112%20months%20ended%2031%20October%202007?OpenDocument" TargetMode="External"/><Relationship Id="rId69" Type="http://schemas.openxmlformats.org/officeDocument/2006/relationships/hyperlink" Target="http://www.bree.gov.au/publications/aes-2013.html" TargetMode="External"/><Relationship Id="rId77" Type="http://schemas.openxmlformats.org/officeDocument/2006/relationships/hyperlink" Target="http://automobiles.honda.com/fcx-clarity/home-energy-station.aspx" TargetMode="External"/><Relationship Id="rId8" Type="http://schemas.openxmlformats.org/officeDocument/2006/relationships/image" Target="media/image1.emf"/><Relationship Id="rId51" Type="http://schemas.openxmlformats.org/officeDocument/2006/relationships/image" Target="media/image39.emf"/><Relationship Id="rId72" Type="http://schemas.openxmlformats.org/officeDocument/2006/relationships/hyperlink" Target="http://www.electrificationcoalition.org/electrification-roadmap.php" TargetMode="External"/><Relationship Id="rId80" Type="http://schemas.openxmlformats.org/officeDocument/2006/relationships/hyperlink" Target="http://webarchive.nationalarchives.gov.uk/+/http://www.hm-treasury.gov.uk/d/pbr_csr07_king840.pdf" TargetMode="External"/><Relationship Id="rId85" Type="http://schemas.openxmlformats.org/officeDocument/2006/relationships/image" Target="media/image53.wmf"/><Relationship Id="rId93" Type="http://schemas.openxmlformats.org/officeDocument/2006/relationships/header" Target="header5.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image" Target="media/image34.emf"/><Relationship Id="rId59" Type="http://schemas.openxmlformats.org/officeDocument/2006/relationships/image" Target="media/image47.emf"/><Relationship Id="rId67" Type="http://schemas.openxmlformats.org/officeDocument/2006/relationships/hyperlink" Target="http://www.treasury.gov.au/lowpollutionfuture/consultants_report/downloads/Modelling_the_road_transport_sector.pdf" TargetMode="External"/><Relationship Id="rId20" Type="http://schemas.openxmlformats.org/officeDocument/2006/relationships/image" Target="media/image8.emf"/><Relationship Id="rId41" Type="http://schemas.openxmlformats.org/officeDocument/2006/relationships/image" Target="media/image29.emf"/><Relationship Id="rId54" Type="http://schemas.openxmlformats.org/officeDocument/2006/relationships/image" Target="media/image42.emf"/><Relationship Id="rId62" Type="http://schemas.openxmlformats.org/officeDocument/2006/relationships/image" Target="media/image50.emf"/><Relationship Id="rId70" Type="http://schemas.openxmlformats.org/officeDocument/2006/relationships/hyperlink" Target="http://www.mssanz.org.au/modsim09/A3/cheng_j.pdf" TargetMode="External"/><Relationship Id="rId75" Type="http://schemas.openxmlformats.org/officeDocument/2006/relationships/hyperlink" Target="http://www.csiro.au/resources/Sustainable-Aviation-Fuels.html" TargetMode="External"/><Relationship Id="rId83" Type="http://schemas.openxmlformats.org/officeDocument/2006/relationships/hyperlink" Target="http://pubs.its.ucdavis.edu/publication_detail.php?id=123" TargetMode="External"/><Relationship Id="rId88" Type="http://schemas.openxmlformats.org/officeDocument/2006/relationships/image" Target="media/image56.wmf"/><Relationship Id="rId91" Type="http://schemas.openxmlformats.org/officeDocument/2006/relationships/footer" Target="footer4.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emf"/><Relationship Id="rId49" Type="http://schemas.openxmlformats.org/officeDocument/2006/relationships/image" Target="media/image37.emf"/><Relationship Id="rId57" Type="http://schemas.openxmlformats.org/officeDocument/2006/relationships/image" Target="media/image45.emf"/><Relationship Id="rId10" Type="http://schemas.openxmlformats.org/officeDocument/2006/relationships/image" Target="media/image2.emf"/><Relationship Id="rId31" Type="http://schemas.openxmlformats.org/officeDocument/2006/relationships/image" Target="media/image19.emf"/><Relationship Id="rId44" Type="http://schemas.openxmlformats.org/officeDocument/2006/relationships/image" Target="media/image32.emf"/><Relationship Id="rId52" Type="http://schemas.openxmlformats.org/officeDocument/2006/relationships/image" Target="media/image40.emf"/><Relationship Id="rId60" Type="http://schemas.openxmlformats.org/officeDocument/2006/relationships/image" Target="media/image48.emf"/><Relationship Id="rId65" Type="http://schemas.openxmlformats.org/officeDocument/2006/relationships/hyperlink" Target="http://www.abs.gov.au/ausstats/abs@.nsf/mf/4602.0.55.002" TargetMode="External"/><Relationship Id="rId73" Type="http://schemas.openxmlformats.org/officeDocument/2006/relationships/hyperlink" Target="http://www.fcai.com.au/sales" TargetMode="External"/><Relationship Id="rId78" Type="http://schemas.openxmlformats.org/officeDocument/2006/relationships/hyperlink" Target="http://www.worldenergyoutlook.org/" TargetMode="External"/><Relationship Id="rId81" Type="http://schemas.openxmlformats.org/officeDocument/2006/relationships/hyperlink" Target="http://www.mynrma.com.au/images/Motoring-PDF/Private-Costs-Report-Summary.pdf" TargetMode="External"/><Relationship Id="rId86" Type="http://schemas.openxmlformats.org/officeDocument/2006/relationships/image" Target="media/image54.wmf"/><Relationship Id="rId94" Type="http://schemas.openxmlformats.org/officeDocument/2006/relationships/header" Target="header6.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2.xml"/><Relationship Id="rId18" Type="http://schemas.openxmlformats.org/officeDocument/2006/relationships/image" Target="media/image6.emf"/><Relationship Id="rId39" Type="http://schemas.openxmlformats.org/officeDocument/2006/relationships/image" Target="media/image27.emf"/></Relationships>
</file>

<file path=word/_rels/footnotes.xml.rels><?xml version="1.0" encoding="UTF-8" standalone="yes"?>
<Relationships xmlns="http://schemas.openxmlformats.org/package/2006/relationships"><Relationship Id="rId3" Type="http://schemas.openxmlformats.org/officeDocument/2006/relationships/hyperlink" Target="http://www.biofuels.nsw.gov.au/legislation" TargetMode="External"/><Relationship Id="rId2" Type="http://schemas.openxmlformats.org/officeDocument/2006/relationships/hyperlink" Target="http://www.comlaw.gov.au/Details/F2013L00990" TargetMode="External"/><Relationship Id="rId1" Type="http://schemas.openxmlformats.org/officeDocument/2006/relationships/hyperlink" Target="http://www.csiro.au/science/Sustainable-Aviation-Fuels-Road-Map.html" TargetMode="External"/><Relationship Id="rId4" Type="http://schemas.openxmlformats.org/officeDocument/2006/relationships/hyperlink" Target="http://www.ausindustry.gov.au/programs/energy-fuels/lpgvs/Pages/default.asp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e125\AppData\Local\Temp\CSIRO_ReportTemplate_Standard_120222-1.dotx" TargetMode="External"/></Relationships>
</file>

<file path=word/theme/theme1.xml><?xml version="1.0" encoding="utf-8"?>
<a:theme xmlns:a="http://schemas.openxmlformats.org/drawingml/2006/main" name="Office Theme">
  <a:themeElements>
    <a:clrScheme name="CSIRO Midday">
      <a:dk1>
        <a:sysClr val="windowText" lastClr="000000"/>
      </a:dk1>
      <a:lt1>
        <a:srgbClr val="FBFEFF"/>
      </a:lt1>
      <a:dk2>
        <a:srgbClr val="000000"/>
      </a:dk2>
      <a:lt2>
        <a:srgbClr val="FBFEFF"/>
      </a:lt2>
      <a:accent1>
        <a:srgbClr val="00A9CE"/>
      </a:accent1>
      <a:accent2>
        <a:srgbClr val="00313C"/>
      </a:accent2>
      <a:accent3>
        <a:srgbClr val="78BE20"/>
      </a:accent3>
      <a:accent4>
        <a:srgbClr val="4A7729"/>
      </a:accent4>
      <a:accent5>
        <a:srgbClr val="9FAEE5"/>
      </a:accent5>
      <a:accent6>
        <a:srgbClr val="1E22AA"/>
      </a:accent6>
      <a:hlink>
        <a:srgbClr val="41B6E6"/>
      </a:hlink>
      <a:folHlink>
        <a:srgbClr val="004B8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40EBB9-5821-4797-A631-683C409CDD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CSIRO_ReportTemplate_Standard_120222-1.dotx</Template>
  <TotalTime>35</TotalTime>
  <Pages>108</Pages>
  <Words>22562</Words>
  <Characters>133310</Characters>
  <Application>Microsoft Office Word</Application>
  <DocSecurity>0</DocSecurity>
  <Lines>1110</Lines>
  <Paragraphs>311</Paragraphs>
  <ScaleCrop>false</ScaleCrop>
  <HeadingPairs>
    <vt:vector size="2" baseType="variant">
      <vt:variant>
        <vt:lpstr>Title</vt:lpstr>
      </vt:variant>
      <vt:variant>
        <vt:i4>1</vt:i4>
      </vt:variant>
    </vt:vector>
  </HeadingPairs>
  <TitlesOfParts>
    <vt:vector size="1" baseType="lpstr">
      <vt:lpstr>Report re Report Title</vt:lpstr>
    </vt:vector>
  </TitlesOfParts>
  <Company>CSIRO</Company>
  <LinksUpToDate>false</LinksUpToDate>
  <CharactersWithSpaces>155561</CharactersWithSpaces>
  <SharedDoc>false</SharedDoc>
  <HLinks>
    <vt:vector size="84" baseType="variant">
      <vt:variant>
        <vt:i4>1835069</vt:i4>
      </vt:variant>
      <vt:variant>
        <vt:i4>86</vt:i4>
      </vt:variant>
      <vt:variant>
        <vt:i4>0</vt:i4>
      </vt:variant>
      <vt:variant>
        <vt:i4>5</vt:i4>
      </vt:variant>
      <vt:variant>
        <vt:lpwstr/>
      </vt:variant>
      <vt:variant>
        <vt:lpwstr>_Toc316486081</vt:lpwstr>
      </vt:variant>
      <vt:variant>
        <vt:i4>1179709</vt:i4>
      </vt:variant>
      <vt:variant>
        <vt:i4>77</vt:i4>
      </vt:variant>
      <vt:variant>
        <vt:i4>0</vt:i4>
      </vt:variant>
      <vt:variant>
        <vt:i4>5</vt:i4>
      </vt:variant>
      <vt:variant>
        <vt:lpwstr/>
      </vt:variant>
      <vt:variant>
        <vt:lpwstr>_Toc316486069</vt:lpwstr>
      </vt:variant>
      <vt:variant>
        <vt:i4>1507380</vt:i4>
      </vt:variant>
      <vt:variant>
        <vt:i4>68</vt:i4>
      </vt:variant>
      <vt:variant>
        <vt:i4>0</vt:i4>
      </vt:variant>
      <vt:variant>
        <vt:i4>5</vt:i4>
      </vt:variant>
      <vt:variant>
        <vt:lpwstr/>
      </vt:variant>
      <vt:variant>
        <vt:lpwstr>_Toc316485903</vt:lpwstr>
      </vt:variant>
      <vt:variant>
        <vt:i4>1507380</vt:i4>
      </vt:variant>
      <vt:variant>
        <vt:i4>62</vt:i4>
      </vt:variant>
      <vt:variant>
        <vt:i4>0</vt:i4>
      </vt:variant>
      <vt:variant>
        <vt:i4>5</vt:i4>
      </vt:variant>
      <vt:variant>
        <vt:lpwstr/>
      </vt:variant>
      <vt:variant>
        <vt:lpwstr>_Toc316485902</vt:lpwstr>
      </vt:variant>
      <vt:variant>
        <vt:i4>1507380</vt:i4>
      </vt:variant>
      <vt:variant>
        <vt:i4>56</vt:i4>
      </vt:variant>
      <vt:variant>
        <vt:i4>0</vt:i4>
      </vt:variant>
      <vt:variant>
        <vt:i4>5</vt:i4>
      </vt:variant>
      <vt:variant>
        <vt:lpwstr/>
      </vt:variant>
      <vt:variant>
        <vt:lpwstr>_Toc316485901</vt:lpwstr>
      </vt:variant>
      <vt:variant>
        <vt:i4>1507380</vt:i4>
      </vt:variant>
      <vt:variant>
        <vt:i4>50</vt:i4>
      </vt:variant>
      <vt:variant>
        <vt:i4>0</vt:i4>
      </vt:variant>
      <vt:variant>
        <vt:i4>5</vt:i4>
      </vt:variant>
      <vt:variant>
        <vt:lpwstr/>
      </vt:variant>
      <vt:variant>
        <vt:lpwstr>_Toc316485900</vt:lpwstr>
      </vt:variant>
      <vt:variant>
        <vt:i4>1966133</vt:i4>
      </vt:variant>
      <vt:variant>
        <vt:i4>44</vt:i4>
      </vt:variant>
      <vt:variant>
        <vt:i4>0</vt:i4>
      </vt:variant>
      <vt:variant>
        <vt:i4>5</vt:i4>
      </vt:variant>
      <vt:variant>
        <vt:lpwstr/>
      </vt:variant>
      <vt:variant>
        <vt:lpwstr>_Toc316485899</vt:lpwstr>
      </vt:variant>
      <vt:variant>
        <vt:i4>1966133</vt:i4>
      </vt:variant>
      <vt:variant>
        <vt:i4>38</vt:i4>
      </vt:variant>
      <vt:variant>
        <vt:i4>0</vt:i4>
      </vt:variant>
      <vt:variant>
        <vt:i4>5</vt:i4>
      </vt:variant>
      <vt:variant>
        <vt:lpwstr/>
      </vt:variant>
      <vt:variant>
        <vt:lpwstr>_Toc316485898</vt:lpwstr>
      </vt:variant>
      <vt:variant>
        <vt:i4>1966133</vt:i4>
      </vt:variant>
      <vt:variant>
        <vt:i4>32</vt:i4>
      </vt:variant>
      <vt:variant>
        <vt:i4>0</vt:i4>
      </vt:variant>
      <vt:variant>
        <vt:i4>5</vt:i4>
      </vt:variant>
      <vt:variant>
        <vt:lpwstr/>
      </vt:variant>
      <vt:variant>
        <vt:lpwstr>_Toc316485897</vt:lpwstr>
      </vt:variant>
      <vt:variant>
        <vt:i4>1966133</vt:i4>
      </vt:variant>
      <vt:variant>
        <vt:i4>26</vt:i4>
      </vt:variant>
      <vt:variant>
        <vt:i4>0</vt:i4>
      </vt:variant>
      <vt:variant>
        <vt:i4>5</vt:i4>
      </vt:variant>
      <vt:variant>
        <vt:lpwstr/>
      </vt:variant>
      <vt:variant>
        <vt:lpwstr>_Toc316485896</vt:lpwstr>
      </vt:variant>
      <vt:variant>
        <vt:i4>1966133</vt:i4>
      </vt:variant>
      <vt:variant>
        <vt:i4>20</vt:i4>
      </vt:variant>
      <vt:variant>
        <vt:i4>0</vt:i4>
      </vt:variant>
      <vt:variant>
        <vt:i4>5</vt:i4>
      </vt:variant>
      <vt:variant>
        <vt:lpwstr/>
      </vt:variant>
      <vt:variant>
        <vt:lpwstr>_Toc316485895</vt:lpwstr>
      </vt:variant>
      <vt:variant>
        <vt:i4>1966133</vt:i4>
      </vt:variant>
      <vt:variant>
        <vt:i4>14</vt:i4>
      </vt:variant>
      <vt:variant>
        <vt:i4>0</vt:i4>
      </vt:variant>
      <vt:variant>
        <vt:i4>5</vt:i4>
      </vt:variant>
      <vt:variant>
        <vt:lpwstr/>
      </vt:variant>
      <vt:variant>
        <vt:lpwstr>_Toc316485894</vt:lpwstr>
      </vt:variant>
      <vt:variant>
        <vt:i4>1966133</vt:i4>
      </vt:variant>
      <vt:variant>
        <vt:i4>8</vt:i4>
      </vt:variant>
      <vt:variant>
        <vt:i4>0</vt:i4>
      </vt:variant>
      <vt:variant>
        <vt:i4>5</vt:i4>
      </vt:variant>
      <vt:variant>
        <vt:lpwstr/>
      </vt:variant>
      <vt:variant>
        <vt:lpwstr>_Toc316485893</vt:lpwstr>
      </vt:variant>
      <vt:variant>
        <vt:i4>1966133</vt:i4>
      </vt:variant>
      <vt:variant>
        <vt:i4>2</vt:i4>
      </vt:variant>
      <vt:variant>
        <vt:i4>0</vt:i4>
      </vt:variant>
      <vt:variant>
        <vt:i4>5</vt:i4>
      </vt:variant>
      <vt:variant>
        <vt:lpwstr/>
      </vt:variant>
      <vt:variant>
        <vt:lpwstr>_Toc316485892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re Report Title</dc:title>
  <dc:creator>Reedman, Luke (DET, Newcastle)</dc:creator>
  <cp:lastModifiedBy>Graham, Paul (ET F/Ship, Newcastle)</cp:lastModifiedBy>
  <cp:revision>8</cp:revision>
  <cp:lastPrinted>2013-09-01T22:11:00Z</cp:lastPrinted>
  <dcterms:created xsi:type="dcterms:W3CDTF">2013-09-06T00:09:00Z</dcterms:created>
  <dcterms:modified xsi:type="dcterms:W3CDTF">2013-09-06T00:51:00Z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Title">
    <vt:lpwstr>Report Title</vt:lpwstr>
  </property>
  <property fmtid="{D5CDD505-2E9C-101B-9397-08002B2CF9AE}" pid="3" name="CoverSubtitle">
    <vt:lpwstr>Cover Subtitle</vt:lpwstr>
  </property>
  <property fmtid="{D5CDD505-2E9C-101B-9397-08002B2CF9AE}" pid="4" name="ContentTypeId">
    <vt:lpwstr>0x010100529B7581109BE041A80104B7BC62AE32</vt:lpwstr>
  </property>
</Properties>
</file>