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C84804" w14:textId="7118CF82" w:rsidR="00241E61" w:rsidRDefault="00241E61" w:rsidP="00E55B7B">
      <w:pPr>
        <w:pStyle w:val="L1Heading"/>
      </w:pPr>
      <w:bookmarkStart w:id="0" w:name="_Toc224657081"/>
      <w:bookmarkStart w:id="1" w:name="_Toc224740965"/>
      <w:r>
        <w:rPr>
          <w:noProof/>
        </w:rPr>
        <mc:AlternateContent>
          <mc:Choice Requires="wps">
            <w:drawing>
              <wp:anchor distT="0" distB="0" distL="114300" distR="114300" simplePos="0" relativeHeight="251550720" behindDoc="1" locked="0" layoutInCell="1" allowOverlap="1" wp14:anchorId="416609EB" wp14:editId="1211C9F9">
                <wp:simplePos x="0" y="0"/>
                <wp:positionH relativeFrom="column">
                  <wp:posOffset>-564070</wp:posOffset>
                </wp:positionH>
                <wp:positionV relativeFrom="paragraph">
                  <wp:posOffset>-708850</wp:posOffset>
                </wp:positionV>
                <wp:extent cx="7588333" cy="10782795"/>
                <wp:effectExtent l="0" t="0" r="12700" b="19050"/>
                <wp:wrapNone/>
                <wp:docPr id="2085830711" name="Rectangle 1"/>
                <wp:cNvGraphicFramePr/>
                <a:graphic xmlns:a="http://schemas.openxmlformats.org/drawingml/2006/main">
                  <a:graphicData uri="http://schemas.microsoft.com/office/word/2010/wordprocessingShape">
                    <wps:wsp>
                      <wps:cNvSpPr/>
                      <wps:spPr>
                        <a:xfrm>
                          <a:off x="0" y="0"/>
                          <a:ext cx="7588333" cy="10782795"/>
                        </a:xfrm>
                        <a:prstGeom prst="rect">
                          <a:avLst/>
                        </a:prstGeom>
                        <a:solidFill>
                          <a:srgbClr val="123E54"/>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FED3E8" id="Rectangle 1" o:spid="_x0000_s1026" style="position:absolute;margin-left:-44.4pt;margin-top:-55.8pt;width:597.5pt;height:849.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" fillcolor="#123e54" strokecolor="#030e13 [484]" strokeweight="1pt"/>
            </w:pict>
          </mc:Fallback>
        </mc:AlternateContent>
      </w:r>
      <w:bookmarkEnd w:id="0"/>
      <w:bookmarkEnd w:id="1"/>
    </w:p>
    <w:p w14:paraId="621376CE" w14:textId="1016C279" w:rsidR="00241E61" w:rsidRDefault="00C12C8A">
      <w:pPr>
        <w:spacing w:before="0" w:after="160" w:line="279" w:lineRule="auto"/>
        <w:rPr>
          <w:rFonts w:eastAsiaTheme="majorEastAsia" w:cstheme="majorBidi"/>
          <w:b/>
          <w:color w:val="00679F"/>
          <w:sz w:val="76"/>
          <w:szCs w:val="40"/>
        </w:rPr>
      </w:pPr>
      <w:r>
        <w:rPr>
          <w:noProof/>
        </w:rPr>
        <mc:AlternateContent>
          <mc:Choice Requires="wps">
            <w:drawing>
              <wp:anchor distT="45720" distB="45720" distL="114300" distR="114300" simplePos="0" relativeHeight="251679744" behindDoc="0" locked="0" layoutInCell="1" allowOverlap="1" wp14:anchorId="0F12FE60" wp14:editId="3FF85461">
                <wp:simplePos x="0" y="0"/>
                <wp:positionH relativeFrom="column">
                  <wp:posOffset>1536809</wp:posOffset>
                </wp:positionH>
                <wp:positionV relativeFrom="paragraph">
                  <wp:posOffset>2524760</wp:posOffset>
                </wp:positionV>
                <wp:extent cx="4980940" cy="1404620"/>
                <wp:effectExtent l="0" t="0" r="0" b="0"/>
                <wp:wrapSquare wrapText="bothSides"/>
                <wp:docPr id="724676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940" cy="1404620"/>
                        </a:xfrm>
                        <a:prstGeom prst="rect">
                          <a:avLst/>
                        </a:prstGeom>
                        <a:noFill/>
                        <a:ln w="9525">
                          <a:noFill/>
                          <a:miter lim="800000"/>
                          <a:headEnd/>
                          <a:tailEnd/>
                        </a:ln>
                      </wps:spPr>
                      <wps:txbx>
                        <w:txbxContent>
                          <w:p w14:paraId="68292828" w14:textId="135AC165" w:rsidR="005926A0" w:rsidRPr="005926A0" w:rsidRDefault="005926A0" w:rsidP="005926A0">
                            <w:pPr>
                              <w:pStyle w:val="Heading4"/>
                              <w:rPr>
                                <w:rFonts w:ascii="Aptos" w:eastAsia="Times New Roman" w:hAnsi="Aptos"/>
                                <w:i w:val="0"/>
                                <w:iCs w:val="0"/>
                                <w:color w:val="FFFFFF" w:themeColor="background1"/>
                                <w:sz w:val="40"/>
                                <w:szCs w:val="40"/>
                              </w:rPr>
                            </w:pPr>
                            <w:r w:rsidRPr="005926A0">
                              <w:rPr>
                                <w:rFonts w:ascii="Aptos" w:eastAsia="Times New Roman" w:hAnsi="Aptos"/>
                                <w:i w:val="0"/>
                                <w:iCs w:val="0"/>
                                <w:color w:val="FFFFFF" w:themeColor="background1"/>
                                <w:sz w:val="40"/>
                                <w:szCs w:val="40"/>
                              </w:rPr>
                              <w:t>Advice from Australia’s Climate Change Authority to the President of Negotiations – 31</w:t>
                            </w:r>
                            <w:r w:rsidRPr="005926A0">
                              <w:rPr>
                                <w:rFonts w:ascii="Aptos" w:eastAsia="Times New Roman" w:hAnsi="Aptos"/>
                                <w:i w:val="0"/>
                                <w:iCs w:val="0"/>
                                <w:color w:val="FFFFFF" w:themeColor="background1"/>
                                <w:sz w:val="40"/>
                                <w:szCs w:val="40"/>
                                <w:vertAlign w:val="superscript"/>
                              </w:rPr>
                              <w:t>st</w:t>
                            </w:r>
                            <w:r w:rsidRPr="005926A0">
                              <w:rPr>
                                <w:rFonts w:ascii="Aptos" w:eastAsia="Times New Roman" w:hAnsi="Aptos"/>
                                <w:i w:val="0"/>
                                <w:iCs w:val="0"/>
                                <w:color w:val="FFFFFF" w:themeColor="background1"/>
                                <w:sz w:val="40"/>
                                <w:szCs w:val="40"/>
                              </w:rPr>
                              <w:t xml:space="preserve"> session of the Conference of the Parties (COP3</w:t>
                            </w:r>
                            <w:r w:rsidRPr="005926A0">
                              <w:rPr>
                                <w:rFonts w:ascii="Aptos" w:eastAsia="Times New Roman" w:hAnsi="Aptos"/>
                                <w:i w:val="0"/>
                                <w:iCs w:val="0"/>
                                <w:color w:val="FFFFFF" w:themeColor="background1"/>
                                <w:sz w:val="40"/>
                                <w:szCs w:val="40"/>
                              </w:rPr>
                              <w:t xml:space="preserve">1) </w:t>
                            </w:r>
                          </w:p>
                          <w:p w14:paraId="264592A6" w14:textId="31FD9425" w:rsidR="005926A0" w:rsidRPr="005926A0" w:rsidRDefault="005926A0" w:rsidP="005926A0">
                            <w:pPr>
                              <w:pStyle w:val="Title1"/>
                              <w:rPr>
                                <w:b/>
                                <w:bCs/>
                                <w:color w:val="FFFFFF" w:themeColor="background1"/>
                                <w:sz w:val="72"/>
                                <w:szCs w:val="7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F12FE60" id="_x0000_t202" coordsize="21600,21600" o:spt="202" path="m,l,21600r21600,l21600,xe">
                <v:stroke joinstyle="miter"/>
                <v:path gradientshapeok="t" o:connecttype="rect"/>
              </v:shapetype>
              <v:shape id="Text Box 2" o:spid="_x0000_s1026" type="#_x0000_t202" style="position:absolute;margin-left:121pt;margin-top:198.8pt;width:392.2pt;height:110.6pt;z-index:25167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" filled="f" stroked="f">
                <v:textbox style="mso-fit-shape-to-text:t">
                  <w:txbxContent>
                    <w:p w14:paraId="68292828" w14:textId="135AC165" w:rsidR="005926A0" w:rsidRPr="005926A0" w:rsidRDefault="005926A0" w:rsidP="005926A0">
                      <w:pPr>
                        <w:pStyle w:val="Heading4"/>
                        <w:rPr>
                          <w:rFonts w:ascii="Aptos" w:eastAsia="Times New Roman" w:hAnsi="Aptos"/>
                          <w:i w:val="0"/>
                          <w:iCs w:val="0"/>
                          <w:color w:val="FFFFFF" w:themeColor="background1"/>
                          <w:sz w:val="40"/>
                          <w:szCs w:val="40"/>
                        </w:rPr>
                      </w:pPr>
                      <w:r w:rsidRPr="005926A0">
                        <w:rPr>
                          <w:rFonts w:ascii="Aptos" w:eastAsia="Times New Roman" w:hAnsi="Aptos"/>
                          <w:i w:val="0"/>
                          <w:iCs w:val="0"/>
                          <w:color w:val="FFFFFF" w:themeColor="background1"/>
                          <w:sz w:val="40"/>
                          <w:szCs w:val="40"/>
                        </w:rPr>
                        <w:t>Advice from Australia’s Climate Change Authority to the President of Negotiations – 31</w:t>
                      </w:r>
                      <w:r w:rsidRPr="005926A0">
                        <w:rPr>
                          <w:rFonts w:ascii="Aptos" w:eastAsia="Times New Roman" w:hAnsi="Aptos"/>
                          <w:i w:val="0"/>
                          <w:iCs w:val="0"/>
                          <w:color w:val="FFFFFF" w:themeColor="background1"/>
                          <w:sz w:val="40"/>
                          <w:szCs w:val="40"/>
                          <w:vertAlign w:val="superscript"/>
                        </w:rPr>
                        <w:t>st</w:t>
                      </w:r>
                      <w:r w:rsidRPr="005926A0">
                        <w:rPr>
                          <w:rFonts w:ascii="Aptos" w:eastAsia="Times New Roman" w:hAnsi="Aptos"/>
                          <w:i w:val="0"/>
                          <w:iCs w:val="0"/>
                          <w:color w:val="FFFFFF" w:themeColor="background1"/>
                          <w:sz w:val="40"/>
                          <w:szCs w:val="40"/>
                        </w:rPr>
                        <w:t xml:space="preserve"> session of the Conference of the Parties (COP3</w:t>
                      </w:r>
                      <w:r w:rsidRPr="005926A0">
                        <w:rPr>
                          <w:rFonts w:ascii="Aptos" w:eastAsia="Times New Roman" w:hAnsi="Aptos"/>
                          <w:i w:val="0"/>
                          <w:iCs w:val="0"/>
                          <w:color w:val="FFFFFF" w:themeColor="background1"/>
                          <w:sz w:val="40"/>
                          <w:szCs w:val="40"/>
                        </w:rPr>
                        <w:t xml:space="preserve">1) </w:t>
                      </w:r>
                    </w:p>
                    <w:p w14:paraId="264592A6" w14:textId="31FD9425" w:rsidR="005926A0" w:rsidRPr="005926A0" w:rsidRDefault="005926A0" w:rsidP="005926A0">
                      <w:pPr>
                        <w:pStyle w:val="Title1"/>
                        <w:rPr>
                          <w:b/>
                          <w:bCs/>
                          <w:color w:val="FFFFFF" w:themeColor="background1"/>
                          <w:sz w:val="72"/>
                          <w:szCs w:val="72"/>
                        </w:rPr>
                      </w:pPr>
                    </w:p>
                  </w:txbxContent>
                </v:textbox>
                <w10:wrap type="square"/>
              </v:shape>
            </w:pict>
          </mc:Fallback>
        </mc:AlternateContent>
      </w:r>
      <w:r w:rsidRPr="00152215">
        <w:rPr>
          <w:noProof/>
          <w:color w:val="FD904D"/>
        </w:rPr>
        <mc:AlternateContent>
          <mc:Choice Requires="wps">
            <w:drawing>
              <wp:anchor distT="0" distB="0" distL="114300" distR="114300" simplePos="0" relativeHeight="251713536" behindDoc="0" locked="0" layoutInCell="1" allowOverlap="1" wp14:anchorId="299485A2" wp14:editId="67CFAB3A">
                <wp:simplePos x="0" y="0"/>
                <wp:positionH relativeFrom="column">
                  <wp:posOffset>1566721</wp:posOffset>
                </wp:positionH>
                <wp:positionV relativeFrom="paragraph">
                  <wp:posOffset>2514884</wp:posOffset>
                </wp:positionV>
                <wp:extent cx="5459105" cy="0"/>
                <wp:effectExtent l="0" t="0" r="0" b="0"/>
                <wp:wrapNone/>
                <wp:docPr id="1275931640" name="Straight Connector 2"/>
                <wp:cNvGraphicFramePr/>
                <a:graphic xmlns:a="http://schemas.openxmlformats.org/drawingml/2006/main">
                  <a:graphicData uri="http://schemas.microsoft.com/office/word/2010/wordprocessingShape">
                    <wps:wsp>
                      <wps:cNvCnPr/>
                      <wps:spPr>
                        <a:xfrm>
                          <a:off x="0" y="0"/>
                          <a:ext cx="5459105" cy="0"/>
                        </a:xfrm>
                        <a:prstGeom prst="line">
                          <a:avLst/>
                        </a:prstGeom>
                        <a:ln>
                          <a:solidFill>
                            <a:srgbClr val="FD904D"/>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1AD2694D" id="Straight Connector 2" o:spid="_x0000_s1026" style="position:absolute;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35pt,198pt" to="553.2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" strokecolor="#fd904d" strokeweight="1.5pt">
                <v:stroke joinstyle="miter"/>
              </v:line>
            </w:pict>
          </mc:Fallback>
        </mc:AlternateContent>
      </w:r>
      <w:r>
        <w:rPr>
          <w:noProof/>
        </w:rPr>
        <mc:AlternateContent>
          <mc:Choice Requires="wps">
            <w:drawing>
              <wp:anchor distT="45720" distB="45720" distL="114300" distR="114300" simplePos="0" relativeHeight="251598848" behindDoc="0" locked="0" layoutInCell="1" allowOverlap="1" wp14:anchorId="7A75C6DB" wp14:editId="140D0ECD">
                <wp:simplePos x="0" y="0"/>
                <wp:positionH relativeFrom="column">
                  <wp:posOffset>1502607</wp:posOffset>
                </wp:positionH>
                <wp:positionV relativeFrom="paragraph">
                  <wp:posOffset>56866</wp:posOffset>
                </wp:positionV>
                <wp:extent cx="5481955"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1955" cy="1404620"/>
                        </a:xfrm>
                        <a:prstGeom prst="rect">
                          <a:avLst/>
                        </a:prstGeom>
                        <a:noFill/>
                        <a:ln w="9525">
                          <a:noFill/>
                          <a:miter lim="800000"/>
                          <a:headEnd/>
                          <a:tailEnd/>
                        </a:ln>
                      </wps:spPr>
                      <wps:txbx>
                        <w:txbxContent>
                          <w:p w14:paraId="7DB711F9" w14:textId="77777777" w:rsidR="005926A0" w:rsidRDefault="00241E61" w:rsidP="005926A0">
                            <w:pPr>
                              <w:pStyle w:val="Title1"/>
                              <w:rPr>
                                <w:b/>
                                <w:bCs/>
                                <w:color w:val="FFFFFF" w:themeColor="background1"/>
                                <w:sz w:val="72"/>
                                <w:szCs w:val="72"/>
                              </w:rPr>
                            </w:pPr>
                            <w:r w:rsidRPr="005926A0">
                              <w:rPr>
                                <w:b/>
                                <w:bCs/>
                                <w:color w:val="FFFFFF" w:themeColor="background1"/>
                                <w:sz w:val="72"/>
                                <w:szCs w:val="72"/>
                              </w:rPr>
                              <w:t xml:space="preserve">Decarbonisation deals: </w:t>
                            </w:r>
                          </w:p>
                          <w:p w14:paraId="22C6C29D" w14:textId="7FABD27D" w:rsidR="00241E61" w:rsidRPr="005926A0" w:rsidRDefault="00241E61" w:rsidP="005926A0">
                            <w:pPr>
                              <w:pStyle w:val="Title1"/>
                              <w:rPr>
                                <w:b/>
                                <w:bCs/>
                                <w:color w:val="FFFFFF" w:themeColor="background1"/>
                                <w:sz w:val="72"/>
                                <w:szCs w:val="72"/>
                              </w:rPr>
                            </w:pPr>
                            <w:r w:rsidRPr="005926A0">
                              <w:rPr>
                                <w:b/>
                                <w:bCs/>
                                <w:color w:val="FFFFFF" w:themeColor="background1"/>
                                <w:sz w:val="72"/>
                                <w:szCs w:val="72"/>
                              </w:rPr>
                              <w:t>A proposed COP Negotiations Presidency initiative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75C6DB" id="_x0000_s1027" type="#_x0000_t202" style="position:absolute;margin-left:118.3pt;margin-top:4.5pt;width:431.65pt;height:110.6pt;z-index:251598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" filled="f" stroked="f">
                <v:textbox style="mso-fit-shape-to-text:t">
                  <w:txbxContent>
                    <w:p w14:paraId="7DB711F9" w14:textId="77777777" w:rsidR="005926A0" w:rsidRDefault="00241E61" w:rsidP="005926A0">
                      <w:pPr>
                        <w:pStyle w:val="Title1"/>
                        <w:rPr>
                          <w:b/>
                          <w:bCs/>
                          <w:color w:val="FFFFFF" w:themeColor="background1"/>
                          <w:sz w:val="72"/>
                          <w:szCs w:val="72"/>
                        </w:rPr>
                      </w:pPr>
                      <w:r w:rsidRPr="005926A0">
                        <w:rPr>
                          <w:b/>
                          <w:bCs/>
                          <w:color w:val="FFFFFF" w:themeColor="background1"/>
                          <w:sz w:val="72"/>
                          <w:szCs w:val="72"/>
                        </w:rPr>
                        <w:t xml:space="preserve">Decarbonisation deals: </w:t>
                      </w:r>
                    </w:p>
                    <w:p w14:paraId="22C6C29D" w14:textId="7FABD27D" w:rsidR="00241E61" w:rsidRPr="005926A0" w:rsidRDefault="00241E61" w:rsidP="005926A0">
                      <w:pPr>
                        <w:pStyle w:val="Title1"/>
                        <w:rPr>
                          <w:b/>
                          <w:bCs/>
                          <w:color w:val="FFFFFF" w:themeColor="background1"/>
                          <w:sz w:val="72"/>
                          <w:szCs w:val="72"/>
                        </w:rPr>
                      </w:pPr>
                      <w:r w:rsidRPr="005926A0">
                        <w:rPr>
                          <w:b/>
                          <w:bCs/>
                          <w:color w:val="FFFFFF" w:themeColor="background1"/>
                          <w:sz w:val="72"/>
                          <w:szCs w:val="72"/>
                        </w:rPr>
                        <w:t>A proposed COP Negotiations Presidency initiative</w:t>
                      </w:r>
                    </w:p>
                  </w:txbxContent>
                </v:textbox>
                <w10:wrap type="square"/>
              </v:shape>
            </w:pict>
          </mc:Fallback>
        </mc:AlternateContent>
      </w:r>
      <w:r w:rsidR="007A5675">
        <w:rPr>
          <w:noProof/>
        </w:rPr>
        <mc:AlternateContent>
          <mc:Choice Requires="wps">
            <w:drawing>
              <wp:anchor distT="0" distB="0" distL="114300" distR="114300" simplePos="0" relativeHeight="251734016" behindDoc="0" locked="0" layoutInCell="1" allowOverlap="1" wp14:anchorId="41060E9F" wp14:editId="062EF02E">
                <wp:simplePos x="0" y="0"/>
                <wp:positionH relativeFrom="column">
                  <wp:posOffset>-1458447</wp:posOffset>
                </wp:positionH>
                <wp:positionV relativeFrom="paragraph">
                  <wp:posOffset>5515861</wp:posOffset>
                </wp:positionV>
                <wp:extent cx="5199321" cy="5145435"/>
                <wp:effectExtent l="0" t="0" r="20955" b="17145"/>
                <wp:wrapNone/>
                <wp:docPr id="840424812" name="Circle: Hollow 8"/>
                <wp:cNvGraphicFramePr/>
                <a:graphic xmlns:a="http://schemas.openxmlformats.org/drawingml/2006/main">
                  <a:graphicData uri="http://schemas.microsoft.com/office/word/2010/wordprocessingShape">
                    <wps:wsp>
                      <wps:cNvSpPr/>
                      <wps:spPr>
                        <a:xfrm>
                          <a:off x="0" y="0"/>
                          <a:ext cx="5199321" cy="5145435"/>
                        </a:xfrm>
                        <a:prstGeom prst="donut">
                          <a:avLst/>
                        </a:prstGeom>
                        <a:solidFill>
                          <a:srgbClr val="FD904D"/>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877A62"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8" o:spid="_x0000_s1026" type="#_x0000_t23" style="position:absolute;margin-left:-114.85pt;margin-top:434.3pt;width:409.4pt;height:405.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" adj="5344" fillcolor="#fd904d" strokecolor="#030e13 [484]" strokeweight="1pt">
                <v:stroke joinstyle="miter"/>
              </v:shape>
            </w:pict>
          </mc:Fallback>
        </mc:AlternateContent>
      </w:r>
      <w:r w:rsidR="006218AC">
        <w:rPr>
          <w:noProof/>
        </w:rPr>
        <w:drawing>
          <wp:anchor distT="0" distB="0" distL="114300" distR="114300" simplePos="0" relativeHeight="251743232" behindDoc="0" locked="0" layoutInCell="1" allowOverlap="1" wp14:anchorId="0FD6774E" wp14:editId="54129583">
            <wp:simplePos x="0" y="0"/>
            <wp:positionH relativeFrom="column">
              <wp:posOffset>-1187672</wp:posOffset>
            </wp:positionH>
            <wp:positionV relativeFrom="paragraph">
              <wp:posOffset>5612514</wp:posOffset>
            </wp:positionV>
            <wp:extent cx="4409037" cy="4272280"/>
            <wp:effectExtent l="0" t="0" r="0" b="0"/>
            <wp:wrapNone/>
            <wp:docPr id="1696161123"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161123" name="Picture 6">
                      <a:extLst>
                        <a:ext uri="{C183D7F6-B498-43B3-948B-1728B52AA6E4}">
                          <adec:decorative xmlns:adec="http://schemas.microsoft.com/office/drawing/2017/decorative" val="1"/>
                        </a:ext>
                      </a:extLst>
                    </pic:cNvPr>
                    <pic:cNvPicPr/>
                  </pic:nvPicPr>
                  <pic:blipFill rotWithShape="1">
                    <a:blip r:embed="rId11" cstate="print">
                      <a:extLst>
                        <a:ext uri="{28A0092B-C50C-407E-A947-70E740481C1C}">
                          <a14:useLocalDpi xmlns:a14="http://schemas.microsoft.com/office/drawing/2010/main" val="0"/>
                        </a:ext>
                      </a:extLst>
                    </a:blip>
                    <a:srcRect l="16248" t="8" r="14951" b="-8"/>
                    <a:stretch>
                      <a:fillRect/>
                    </a:stretch>
                  </pic:blipFill>
                  <pic:spPr bwMode="auto">
                    <a:xfrm>
                      <a:off x="0" y="0"/>
                      <a:ext cx="4409037" cy="427228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926A0" w:rsidRPr="005926A0">
        <w:rPr>
          <w:noProof/>
        </w:rPr>
        <w:drawing>
          <wp:anchor distT="0" distB="0" distL="114300" distR="114300" simplePos="0" relativeHeight="251689984" behindDoc="0" locked="0" layoutInCell="1" allowOverlap="1" wp14:anchorId="2C7CCD60" wp14:editId="67FEA040">
            <wp:simplePos x="0" y="0"/>
            <wp:positionH relativeFrom="column">
              <wp:posOffset>4664757</wp:posOffset>
            </wp:positionH>
            <wp:positionV relativeFrom="paragraph">
              <wp:posOffset>7882843</wp:posOffset>
            </wp:positionV>
            <wp:extent cx="1942466" cy="822403"/>
            <wp:effectExtent l="0" t="0" r="635" b="0"/>
            <wp:wrapNone/>
            <wp:docPr id="6" name="Picture 5">
              <a:extLst xmlns:a="http://schemas.openxmlformats.org/drawingml/2006/main">
                <a:ext uri="{FF2B5EF4-FFF2-40B4-BE49-F238E27FC236}">
                  <a16:creationId xmlns:a16="http://schemas.microsoft.com/office/drawing/2014/main" id="{63A27A08-C676-0A6D-2167-763A8253DA9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3A27A08-C676-0A6D-2167-763A8253DA9E}"/>
                        </a:ext>
                        <a:ext uri="{C183D7F6-B498-43B3-948B-1728B52AA6E4}">
                          <adec:decorative xmlns:adec="http://schemas.microsoft.com/office/drawing/2017/decorative" val="1"/>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42466" cy="822403"/>
                    </a:xfrm>
                    <a:prstGeom prst="rect">
                      <a:avLst/>
                    </a:prstGeom>
                  </pic:spPr>
                </pic:pic>
              </a:graphicData>
            </a:graphic>
          </wp:anchor>
        </w:drawing>
      </w:r>
      <w:r w:rsidR="00241E61">
        <w:br w:type="page"/>
      </w:r>
    </w:p>
    <w:p w14:paraId="1B1C5FC6" w14:textId="6920333E" w:rsidR="00152215" w:rsidRDefault="001D10EB" w:rsidP="00CD7F90">
      <w:pPr>
        <w:pStyle w:val="L1Heading"/>
        <w:rPr>
          <w:noProof/>
        </w:rPr>
      </w:pPr>
      <w:bookmarkStart w:id="2" w:name="_Toc224657082"/>
      <w:bookmarkStart w:id="3" w:name="_Toc224740966"/>
      <w:r w:rsidRPr="004F135F">
        <w:lastRenderedPageBreak/>
        <w:t xml:space="preserve">Table of </w:t>
      </w:r>
      <w:bookmarkEnd w:id="2"/>
      <w:bookmarkEnd w:id="3"/>
      <w:r w:rsidR="00635328">
        <w:t>c</w:t>
      </w:r>
      <w:r w:rsidRPr="004F135F">
        <w:t>ontents</w:t>
      </w:r>
      <w:r w:rsidR="00E55B7B" w:rsidRPr="004F135F">
        <w:rPr>
          <w:bCs/>
          <w:noProof/>
          <w:sz w:val="22"/>
          <w:szCs w:val="22"/>
        </w:rPr>
        <w:fldChar w:fldCharType="begin"/>
      </w:r>
      <w:r w:rsidR="00E55B7B" w:rsidRPr="004F135F">
        <w:rPr>
          <w:sz w:val="22"/>
          <w:szCs w:val="22"/>
        </w:rPr>
        <w:instrText xml:space="preserve"> TOC \o "1-2" \h \z \u </w:instrText>
      </w:r>
      <w:r w:rsidR="00E55B7B" w:rsidRPr="004F135F">
        <w:rPr>
          <w:bCs/>
          <w:noProof/>
          <w:sz w:val="22"/>
          <w:szCs w:val="22"/>
        </w:rPr>
        <w:fldChar w:fldCharType="separate"/>
      </w:r>
    </w:p>
    <w:p w14:paraId="21EFB618" w14:textId="534DFDFD" w:rsidR="00152215" w:rsidRDefault="00152215">
      <w:pPr>
        <w:pStyle w:val="TOC1"/>
        <w:rPr>
          <w:rFonts w:eastAsiaTheme="minorEastAsia"/>
          <w:b w:val="0"/>
          <w:bCs w:val="0"/>
          <w:kern w:val="2"/>
          <w:sz w:val="24"/>
          <w:szCs w:val="24"/>
          <w:lang w:eastAsia="en-AU"/>
          <w14:ligatures w14:val="standardContextual"/>
        </w:rPr>
      </w:pPr>
      <w:hyperlink w:anchor="_Toc224740968" w:history="1">
        <w:r w:rsidRPr="00602689">
          <w:rPr>
            <w:rStyle w:val="Hyperlink"/>
          </w:rPr>
          <w:t>Summary</w:t>
        </w:r>
        <w:r>
          <w:rPr>
            <w:webHidden/>
          </w:rPr>
          <w:tab/>
        </w:r>
        <w:r>
          <w:rPr>
            <w:webHidden/>
          </w:rPr>
          <w:fldChar w:fldCharType="begin"/>
        </w:r>
        <w:r>
          <w:rPr>
            <w:webHidden/>
          </w:rPr>
          <w:instrText xml:space="preserve"> PAGEREF _Toc224740968 \h </w:instrText>
        </w:r>
        <w:r>
          <w:rPr>
            <w:webHidden/>
          </w:rPr>
        </w:r>
        <w:r>
          <w:rPr>
            <w:webHidden/>
          </w:rPr>
          <w:fldChar w:fldCharType="separate"/>
        </w:r>
        <w:r>
          <w:rPr>
            <w:webHidden/>
          </w:rPr>
          <w:t>4</w:t>
        </w:r>
        <w:r>
          <w:rPr>
            <w:webHidden/>
          </w:rPr>
          <w:fldChar w:fldCharType="end"/>
        </w:r>
      </w:hyperlink>
    </w:p>
    <w:p w14:paraId="042970F1" w14:textId="476292F6" w:rsidR="00152215" w:rsidRDefault="00152215">
      <w:pPr>
        <w:pStyle w:val="TOC1"/>
        <w:rPr>
          <w:rFonts w:eastAsiaTheme="minorEastAsia"/>
          <w:b w:val="0"/>
          <w:bCs w:val="0"/>
          <w:kern w:val="2"/>
          <w:sz w:val="24"/>
          <w:szCs w:val="24"/>
          <w:lang w:eastAsia="en-AU"/>
          <w14:ligatures w14:val="standardContextual"/>
        </w:rPr>
      </w:pPr>
      <w:hyperlink w:anchor="_Toc224740969" w:history="1">
        <w:r w:rsidRPr="00602689">
          <w:rPr>
            <w:rStyle w:val="Hyperlink"/>
          </w:rPr>
          <w:t>1. The risks and strategic opportunity for Australia</w:t>
        </w:r>
        <w:r>
          <w:rPr>
            <w:webHidden/>
          </w:rPr>
          <w:tab/>
        </w:r>
        <w:r>
          <w:rPr>
            <w:webHidden/>
          </w:rPr>
          <w:fldChar w:fldCharType="begin"/>
        </w:r>
        <w:r>
          <w:rPr>
            <w:webHidden/>
          </w:rPr>
          <w:instrText xml:space="preserve"> PAGEREF _Toc224740969 \h </w:instrText>
        </w:r>
        <w:r>
          <w:rPr>
            <w:webHidden/>
          </w:rPr>
        </w:r>
        <w:r>
          <w:rPr>
            <w:webHidden/>
          </w:rPr>
          <w:fldChar w:fldCharType="separate"/>
        </w:r>
        <w:r>
          <w:rPr>
            <w:webHidden/>
          </w:rPr>
          <w:t>6</w:t>
        </w:r>
        <w:r>
          <w:rPr>
            <w:webHidden/>
          </w:rPr>
          <w:fldChar w:fldCharType="end"/>
        </w:r>
      </w:hyperlink>
    </w:p>
    <w:p w14:paraId="44DE8632" w14:textId="1DA51E1E" w:rsidR="00152215" w:rsidRDefault="00152215">
      <w:pPr>
        <w:pStyle w:val="TOC1"/>
        <w:rPr>
          <w:rFonts w:eastAsiaTheme="minorEastAsia"/>
          <w:b w:val="0"/>
          <w:bCs w:val="0"/>
          <w:kern w:val="2"/>
          <w:sz w:val="24"/>
          <w:szCs w:val="24"/>
          <w:lang w:eastAsia="en-AU"/>
          <w14:ligatures w14:val="standardContextual"/>
        </w:rPr>
      </w:pPr>
      <w:hyperlink w:anchor="_Toc224740970" w:history="1">
        <w:r w:rsidRPr="00602689">
          <w:rPr>
            <w:rStyle w:val="Hyperlink"/>
          </w:rPr>
          <w:t>2. Part 4 of the 2035 Targets Advice and developments since</w:t>
        </w:r>
        <w:r>
          <w:rPr>
            <w:webHidden/>
          </w:rPr>
          <w:tab/>
        </w:r>
        <w:r>
          <w:rPr>
            <w:webHidden/>
          </w:rPr>
          <w:fldChar w:fldCharType="begin"/>
        </w:r>
        <w:r>
          <w:rPr>
            <w:webHidden/>
          </w:rPr>
          <w:instrText xml:space="preserve"> PAGEREF _Toc224740970 \h </w:instrText>
        </w:r>
        <w:r>
          <w:rPr>
            <w:webHidden/>
          </w:rPr>
        </w:r>
        <w:r>
          <w:rPr>
            <w:webHidden/>
          </w:rPr>
          <w:fldChar w:fldCharType="separate"/>
        </w:r>
        <w:r>
          <w:rPr>
            <w:webHidden/>
          </w:rPr>
          <w:t>8</w:t>
        </w:r>
        <w:r>
          <w:rPr>
            <w:webHidden/>
          </w:rPr>
          <w:fldChar w:fldCharType="end"/>
        </w:r>
      </w:hyperlink>
    </w:p>
    <w:p w14:paraId="27CF124B" w14:textId="1059CC7A" w:rsidR="00152215" w:rsidRDefault="00152215">
      <w:pPr>
        <w:pStyle w:val="TOC1"/>
        <w:rPr>
          <w:rFonts w:eastAsiaTheme="minorEastAsia"/>
          <w:b w:val="0"/>
          <w:bCs w:val="0"/>
          <w:kern w:val="2"/>
          <w:sz w:val="24"/>
          <w:szCs w:val="24"/>
          <w:lang w:eastAsia="en-AU"/>
          <w14:ligatures w14:val="standardContextual"/>
        </w:rPr>
      </w:pPr>
      <w:hyperlink w:anchor="_Toc224740971" w:history="1">
        <w:r w:rsidRPr="00602689">
          <w:rPr>
            <w:rStyle w:val="Hyperlink"/>
          </w:rPr>
          <w:t>3. A COP31 Decarbonisation Deals Platform</w:t>
        </w:r>
        <w:r>
          <w:rPr>
            <w:webHidden/>
          </w:rPr>
          <w:tab/>
        </w:r>
        <w:r>
          <w:rPr>
            <w:webHidden/>
          </w:rPr>
          <w:fldChar w:fldCharType="begin"/>
        </w:r>
        <w:r>
          <w:rPr>
            <w:webHidden/>
          </w:rPr>
          <w:instrText xml:space="preserve"> PAGEREF _Toc224740971 \h </w:instrText>
        </w:r>
        <w:r>
          <w:rPr>
            <w:webHidden/>
          </w:rPr>
        </w:r>
        <w:r>
          <w:rPr>
            <w:webHidden/>
          </w:rPr>
          <w:fldChar w:fldCharType="separate"/>
        </w:r>
        <w:r>
          <w:rPr>
            <w:webHidden/>
          </w:rPr>
          <w:t>10</w:t>
        </w:r>
        <w:r>
          <w:rPr>
            <w:webHidden/>
          </w:rPr>
          <w:fldChar w:fldCharType="end"/>
        </w:r>
      </w:hyperlink>
    </w:p>
    <w:p w14:paraId="4DFD90D3" w14:textId="66CB67C2" w:rsidR="00152215" w:rsidRDefault="00152215">
      <w:pPr>
        <w:pStyle w:val="TOC1"/>
        <w:rPr>
          <w:rFonts w:eastAsiaTheme="minorEastAsia"/>
          <w:b w:val="0"/>
          <w:bCs w:val="0"/>
          <w:kern w:val="2"/>
          <w:sz w:val="24"/>
          <w:szCs w:val="24"/>
          <w:lang w:eastAsia="en-AU"/>
          <w14:ligatures w14:val="standardContextual"/>
        </w:rPr>
      </w:pPr>
      <w:hyperlink w:anchor="_Toc224740972" w:history="1">
        <w:r w:rsidRPr="00602689">
          <w:rPr>
            <w:rStyle w:val="Hyperlink"/>
          </w:rPr>
          <w:t>4. Concrete actions Australia could announce at COP31</w:t>
        </w:r>
        <w:r>
          <w:rPr>
            <w:webHidden/>
          </w:rPr>
          <w:tab/>
        </w:r>
        <w:r>
          <w:rPr>
            <w:webHidden/>
          </w:rPr>
          <w:fldChar w:fldCharType="begin"/>
        </w:r>
        <w:r>
          <w:rPr>
            <w:webHidden/>
          </w:rPr>
          <w:instrText xml:space="preserve"> PAGEREF _Toc224740972 \h </w:instrText>
        </w:r>
        <w:r>
          <w:rPr>
            <w:webHidden/>
          </w:rPr>
        </w:r>
        <w:r>
          <w:rPr>
            <w:webHidden/>
          </w:rPr>
          <w:fldChar w:fldCharType="separate"/>
        </w:r>
        <w:r>
          <w:rPr>
            <w:webHidden/>
          </w:rPr>
          <w:t>11</w:t>
        </w:r>
        <w:r>
          <w:rPr>
            <w:webHidden/>
          </w:rPr>
          <w:fldChar w:fldCharType="end"/>
        </w:r>
      </w:hyperlink>
    </w:p>
    <w:p w14:paraId="13A9D6BB" w14:textId="7116D6AD" w:rsidR="00152215" w:rsidRDefault="00152215">
      <w:pPr>
        <w:pStyle w:val="TOC1"/>
        <w:rPr>
          <w:rFonts w:eastAsiaTheme="minorEastAsia"/>
          <w:b w:val="0"/>
          <w:bCs w:val="0"/>
          <w:kern w:val="2"/>
          <w:sz w:val="24"/>
          <w:szCs w:val="24"/>
          <w:lang w:eastAsia="en-AU"/>
          <w14:ligatures w14:val="standardContextual"/>
        </w:rPr>
      </w:pPr>
      <w:hyperlink w:anchor="_Toc224740973" w:history="1">
        <w:r w:rsidRPr="00602689">
          <w:rPr>
            <w:rStyle w:val="Hyperlink"/>
          </w:rPr>
          <w:t>5. Doing deals: Next actionable steps for Australia</w:t>
        </w:r>
        <w:r>
          <w:rPr>
            <w:webHidden/>
          </w:rPr>
          <w:tab/>
        </w:r>
        <w:r>
          <w:rPr>
            <w:webHidden/>
          </w:rPr>
          <w:fldChar w:fldCharType="begin"/>
        </w:r>
        <w:r>
          <w:rPr>
            <w:webHidden/>
          </w:rPr>
          <w:instrText xml:space="preserve"> PAGEREF _Toc224740973 \h </w:instrText>
        </w:r>
        <w:r>
          <w:rPr>
            <w:webHidden/>
          </w:rPr>
        </w:r>
        <w:r>
          <w:rPr>
            <w:webHidden/>
          </w:rPr>
          <w:fldChar w:fldCharType="separate"/>
        </w:r>
        <w:r>
          <w:rPr>
            <w:webHidden/>
          </w:rPr>
          <w:t>12</w:t>
        </w:r>
        <w:r>
          <w:rPr>
            <w:webHidden/>
          </w:rPr>
          <w:fldChar w:fldCharType="end"/>
        </w:r>
      </w:hyperlink>
    </w:p>
    <w:p w14:paraId="759F82DF" w14:textId="0C3C524A" w:rsidR="00152215" w:rsidRDefault="00152215">
      <w:pPr>
        <w:pStyle w:val="TOC1"/>
        <w:rPr>
          <w:rFonts w:eastAsiaTheme="minorEastAsia"/>
          <w:b w:val="0"/>
          <w:bCs w:val="0"/>
          <w:kern w:val="2"/>
          <w:sz w:val="24"/>
          <w:szCs w:val="24"/>
          <w:lang w:eastAsia="en-AU"/>
          <w14:ligatures w14:val="standardContextual"/>
        </w:rPr>
      </w:pPr>
      <w:hyperlink w:anchor="_Toc224740974" w:history="1">
        <w:r w:rsidRPr="00602689">
          <w:rPr>
            <w:rStyle w:val="Hyperlink"/>
          </w:rPr>
          <w:t>6. A flagship first deal with the Republic of Korea</w:t>
        </w:r>
        <w:r>
          <w:rPr>
            <w:webHidden/>
          </w:rPr>
          <w:tab/>
        </w:r>
        <w:r>
          <w:rPr>
            <w:webHidden/>
          </w:rPr>
          <w:fldChar w:fldCharType="begin"/>
        </w:r>
        <w:r>
          <w:rPr>
            <w:webHidden/>
          </w:rPr>
          <w:instrText xml:space="preserve"> PAGEREF _Toc224740974 \h </w:instrText>
        </w:r>
        <w:r>
          <w:rPr>
            <w:webHidden/>
          </w:rPr>
        </w:r>
        <w:r>
          <w:rPr>
            <w:webHidden/>
          </w:rPr>
          <w:fldChar w:fldCharType="separate"/>
        </w:r>
        <w:r>
          <w:rPr>
            <w:webHidden/>
          </w:rPr>
          <w:t>14</w:t>
        </w:r>
        <w:r>
          <w:rPr>
            <w:webHidden/>
          </w:rPr>
          <w:fldChar w:fldCharType="end"/>
        </w:r>
      </w:hyperlink>
    </w:p>
    <w:p w14:paraId="036C9509" w14:textId="4CF4BB58" w:rsidR="00152215" w:rsidRDefault="00152215">
      <w:pPr>
        <w:pStyle w:val="TOC1"/>
        <w:rPr>
          <w:rFonts w:eastAsiaTheme="minorEastAsia"/>
          <w:b w:val="0"/>
          <w:bCs w:val="0"/>
          <w:kern w:val="2"/>
          <w:sz w:val="24"/>
          <w:szCs w:val="24"/>
          <w:lang w:eastAsia="en-AU"/>
          <w14:ligatures w14:val="standardContextual"/>
        </w:rPr>
      </w:pPr>
      <w:hyperlink w:anchor="_Toc224740975" w:history="1">
        <w:r w:rsidRPr="00602689">
          <w:rPr>
            <w:rStyle w:val="Hyperlink"/>
          </w:rPr>
          <w:t>Conclusion</w:t>
        </w:r>
        <w:r>
          <w:rPr>
            <w:webHidden/>
          </w:rPr>
          <w:tab/>
        </w:r>
        <w:r>
          <w:rPr>
            <w:webHidden/>
          </w:rPr>
          <w:fldChar w:fldCharType="begin"/>
        </w:r>
        <w:r>
          <w:rPr>
            <w:webHidden/>
          </w:rPr>
          <w:instrText xml:space="preserve"> PAGEREF _Toc224740975 \h </w:instrText>
        </w:r>
        <w:r>
          <w:rPr>
            <w:webHidden/>
          </w:rPr>
        </w:r>
        <w:r>
          <w:rPr>
            <w:webHidden/>
          </w:rPr>
          <w:fldChar w:fldCharType="separate"/>
        </w:r>
        <w:r>
          <w:rPr>
            <w:webHidden/>
          </w:rPr>
          <w:t>16</w:t>
        </w:r>
        <w:r>
          <w:rPr>
            <w:webHidden/>
          </w:rPr>
          <w:fldChar w:fldCharType="end"/>
        </w:r>
      </w:hyperlink>
    </w:p>
    <w:p w14:paraId="1739918C" w14:textId="0ADD06EB" w:rsidR="001D10EB" w:rsidRPr="004F135F" w:rsidRDefault="00E55B7B" w:rsidP="001D10EB">
      <w:pPr>
        <w:rPr>
          <w:b/>
          <w:bCs/>
          <w:noProof/>
        </w:rPr>
      </w:pPr>
      <w:r w:rsidRPr="004F135F">
        <w:rPr>
          <w:rFonts w:eastAsiaTheme="minorHAnsi"/>
          <w:color w:val="auto"/>
          <w:sz w:val="22"/>
          <w:szCs w:val="22"/>
          <w:lang w:val="en-AU" w:eastAsia="en-US"/>
        </w:rPr>
        <w:fldChar w:fldCharType="end"/>
      </w:r>
    </w:p>
    <w:p w14:paraId="16915FAF" w14:textId="791853D6" w:rsidR="001D10EB" w:rsidRPr="004F135F" w:rsidRDefault="001D10EB" w:rsidP="001D10EB">
      <w:pPr>
        <w:spacing w:after="160" w:line="279" w:lineRule="auto"/>
        <w:rPr>
          <w:b/>
          <w:bCs/>
          <w:noProof/>
        </w:rPr>
      </w:pPr>
      <w:r w:rsidRPr="004F135F">
        <w:rPr>
          <w:b/>
          <w:bCs/>
          <w:noProof/>
        </w:rPr>
        <w:br w:type="page"/>
      </w:r>
    </w:p>
    <w:p w14:paraId="021A81B5" w14:textId="12EA8C6B" w:rsidR="00345438" w:rsidRDefault="00693777" w:rsidP="00CD7F90">
      <w:pPr>
        <w:pStyle w:val="L1Heading"/>
      </w:pPr>
      <w:bookmarkStart w:id="4" w:name="_Toc224740967"/>
      <w:r>
        <w:rPr>
          <w:b w:val="0"/>
          <w:noProof/>
        </w:rPr>
        <w:lastRenderedPageBreak/>
        <w:drawing>
          <wp:anchor distT="0" distB="0" distL="114300" distR="114300" simplePos="0" relativeHeight="251724800" behindDoc="1" locked="0" layoutInCell="1" allowOverlap="1" wp14:anchorId="1895289F" wp14:editId="2E56930A">
            <wp:simplePos x="0" y="0"/>
            <wp:positionH relativeFrom="column">
              <wp:posOffset>-4816650</wp:posOffset>
            </wp:positionH>
            <wp:positionV relativeFrom="paragraph">
              <wp:posOffset>-720725</wp:posOffset>
            </wp:positionV>
            <wp:extent cx="16160091" cy="10720552"/>
            <wp:effectExtent l="0" t="0" r="0" b="5080"/>
            <wp:wrapNone/>
            <wp:docPr id="34492902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929027" name="Picture 3">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160091" cy="10720552"/>
                    </a:xfrm>
                    <a:prstGeom prst="rect">
                      <a:avLst/>
                    </a:prstGeom>
                  </pic:spPr>
                </pic:pic>
              </a:graphicData>
            </a:graphic>
            <wp14:sizeRelH relativeFrom="margin">
              <wp14:pctWidth>0</wp14:pctWidth>
            </wp14:sizeRelH>
            <wp14:sizeRelV relativeFrom="margin">
              <wp14:pctHeight>0</wp14:pctHeight>
            </wp14:sizeRelV>
          </wp:anchor>
        </w:drawing>
      </w:r>
      <w:bookmarkEnd w:id="4"/>
    </w:p>
    <w:p w14:paraId="56EBF020" w14:textId="1BB94F1E" w:rsidR="00345438" w:rsidRDefault="007B314B">
      <w:pPr>
        <w:spacing w:before="0" w:after="160" w:line="279" w:lineRule="auto"/>
        <w:rPr>
          <w:rFonts w:eastAsiaTheme="majorEastAsia" w:cstheme="majorBidi"/>
          <w:b/>
          <w:color w:val="00679F"/>
          <w:sz w:val="76"/>
          <w:szCs w:val="40"/>
        </w:rPr>
      </w:pPr>
      <w:r>
        <w:rPr>
          <w:noProof/>
        </w:rPr>
        <mc:AlternateContent>
          <mc:Choice Requires="wps">
            <w:drawing>
              <wp:anchor distT="45720" distB="45720" distL="114300" distR="114300" simplePos="0" relativeHeight="251726848" behindDoc="0" locked="0" layoutInCell="1" allowOverlap="1" wp14:anchorId="5D38A414" wp14:editId="087EE92D">
                <wp:simplePos x="0" y="0"/>
                <wp:positionH relativeFrom="column">
                  <wp:posOffset>782955</wp:posOffset>
                </wp:positionH>
                <wp:positionV relativeFrom="paragraph">
                  <wp:posOffset>1920875</wp:posOffset>
                </wp:positionV>
                <wp:extent cx="4660900" cy="1404620"/>
                <wp:effectExtent l="0" t="0" r="6350" b="0"/>
                <wp:wrapSquare wrapText="bothSides"/>
                <wp:docPr id="5376888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0" cy="1404620"/>
                        </a:xfrm>
                        <a:prstGeom prst="rect">
                          <a:avLst/>
                        </a:prstGeom>
                        <a:solidFill>
                          <a:srgbClr val="156082">
                            <a:alpha val="80000"/>
                          </a:srgbClr>
                        </a:solidFill>
                        <a:ln w="9525">
                          <a:noFill/>
                          <a:miter lim="800000"/>
                          <a:headEnd/>
                          <a:tailEnd/>
                        </a:ln>
                      </wps:spPr>
                      <wps:txbx>
                        <w:txbxContent>
                          <w:p w14:paraId="7679EFA5" w14:textId="0CF5EDE0" w:rsidR="0097436D" w:rsidRPr="007B314B" w:rsidRDefault="0097436D" w:rsidP="0097436D">
                            <w:pPr>
                              <w:jc w:val="center"/>
                              <w:rPr>
                                <w:b/>
                                <w:bCs/>
                                <w:color w:val="FFFFFF" w:themeColor="background1"/>
                                <w:sz w:val="40"/>
                                <w:szCs w:val="48"/>
                              </w:rPr>
                            </w:pPr>
                            <w:r w:rsidRPr="007B314B">
                              <w:rPr>
                                <w:b/>
                                <w:bCs/>
                                <w:color w:val="FFFFFF" w:themeColor="background1"/>
                                <w:sz w:val="40"/>
                                <w:szCs w:val="48"/>
                              </w:rPr>
                              <w:t>The Authority recognises the First Nations people of this land and their ongoing connection to culture and country. We acknowledge First Nations people as the Traditional Owners, Custodians and Lore Keepers of the world’s oldest living cultures, and pay our respects to their Elders.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38A414" id="_x0000_s1028" type="#_x0000_t202" style="position:absolute;margin-left:61.65pt;margin-top:151.25pt;width:367pt;height:110.6pt;z-index:251726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" fillcolor="#156082" stroked="f">
                <v:fill opacity="52428f"/>
                <v:textbox style="mso-fit-shape-to-text:t">
                  <w:txbxContent>
                    <w:p w14:paraId="7679EFA5" w14:textId="0CF5EDE0" w:rsidR="0097436D" w:rsidRPr="007B314B" w:rsidRDefault="0097436D" w:rsidP="0097436D">
                      <w:pPr>
                        <w:jc w:val="center"/>
                        <w:rPr>
                          <w:b/>
                          <w:bCs/>
                          <w:color w:val="FFFFFF" w:themeColor="background1"/>
                          <w:sz w:val="40"/>
                          <w:szCs w:val="48"/>
                        </w:rPr>
                      </w:pPr>
                      <w:r w:rsidRPr="007B314B">
                        <w:rPr>
                          <w:b/>
                          <w:bCs/>
                          <w:color w:val="FFFFFF" w:themeColor="background1"/>
                          <w:sz w:val="40"/>
                          <w:szCs w:val="48"/>
                        </w:rPr>
                        <w:t>The Authority recognises the First Nations people of this land and their ongoing connection to culture and country. We acknowledge First Nations people as the Traditional Owners, Custodians and Lore Keepers of the world’s oldest living cultures, and pay our respects to their Elders.</w:t>
                      </w:r>
                    </w:p>
                  </w:txbxContent>
                </v:textbox>
                <w10:wrap type="square"/>
              </v:shape>
            </w:pict>
          </mc:Fallback>
        </mc:AlternateContent>
      </w:r>
      <w:r w:rsidR="00345438">
        <w:br w:type="page"/>
      </w:r>
    </w:p>
    <w:p w14:paraId="06121FC1" w14:textId="4DEEA2E4" w:rsidR="00CD7F90" w:rsidRPr="00C72762" w:rsidRDefault="00CD7F90" w:rsidP="00CD7F90">
      <w:pPr>
        <w:pStyle w:val="L1Heading"/>
      </w:pPr>
      <w:bookmarkStart w:id="5" w:name="_Toc224740968"/>
      <w:r w:rsidRPr="00C72762">
        <w:lastRenderedPageBreak/>
        <w:t>Summary</w:t>
      </w:r>
      <w:bookmarkEnd w:id="5"/>
    </w:p>
    <w:p w14:paraId="0058EAD6"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COP31 marks an inflection point in global climate cooperation. Climate impacts are intensifying, trade flows are shifting, and the global economy is becoming more multipolar. Governments are under growing pressure to deliver emissions reductions at the speed and scale required to meet climate goals, while also protecting prosperity, jobs and social cohesion. Australia is uniquely exposed to these forces and uniquely positioned to play a significant leadership role in this next phase of international cooperation.</w:t>
      </w:r>
    </w:p>
    <w:p w14:paraId="6E35BE4D"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Against this backdrop, the Climate Change Authority’s 2035 Targets Advice identified COP31 as a strategic opportunity to launch a </w:t>
      </w:r>
      <w:r w:rsidRPr="00C72762">
        <w:rPr>
          <w:rFonts w:ascii="Aptos" w:eastAsia="Times New Roman" w:hAnsi="Aptos" w:cs="Calibri"/>
          <w:b/>
          <w:sz w:val="22"/>
          <w:szCs w:val="22"/>
        </w:rPr>
        <w:t>Decarbonisation Deals Platform</w:t>
      </w:r>
      <w:r w:rsidRPr="00C72762">
        <w:rPr>
          <w:rFonts w:ascii="Aptos" w:eastAsia="Times New Roman" w:hAnsi="Aptos" w:cs="Calibri"/>
          <w:sz w:val="22"/>
          <w:szCs w:val="22"/>
        </w:rPr>
        <w:t xml:space="preserve">. Decarbonisation deals are negotiated arrangements between willing governments, with industry as delivery partners, to </w:t>
      </w:r>
      <w:r w:rsidRPr="00C72762">
        <w:rPr>
          <w:rFonts w:ascii="Aptos" w:hAnsi="Aptos" w:cs="Calibri"/>
          <w:sz w:val="22"/>
          <w:szCs w:val="22"/>
        </w:rPr>
        <w:t>align emissions reduction, trade, investment and industrial policy in support of a longer-term prospect for supply chain and market development</w:t>
      </w:r>
      <w:r w:rsidRPr="00C72762">
        <w:rPr>
          <w:rFonts w:ascii="Aptos" w:eastAsia="Times New Roman" w:hAnsi="Aptos" w:cs="Calibri"/>
          <w:sz w:val="22"/>
          <w:szCs w:val="22"/>
        </w:rPr>
        <w:t xml:space="preserve">. </w:t>
      </w:r>
      <w:r w:rsidRPr="00C72762">
        <w:rPr>
          <w:rFonts w:ascii="Aptos" w:eastAsia="Times New Roman" w:hAnsi="Aptos"/>
          <w:sz w:val="22"/>
          <w:szCs w:val="22"/>
        </w:rPr>
        <w:t xml:space="preserve">They </w:t>
      </w:r>
      <w:r w:rsidRPr="00C72762">
        <w:rPr>
          <w:rFonts w:ascii="Aptos" w:eastAsia="Times New Roman" w:hAnsi="Aptos" w:cs="Calibri"/>
          <w:sz w:val="22"/>
          <w:szCs w:val="22"/>
        </w:rPr>
        <w:t xml:space="preserve">do not require formal multilateral negotiations and endorsement by COP. Nor do they depend on universal participation – an opt-in approach is both sufficient and desirable. </w:t>
      </w:r>
    </w:p>
    <w:p w14:paraId="1ED27069" w14:textId="77777777" w:rsidR="00CD7F90" w:rsidRPr="00C72762" w:rsidRDefault="00CD7F90" w:rsidP="00CD7F90">
      <w:pPr>
        <w:spacing w:line="276" w:lineRule="auto"/>
        <w:rPr>
          <w:rFonts w:ascii="Aptos" w:eastAsia="Times New Roman" w:hAnsi="Aptos"/>
          <w:sz w:val="22"/>
          <w:szCs w:val="22"/>
        </w:rPr>
      </w:pPr>
      <w:r w:rsidRPr="00C72762">
        <w:rPr>
          <w:rFonts w:ascii="Aptos" w:eastAsia="Times New Roman" w:hAnsi="Aptos" w:cs="Calibri"/>
          <w:sz w:val="22"/>
          <w:szCs w:val="22"/>
        </w:rPr>
        <w:t>They generally take 2 complementary forms:</w:t>
      </w:r>
    </w:p>
    <w:p w14:paraId="0A2F2552" w14:textId="77777777" w:rsidR="00CD7F90" w:rsidRPr="00C72762" w:rsidRDefault="00CD7F90" w:rsidP="00CD7F90">
      <w:pPr>
        <w:pStyle w:val="ListParagraph"/>
        <w:numPr>
          <w:ilvl w:val="0"/>
          <w:numId w:val="13"/>
        </w:numPr>
        <w:spacing w:after="120" w:line="276" w:lineRule="auto"/>
        <w:rPr>
          <w:rFonts w:ascii="Aptos" w:eastAsia="Times New Roman" w:hAnsi="Aptos" w:cs="Calibri"/>
          <w:sz w:val="22"/>
          <w:szCs w:val="22"/>
        </w:rPr>
      </w:pPr>
      <w:r w:rsidRPr="00C72762">
        <w:rPr>
          <w:rFonts w:ascii="Aptos" w:eastAsia="Times New Roman" w:hAnsi="Aptos" w:cs="Calibri"/>
          <w:sz w:val="22"/>
          <w:szCs w:val="22"/>
        </w:rPr>
        <w:t xml:space="preserve">Bilateral </w:t>
      </w:r>
      <w:r w:rsidRPr="00C72762">
        <w:rPr>
          <w:rFonts w:ascii="Aptos" w:eastAsia="Times New Roman" w:hAnsi="Aptos" w:cs="Calibri"/>
          <w:b/>
          <w:sz w:val="22"/>
          <w:szCs w:val="22"/>
        </w:rPr>
        <w:t>clean industrial transformation deals</w:t>
      </w:r>
      <w:r w:rsidRPr="00C72762">
        <w:rPr>
          <w:rFonts w:ascii="Aptos" w:eastAsia="Times New Roman" w:hAnsi="Aptos" w:cs="Calibri"/>
          <w:sz w:val="22"/>
          <w:szCs w:val="22"/>
        </w:rPr>
        <w:t>, covering multiple projects and technologies across the value chain. Such agreements might include removal or avoidance of tariffs and import duties, accelerated approval pathways, joint funding and financing platforms, offtake agreements and long-term assured product supply, and collaboration on research, development and deployment. Together, these elements lower costs, de-risk investment and bring forward real-world emissions reductions.</w:t>
      </w:r>
    </w:p>
    <w:p w14:paraId="4DB75E9B" w14:textId="77777777" w:rsidR="00CD7F90" w:rsidRPr="00C72762" w:rsidRDefault="00CD7F90" w:rsidP="00CD7F90">
      <w:pPr>
        <w:pStyle w:val="ListParagraph"/>
        <w:numPr>
          <w:ilvl w:val="0"/>
          <w:numId w:val="13"/>
        </w:numPr>
        <w:spacing w:after="120" w:line="276" w:lineRule="auto"/>
        <w:rPr>
          <w:rFonts w:ascii="Aptos" w:eastAsia="Times New Roman" w:hAnsi="Aptos" w:cs="Calibri"/>
          <w:sz w:val="22"/>
          <w:szCs w:val="22"/>
        </w:rPr>
      </w:pPr>
      <w:r w:rsidRPr="00C72762">
        <w:rPr>
          <w:rFonts w:ascii="Aptos" w:eastAsia="Times New Roman" w:hAnsi="Aptos" w:cs="Calibri"/>
          <w:sz w:val="22"/>
          <w:szCs w:val="22"/>
        </w:rPr>
        <w:t xml:space="preserve">Plurilateral </w:t>
      </w:r>
      <w:r w:rsidRPr="00C72762">
        <w:rPr>
          <w:rFonts w:ascii="Aptos" w:eastAsia="Times New Roman" w:hAnsi="Aptos" w:cs="Calibri"/>
          <w:b/>
          <w:sz w:val="22"/>
          <w:szCs w:val="22"/>
        </w:rPr>
        <w:t>green industry development clubs</w:t>
      </w:r>
      <w:r w:rsidRPr="00C72762">
        <w:rPr>
          <w:rFonts w:ascii="Aptos" w:eastAsia="Times New Roman" w:hAnsi="Aptos" w:cs="Calibri"/>
          <w:sz w:val="22"/>
          <w:szCs w:val="22"/>
        </w:rPr>
        <w:t xml:space="preserve"> where groups of countries agree on shared definitions, taxonomies, standards and rules for low-emissions products and markets. This includes resolving questions such as what qualifies as “green” steel and developing shared standards to reduce uncertainty for investors and enable interoperability across markets. </w:t>
      </w:r>
    </w:p>
    <w:p w14:paraId="0EB53368"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sz w:val="22"/>
          <w:szCs w:val="22"/>
        </w:rPr>
        <w:t xml:space="preserve">Decarbonisation deals could provide the missing link between nationally determined contributions and trade cooperation – between climate ambition and economic implementation. By helping to reduce costs, align standards and de-risk investment, decarbonisation deals could make higher ambition more feasible and global decarbonisation faster and cheaper. Yet despite strong momentum, current efforts are fragmented. With greater coordination, a shared platform would enable faster, more coherent deal-making by aligning taxonomies, rules, and ultimately decarbonisation plans. </w:t>
      </w:r>
    </w:p>
    <w:p w14:paraId="5881E11D" w14:textId="77777777" w:rsidR="00CD7F90" w:rsidRPr="00C72762" w:rsidRDefault="00CD7F90" w:rsidP="00CD7F90">
      <w:pPr>
        <w:spacing w:line="276" w:lineRule="auto"/>
        <w:rPr>
          <w:rFonts w:ascii="Aptos" w:eastAsia="Times New Roman" w:hAnsi="Aptos"/>
          <w:sz w:val="22"/>
          <w:szCs w:val="22"/>
        </w:rPr>
      </w:pPr>
      <w:r w:rsidRPr="00C72762">
        <w:rPr>
          <w:rFonts w:ascii="Aptos" w:eastAsia="Times New Roman" w:hAnsi="Aptos" w:cs="Calibri"/>
          <w:sz w:val="22"/>
          <w:szCs w:val="22"/>
        </w:rPr>
        <w:t xml:space="preserve">For Australia, decarbonisation deals are fundamentally about getting ahead of the game. As global markets change what they buy, Australia can either supplement market conditions to support production or risk losing markets that have underpinned national prosperity for decades. Doing nothing is the riskiest option. </w:t>
      </w:r>
    </w:p>
    <w:p w14:paraId="09A6088E"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Globally, the imperative is even larger: enabling faster, cheaper decarbonisation across borders and supply chains. Decarbonisation deals could help create ‘coalitions of the willing’ that move faster, delivering sectoral progress that can be showcased and scaled, demonstrating that climate action and economic competitiveness can align. </w:t>
      </w:r>
    </w:p>
    <w:p w14:paraId="41A2DC18"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The Authority’s </w:t>
      </w:r>
      <w:hyperlink r:id="rId14" w:history="1">
        <w:r w:rsidRPr="00B62FC7">
          <w:rPr>
            <w:rStyle w:val="Hyperlink"/>
            <w:rFonts w:ascii="Aptos" w:eastAsia="Times New Roman" w:hAnsi="Aptos" w:cs="Calibri"/>
            <w:sz w:val="22"/>
            <w:szCs w:val="22"/>
          </w:rPr>
          <w:t>2035 Targets Advice</w:t>
        </w:r>
      </w:hyperlink>
      <w:r w:rsidRPr="00C72762">
        <w:rPr>
          <w:rFonts w:ascii="Aptos" w:eastAsia="Times New Roman" w:hAnsi="Aptos" w:cs="Calibri"/>
          <w:sz w:val="22"/>
          <w:szCs w:val="22"/>
        </w:rPr>
        <w:t xml:space="preserve"> recognised emissions reduction is now inseparable from trade, investment, and industrial policy. It set out a strategic proposition: Australia can commence a shift from being a net exporter of emissions to a net exporter of abatement, complementing domestic action with international cooperation that accelerates regional decarbonisation. </w:t>
      </w:r>
    </w:p>
    <w:p w14:paraId="1FE25A8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lastRenderedPageBreak/>
        <w:t>Since that advice was delivered, several developments make leadership both more urgent and more feasible:</w:t>
      </w:r>
    </w:p>
    <w:p w14:paraId="49B72C9B"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Australia will be President of Negotiations, a new, specialised function introduced for COP31. Senator The Hon. Penny Wong explained that this means ‘Australia will have ‘“exclusive authority in relation to the negotiations”, to shape and guide global decision making in support of the multilateral system and global trade and investment in clean energy industries.’</w:t>
      </w:r>
      <w:r w:rsidRPr="00C72762">
        <w:rPr>
          <w:rStyle w:val="FootnoteReference"/>
          <w:rFonts w:ascii="Aptos" w:eastAsia="Times New Roman" w:hAnsi="Aptos" w:cs="Calibri"/>
          <w:sz w:val="22"/>
          <w:szCs w:val="22"/>
        </w:rPr>
        <w:footnoteReference w:id="2"/>
      </w:r>
      <w:r w:rsidRPr="00C72762">
        <w:rPr>
          <w:rFonts w:ascii="Aptos" w:eastAsia="Times New Roman" w:hAnsi="Aptos" w:cs="Calibri"/>
          <w:sz w:val="22"/>
          <w:szCs w:val="22"/>
        </w:rPr>
        <w:t xml:space="preserve"> </w:t>
      </w:r>
    </w:p>
    <w:p w14:paraId="1337080F"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24 countries, including Australia, signed the Belém Declaration on the Transition Away from Fossil Fuels at COP30, and the Republic of Korea (Korea/RoK) announced a coal-fired power phase-out by 2040, reinforcing the inevitability of declining demand for Australia’s fossil fuel exports.</w:t>
      </w:r>
    </w:p>
    <w:p w14:paraId="413CE172"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40 countries and organisations, including Australia, signed the Belém Declaration on Global Green Industrialization, complementing the Global Clean Power Alliance (GCPA) Supply Chains Mission established by Australia, Canada, Kenya, the Netherlands, the United Kingdom, and Zambia.</w:t>
      </w:r>
    </w:p>
    <w:p w14:paraId="57A19C84"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Brazil launched the Integrated Forum on Climate Change and Trade, intended to generate new international collaboration that aligns trade practices with climate goals. Australia has been working closely with Brazil to develop this concept.</w:t>
      </w:r>
    </w:p>
    <w:p w14:paraId="6DFE6671"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Brazil launched the Integrated Forum on Climate Change and Trade, intended to generate new international collaboration that aligns trade practices with climate goals. Australia has been working closely with Brazil to develop this concept.</w:t>
      </w:r>
    </w:p>
    <w:p w14:paraId="53ACEBDE"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 xml:space="preserve">Carbon border adjustment mechanisms (CBAMs) are moving from theory to practice, with the EU progressing to implementation, countries like Türkiye considering their own domestic carbon prices specifically to avoid paying the EU CBAM charge, and other countries including Australia actively considering a CBAM of their own. </w:t>
      </w:r>
    </w:p>
    <w:p w14:paraId="2BE1965D"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Globally, the focus has shifted decisively from ambition-setting to implementation, finance and supply chains. This shift is reshaping the role of COPs, from primarily multilateral UNFCCC negotiations to hubs for plurilateral and bilateral deal-making, often with industry at the table. The creation of a COP negotiations presidency comes at an opportune moment, with scope to define negotiations broadly and to use the presidency’s convening power to advance practical agreements that accelerate real-world outcomes alongside formal UNFCCC processes. </w:t>
      </w:r>
    </w:p>
    <w:p w14:paraId="08524B26"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A Decarbonisation Deals Platform at COP31 would offer a practical way for countries to work together on reducing emissions embedded in traded goods, scaling clean supply chains, and managing the orderly transition of emissions-intensive industries – turning climate ambition into trade-linked action. </w:t>
      </w:r>
    </w:p>
    <w:p w14:paraId="5819B0B8" w14:textId="77777777" w:rsidR="00CD7F90" w:rsidRPr="00C72762" w:rsidRDefault="00CD7F90" w:rsidP="00CD7F90">
      <w:pPr>
        <w:spacing w:line="276" w:lineRule="auto"/>
        <w:rPr>
          <w:rFonts w:ascii="Aptos" w:eastAsia="Times New Roman" w:hAnsi="Aptos"/>
          <w:sz w:val="22"/>
          <w:szCs w:val="22"/>
        </w:rPr>
      </w:pPr>
      <w:r w:rsidRPr="00C72762">
        <w:rPr>
          <w:rFonts w:ascii="Aptos" w:eastAsia="Times New Roman" w:hAnsi="Aptos" w:cs="Calibri"/>
          <w:sz w:val="22"/>
          <w:szCs w:val="22"/>
        </w:rPr>
        <w:t xml:space="preserve">This concept </w:t>
      </w:r>
      <w:proofErr w:type="gramStart"/>
      <w:r w:rsidRPr="00C72762">
        <w:rPr>
          <w:rFonts w:ascii="Aptos" w:eastAsia="Times New Roman" w:hAnsi="Aptos" w:cs="Calibri"/>
          <w:sz w:val="22"/>
          <w:szCs w:val="22"/>
        </w:rPr>
        <w:t>note</w:t>
      </w:r>
      <w:proofErr w:type="gramEnd"/>
      <w:r w:rsidRPr="00C72762">
        <w:rPr>
          <w:rFonts w:ascii="Aptos" w:eastAsia="Times New Roman" w:hAnsi="Aptos" w:cs="Calibri"/>
          <w:sz w:val="22"/>
          <w:szCs w:val="22"/>
        </w:rPr>
        <w:t xml:space="preserve"> updates and builds on the Authority’s earlier advice, providing further guidance on next steps should Australia choose to use its COP31 role to advance a Decarbonisation Deals Platform, a flagship first bilateral decarbonisation deal, or both.</w:t>
      </w:r>
    </w:p>
    <w:p w14:paraId="1629DD3A" w14:textId="77777777" w:rsidR="00397223" w:rsidRPr="004F135F" w:rsidRDefault="00397223" w:rsidP="00397223"/>
    <w:p w14:paraId="423D52AB" w14:textId="77777777" w:rsidR="00397223" w:rsidRPr="004F135F" w:rsidRDefault="00397223" w:rsidP="00397223"/>
    <w:p w14:paraId="64AFE587" w14:textId="77777777" w:rsidR="00397223" w:rsidRPr="004F135F" w:rsidRDefault="00397223" w:rsidP="00397223"/>
    <w:p w14:paraId="71C29673" w14:textId="77777777" w:rsidR="00397223" w:rsidRPr="004F135F" w:rsidRDefault="00397223" w:rsidP="00397223"/>
    <w:p w14:paraId="6EA55C0A" w14:textId="77777777" w:rsidR="00397223" w:rsidRPr="004F135F" w:rsidRDefault="00397223" w:rsidP="00397223"/>
    <w:p w14:paraId="34DFDF3C" w14:textId="77777777" w:rsidR="00CD7F90" w:rsidRPr="00C72762" w:rsidRDefault="00CD7F90" w:rsidP="004B3966">
      <w:pPr>
        <w:pStyle w:val="L1Heading"/>
        <w:spacing w:line="240" w:lineRule="auto"/>
      </w:pPr>
      <w:bookmarkStart w:id="6" w:name="_Toc224740969"/>
      <w:r w:rsidRPr="00C72762">
        <w:t>1. The risks and strategic opportunity for Australia</w:t>
      </w:r>
      <w:bookmarkEnd w:id="6"/>
    </w:p>
    <w:p w14:paraId="0B83D86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Australia is unusual among advanced economies in that a large share of its climate-related risk exposure sits outside its borders. When Australian coal, gas and other emissions-intensive commodities are used overseas, the resulting emissions are counted in other countries’ inventories.</w:t>
      </w:r>
      <w:r w:rsidRPr="00C72762">
        <w:rPr>
          <w:rFonts w:ascii="Aptos" w:eastAsia="Times New Roman" w:hAnsi="Aptos" w:cs="Calibri"/>
          <w:b/>
          <w:sz w:val="22"/>
          <w:szCs w:val="22"/>
        </w:rPr>
        <w:t xml:space="preserve"> But the commercial risks sit with Australia: </w:t>
      </w:r>
      <w:r w:rsidRPr="00C72762">
        <w:rPr>
          <w:rFonts w:ascii="Aptos" w:eastAsia="Times New Roman" w:hAnsi="Aptos" w:cs="Calibri"/>
          <w:sz w:val="22"/>
          <w:szCs w:val="22"/>
        </w:rPr>
        <w:t xml:space="preserve">those offshore emissions increasingly shape whether overseas customers are willing, or permitted, to keep buying Australian products. </w:t>
      </w:r>
    </w:p>
    <w:p w14:paraId="5C1134C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Offshore emissions are not an abstract accounting issue: they are a key determinant of future demand for Australian exports. As countries tighten climate targets, introduce carbon constraints, and respond to domestic political and consumer pressure, demand will increasingly shift away from products that emit greenhouse gases at the point of use. Offshore abatement therefore shapes whether Australia can remain a preferred supplier. In some cases, this will be direct, such as buyers favouring lower-emissions fuels, materials or inputs. In others, it will operate through broader system changes, including industrial standards, procurement rules, carbon border measures, and long-term investment decisions that lock in cleaner supply chains. Retaining market access will increasingly depend on Australia’s ability to offer substitutes that reduce emissions </w:t>
      </w:r>
      <w:r w:rsidRPr="00C72762">
        <w:rPr>
          <w:rFonts w:ascii="Aptos" w:eastAsia="Times New Roman" w:hAnsi="Aptos" w:cs="Calibri"/>
          <w:i/>
          <w:sz w:val="22"/>
          <w:szCs w:val="22"/>
        </w:rPr>
        <w:t>for the buyer</w:t>
      </w:r>
      <w:r w:rsidRPr="00C72762">
        <w:rPr>
          <w:rFonts w:ascii="Aptos" w:eastAsia="Times New Roman" w:hAnsi="Aptos" w:cs="Calibri"/>
          <w:sz w:val="22"/>
          <w:szCs w:val="22"/>
        </w:rPr>
        <w:t>. Managing this risk requires engagement well beyond domestic policy settings.</w:t>
      </w:r>
    </w:p>
    <w:p w14:paraId="1B222523" w14:textId="77777777" w:rsidR="00CD7F90" w:rsidRPr="00C72762" w:rsidRDefault="00CD7F90" w:rsidP="00CD7F90">
      <w:pPr>
        <w:spacing w:line="276" w:lineRule="auto"/>
        <w:rPr>
          <w:rFonts w:ascii="Aptos" w:eastAsia="Times New Roman" w:hAnsi="Aptos" w:cs="Calibri"/>
          <w:sz w:val="22"/>
          <w:szCs w:val="22"/>
        </w:rPr>
      </w:pPr>
      <w:r w:rsidRPr="00C72762" w:rsidDel="00834C39">
        <w:rPr>
          <w:rFonts w:ascii="Aptos" w:eastAsia="Times New Roman" w:hAnsi="Aptos" w:cs="Calibri"/>
          <w:sz w:val="22"/>
          <w:szCs w:val="22"/>
        </w:rPr>
        <w:t>Decarbonisation deals are grounded in a simple but powerful transition: from exporting molecules to exporting materials.</w:t>
      </w:r>
      <w:r w:rsidRPr="00C72762">
        <w:rPr>
          <w:rFonts w:ascii="Aptos" w:eastAsia="Times New Roman" w:hAnsi="Aptos" w:cs="Calibri"/>
          <w:sz w:val="22"/>
          <w:szCs w:val="22"/>
        </w:rPr>
        <w:t xml:space="preserve"> </w:t>
      </w:r>
      <w:r w:rsidRPr="00C72762">
        <w:rPr>
          <w:rFonts w:ascii="Aptos" w:eastAsia="Times New Roman" w:hAnsi="Aptos" w:cs="Calibri"/>
          <w:b/>
          <w:sz w:val="22"/>
          <w:szCs w:val="22"/>
        </w:rPr>
        <w:t>The world is moving from a place where energy was expensive to extract, but cheap to store and transport, to one where energy is cheap to extract, but expensive to store and transport.</w:t>
      </w:r>
      <w:r w:rsidRPr="00C72762">
        <w:rPr>
          <w:rFonts w:ascii="Aptos" w:eastAsia="Times New Roman" w:hAnsi="Aptos" w:cs="Calibri"/>
          <w:sz w:val="22"/>
          <w:szCs w:val="22"/>
        </w:rPr>
        <w:t xml:space="preserve"> This shift favours producing energy-intensive goods close to abundant clean energy sources, and trading finished or semi-finished materials rather than raw fuels.</w:t>
      </w:r>
    </w:p>
    <w:p w14:paraId="07F772B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For Australia, this creates a clear opportunity. Instead of exporting coal and gas that are used overseas to generate power or heat industrial processes, Australia can export energy-intensive materials made with clean energy. This approach captures more value domestically while directly reducing offshore emissions associated with Australia’s exports. Green iron, green steel, aluminium, ammonia, low emissions fuels and processed critical minerals are prime candidates. Domestic policy is already moving in this direction through initiatives such as Future Made in Australia. Decarbonisation deals would complement these efforts by aligning trade, investment and climate objectives with key partners, helping Australian clean industries scale faster and secure durable export markets.</w:t>
      </w:r>
    </w:p>
    <w:p w14:paraId="3AF825B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A COP31 strategy centred on decarbonisation deals would deliver clear benefits for Australia:</w:t>
      </w:r>
    </w:p>
    <w:p w14:paraId="5CCB3AB6" w14:textId="77777777" w:rsidR="00CD7F90" w:rsidRPr="00C72762" w:rsidRDefault="00CD7F90" w:rsidP="00CD7F90">
      <w:pPr>
        <w:numPr>
          <w:ilvl w:val="0"/>
          <w:numId w:val="14"/>
        </w:numPr>
        <w:spacing w:line="276" w:lineRule="auto"/>
        <w:rPr>
          <w:rFonts w:ascii="Aptos" w:eastAsia="Times New Roman" w:hAnsi="Aptos" w:cs="Calibri"/>
          <w:sz w:val="22"/>
          <w:szCs w:val="22"/>
        </w:rPr>
      </w:pPr>
      <w:r w:rsidRPr="00C72762">
        <w:rPr>
          <w:rFonts w:ascii="Aptos" w:eastAsia="Times New Roman" w:hAnsi="Aptos" w:cs="Calibri"/>
          <w:sz w:val="22"/>
          <w:szCs w:val="22"/>
        </w:rPr>
        <w:t>Export markets remain open by enabling Australian products to meet emerging climate, industrial and procurement standards in key trading partner markets.</w:t>
      </w:r>
    </w:p>
    <w:p w14:paraId="7B984D87" w14:textId="77777777" w:rsidR="00CD7F90" w:rsidRPr="00C72762" w:rsidRDefault="00CD7F90" w:rsidP="00CD7F90">
      <w:pPr>
        <w:numPr>
          <w:ilvl w:val="0"/>
          <w:numId w:val="14"/>
        </w:numPr>
        <w:spacing w:line="276" w:lineRule="auto"/>
        <w:rPr>
          <w:rFonts w:ascii="Aptos" w:eastAsia="Times New Roman" w:hAnsi="Aptos" w:cs="Calibri"/>
          <w:sz w:val="22"/>
          <w:szCs w:val="22"/>
        </w:rPr>
      </w:pPr>
      <w:r w:rsidRPr="00C72762">
        <w:rPr>
          <w:rFonts w:ascii="Aptos" w:eastAsia="Times New Roman" w:hAnsi="Aptos" w:cs="Calibri"/>
          <w:sz w:val="22"/>
          <w:szCs w:val="22"/>
        </w:rPr>
        <w:t>Regional jobs gain durability through early investment in new, growth industries, reducing the risk of abrupt disruption as demand for emissions-intensive exports declines. Decarbonisation deals can also support more orderly adjustment across the full supply chain, recognising that both exporters and importers face structural change as clean energy reshapes where industry locates and how value is created.</w:t>
      </w:r>
    </w:p>
    <w:p w14:paraId="1CE32616" w14:textId="77777777" w:rsidR="00CD7F90" w:rsidRPr="00C72762" w:rsidRDefault="00CD7F90" w:rsidP="00CD7F90">
      <w:pPr>
        <w:numPr>
          <w:ilvl w:val="0"/>
          <w:numId w:val="14"/>
        </w:numPr>
        <w:spacing w:line="276" w:lineRule="auto"/>
        <w:rPr>
          <w:rFonts w:ascii="Aptos" w:eastAsia="Times New Roman" w:hAnsi="Aptos" w:cs="Calibri"/>
          <w:sz w:val="22"/>
          <w:szCs w:val="22"/>
        </w:rPr>
      </w:pPr>
      <w:r w:rsidRPr="00C72762">
        <w:rPr>
          <w:rFonts w:ascii="Aptos" w:eastAsia="Times New Roman" w:hAnsi="Aptos" w:cs="Calibri"/>
          <w:sz w:val="22"/>
          <w:szCs w:val="22"/>
        </w:rPr>
        <w:lastRenderedPageBreak/>
        <w:t>Private capital receives clearer signals about where to invest, lowering risk and reducing the overall cost of transition by aligning trade, climate and industrial policy.</w:t>
      </w:r>
    </w:p>
    <w:p w14:paraId="5138DF26" w14:textId="77777777" w:rsidR="00CD7F90" w:rsidRPr="00C72762" w:rsidRDefault="00CD7F90" w:rsidP="00CD7F90">
      <w:pPr>
        <w:numPr>
          <w:ilvl w:val="0"/>
          <w:numId w:val="14"/>
        </w:numPr>
        <w:spacing w:line="276" w:lineRule="auto"/>
        <w:rPr>
          <w:rFonts w:ascii="Aptos" w:eastAsia="Times New Roman" w:hAnsi="Aptos" w:cs="Calibri"/>
          <w:sz w:val="22"/>
          <w:szCs w:val="22"/>
        </w:rPr>
      </w:pPr>
      <w:r w:rsidRPr="00C72762">
        <w:rPr>
          <w:rFonts w:ascii="Aptos" w:eastAsia="Times New Roman" w:hAnsi="Aptos" w:cs="Calibri"/>
          <w:sz w:val="22"/>
          <w:szCs w:val="22"/>
        </w:rPr>
        <w:t>Workers and investors gain greater certainty about the pace and direction of change, including the expected long-term decline in demand for emissions intensive products, allowing capital and skills to shift in a more predictable and orderly way.</w:t>
      </w:r>
    </w:p>
    <w:p w14:paraId="0DD5A7C0" w14:textId="28F610F9" w:rsidR="00CD7F90" w:rsidRPr="00C72762" w:rsidRDefault="00CD7F90" w:rsidP="00CD7F90">
      <w:pPr>
        <w:numPr>
          <w:ilvl w:val="0"/>
          <w:numId w:val="14"/>
        </w:numPr>
        <w:spacing w:line="276" w:lineRule="auto"/>
        <w:rPr>
          <w:rFonts w:ascii="Aptos" w:eastAsia="Times New Roman" w:hAnsi="Aptos" w:cs="Calibri"/>
          <w:sz w:val="22"/>
          <w:szCs w:val="22"/>
        </w:rPr>
      </w:pPr>
      <w:r w:rsidRPr="00C72762">
        <w:rPr>
          <w:rFonts w:ascii="Aptos" w:eastAsia="Times New Roman" w:hAnsi="Aptos" w:cs="Calibri"/>
          <w:sz w:val="22"/>
          <w:szCs w:val="22"/>
        </w:rPr>
        <w:t>Australia’s reputation as a reliable partner in a changing global economy is strengthened.</w:t>
      </w:r>
    </w:p>
    <w:p w14:paraId="5891164A" w14:textId="5EF2D743"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As incoming COP President of Negotiations, Australia can shape COP31 around a practical, investor-credible agenda that helps countries move faster at lower cost, while supporting regional jobs and managing the transition from emissions-intensive exports to clean alternatives. The benefits extend well beyond Australia and would be a major contribution to advancing global cooperation and climate progress. Decarbonisation deals would allow countries to:</w:t>
      </w:r>
    </w:p>
    <w:p w14:paraId="5110EECC" w14:textId="17A4061C"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reduce emissions where it is cheapest and fastest across borders</w:t>
      </w:r>
    </w:p>
    <w:p w14:paraId="11A5E0C1"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align climate policy with trade, industrial strategy and employment</w:t>
      </w:r>
    </w:p>
    <w:p w14:paraId="23ABFB05"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provide confidence for investors through shared standards and long-term cooperation.</w:t>
      </w:r>
    </w:p>
    <w:p w14:paraId="17C9BD6B" w14:textId="2396F42D"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These contributions will occur at a time when global economies are deeply interconnected through trade and investment, creating strong mutual incentives to cooperate on emissions reduction in ways that sustain prosperity. Coordinated action makes climate progress more likely, faster, and more equitably shared within and between countries. Many countries will be struggling to turn strengthened targets into investable pathways. Trade tensions related to climate policy remain heightened, as countries introduce new climate standards, carbon charges and border measures remain heightened. </w:t>
      </w:r>
      <w:proofErr w:type="gramStart"/>
      <w:r w:rsidRPr="00C72762">
        <w:rPr>
          <w:rFonts w:ascii="Aptos" w:eastAsia="Times New Roman" w:hAnsi="Aptos" w:cs="Calibri"/>
          <w:sz w:val="22"/>
          <w:szCs w:val="22"/>
        </w:rPr>
        <w:t>Particular trade</w:t>
      </w:r>
      <w:proofErr w:type="gramEnd"/>
      <w:r w:rsidRPr="00C72762">
        <w:rPr>
          <w:rFonts w:ascii="Aptos" w:eastAsia="Times New Roman" w:hAnsi="Aptos" w:cs="Calibri"/>
          <w:sz w:val="22"/>
          <w:szCs w:val="22"/>
        </w:rPr>
        <w:t xml:space="preserve"> dynamics and tensions will occur around carbon-intensive commodities such as steel, aluminium, cement and fossil fuels. Developing and emerging economies will be seeking partners to finance and deliver clean industrial transitions. </w:t>
      </w:r>
    </w:p>
    <w:p w14:paraId="31747A1A" w14:textId="5AE5163F"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In this context, Australia’s credibility rests on 3 strengths:</w:t>
      </w:r>
    </w:p>
    <w:p w14:paraId="5C7D152E" w14:textId="3A882925" w:rsidR="00CD7F90" w:rsidRPr="00C72762" w:rsidRDefault="00CD7F90" w:rsidP="00CD7F90">
      <w:pPr>
        <w:pStyle w:val="ListParagraph"/>
        <w:numPr>
          <w:ilvl w:val="0"/>
          <w:numId w:val="17"/>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Economic structure as a major exporter of energy, resources and energy-intensive products.</w:t>
      </w:r>
    </w:p>
    <w:p w14:paraId="45A26877" w14:textId="0942347A" w:rsidR="00CD7F90" w:rsidRPr="00C72762" w:rsidRDefault="00CD7F90" w:rsidP="00CD7F90">
      <w:pPr>
        <w:pStyle w:val="ListParagraph"/>
        <w:numPr>
          <w:ilvl w:val="0"/>
          <w:numId w:val="17"/>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 xml:space="preserve">Geopolitical position as a trusted trade partner across the Asia-Pacific. </w:t>
      </w:r>
    </w:p>
    <w:p w14:paraId="028E8682" w14:textId="25148019" w:rsidR="00CD7F90" w:rsidRPr="00C72762" w:rsidRDefault="00CD7F90" w:rsidP="00CD7F90">
      <w:pPr>
        <w:pStyle w:val="ListParagraph"/>
        <w:numPr>
          <w:ilvl w:val="0"/>
          <w:numId w:val="17"/>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Experience in economy-wide climate policy design, implementation and review.</w:t>
      </w:r>
    </w:p>
    <w:p w14:paraId="30CAE492" w14:textId="1D7421AE"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These strengths position Australia not just to convene, but to lead. </w:t>
      </w:r>
    </w:p>
    <w:p w14:paraId="72AF897C" w14:textId="5D0D3D36" w:rsidR="00CD7F90" w:rsidRPr="00C72762" w:rsidRDefault="001D7EEA" w:rsidP="00CD7F90">
      <w:pPr>
        <w:spacing w:line="276" w:lineRule="auto"/>
        <w:rPr>
          <w:rFonts w:ascii="Aptos" w:eastAsia="Times New Roman" w:hAnsi="Aptos" w:cs="Calibri"/>
          <w:sz w:val="22"/>
          <w:szCs w:val="22"/>
        </w:rPr>
      </w:pPr>
      <w:r w:rsidRPr="001D7EEA">
        <w:rPr>
          <w:b/>
          <w:bCs/>
          <w:noProof/>
        </w:rPr>
        <mc:AlternateContent>
          <mc:Choice Requires="wps">
            <w:drawing>
              <wp:anchor distT="0" distB="0" distL="114300" distR="114300" simplePos="0" relativeHeight="251745280" behindDoc="0" locked="0" layoutInCell="1" allowOverlap="1" wp14:anchorId="6712D827" wp14:editId="691867B4">
                <wp:simplePos x="0" y="0"/>
                <wp:positionH relativeFrom="column">
                  <wp:posOffset>-566420</wp:posOffset>
                </wp:positionH>
                <wp:positionV relativeFrom="paragraph">
                  <wp:posOffset>317984</wp:posOffset>
                </wp:positionV>
                <wp:extent cx="7625300" cy="492981"/>
                <wp:effectExtent l="0" t="0" r="13970" b="21590"/>
                <wp:wrapNone/>
                <wp:docPr id="2111260652" name="Rectangle 10"/>
                <wp:cNvGraphicFramePr/>
                <a:graphic xmlns:a="http://schemas.openxmlformats.org/drawingml/2006/main">
                  <a:graphicData uri="http://schemas.microsoft.com/office/word/2010/wordprocessingShape">
                    <wps:wsp>
                      <wps:cNvSpPr/>
                      <wps:spPr>
                        <a:xfrm>
                          <a:off x="0" y="0"/>
                          <a:ext cx="7625300" cy="492981"/>
                        </a:xfrm>
                        <a:prstGeom prst="rect">
                          <a:avLst/>
                        </a:prstGeom>
                        <a:solidFill>
                          <a:srgbClr val="FD904D"/>
                        </a:solidFill>
                        <a:ln>
                          <a:solidFill>
                            <a:srgbClr val="FD904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3CD189" id="Rectangle 10" o:spid="_x0000_s1026" style="position:absolute;margin-left:-44.6pt;margin-top:25.05pt;width:600.4pt;height:38.8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" fillcolor="#fd904d" strokecolor="#fd904d" strokeweight="1pt"/>
            </w:pict>
          </mc:Fallback>
        </mc:AlternateContent>
      </w:r>
    </w:p>
    <w:p w14:paraId="05FA96DA" w14:textId="5FF22F96" w:rsidR="00E61012" w:rsidRPr="001D7EEA" w:rsidRDefault="001D7EEA">
      <w:pPr>
        <w:spacing w:before="0" w:after="160" w:line="279" w:lineRule="auto"/>
        <w:rPr>
          <w:rFonts w:eastAsiaTheme="majorEastAsia" w:cstheme="majorBidi"/>
          <w:b/>
          <w:bCs/>
          <w:color w:val="00679F"/>
          <w:sz w:val="76"/>
          <w:szCs w:val="40"/>
        </w:rPr>
      </w:pPr>
      <w:r w:rsidRPr="001D7EEA">
        <w:rPr>
          <w:b/>
          <w:bCs/>
          <w:noProof/>
        </w:rPr>
        <w:drawing>
          <wp:anchor distT="0" distB="0" distL="114300" distR="114300" simplePos="0" relativeHeight="251756544" behindDoc="0" locked="0" layoutInCell="1" allowOverlap="1" wp14:anchorId="00DD0CB1" wp14:editId="38F6AC87">
            <wp:simplePos x="0" y="0"/>
            <wp:positionH relativeFrom="column">
              <wp:posOffset>-734695</wp:posOffset>
            </wp:positionH>
            <wp:positionV relativeFrom="paragraph">
              <wp:posOffset>133350</wp:posOffset>
            </wp:positionV>
            <wp:extent cx="7720330" cy="3726180"/>
            <wp:effectExtent l="0" t="0" r="0" b="7620"/>
            <wp:wrapNone/>
            <wp:docPr id="365716965"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16965" name="Picture 9">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20330" cy="3726180"/>
                    </a:xfrm>
                    <a:prstGeom prst="rect">
                      <a:avLst/>
                    </a:prstGeom>
                  </pic:spPr>
                </pic:pic>
              </a:graphicData>
            </a:graphic>
            <wp14:sizeRelH relativeFrom="margin">
              <wp14:pctWidth>0</wp14:pctWidth>
            </wp14:sizeRelH>
            <wp14:sizeRelV relativeFrom="margin">
              <wp14:pctHeight>0</wp14:pctHeight>
            </wp14:sizeRelV>
          </wp:anchor>
        </w:drawing>
      </w:r>
      <w:r w:rsidR="00E61012" w:rsidRPr="001D7EEA">
        <w:rPr>
          <w:b/>
          <w:bCs/>
        </w:rPr>
        <w:br w:type="page"/>
      </w:r>
    </w:p>
    <w:p w14:paraId="533A3FB9" w14:textId="3EACCB28" w:rsidR="00CD7F90" w:rsidRPr="00C72762" w:rsidRDefault="00CD7F90" w:rsidP="004B3966">
      <w:pPr>
        <w:pStyle w:val="L1Heading"/>
        <w:spacing w:line="240" w:lineRule="auto"/>
      </w:pPr>
      <w:bookmarkStart w:id="7" w:name="_Toc224740970"/>
      <w:r w:rsidRPr="00C72762">
        <w:lastRenderedPageBreak/>
        <w:t>2. Part 4 of the 2035 Targets Advice and developments since</w:t>
      </w:r>
      <w:bookmarkEnd w:id="7"/>
    </w:p>
    <w:p w14:paraId="7CAB88C6"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The Authority’s 2035 Targets Advice recognised a simple but powerful truth: Australia’s climate impact, and its economic future, cannot be assessed solely within territorial emissions boundaries</w:t>
      </w:r>
      <w:r w:rsidRPr="00C72762" w:rsidDel="00FD6FBF">
        <w:rPr>
          <w:rFonts w:ascii="Aptos" w:eastAsia="Times New Roman" w:hAnsi="Aptos" w:cs="Calibri"/>
          <w:sz w:val="22"/>
          <w:szCs w:val="22"/>
        </w:rPr>
        <w:t>.</w:t>
      </w:r>
    </w:p>
    <w:p w14:paraId="5BAB1BB3"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Key insights included: </w:t>
      </w:r>
    </w:p>
    <w:p w14:paraId="4E5280F6"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Deals accelerate global action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 xml:space="preserve">Decarbonisation deals help accelerate implementation by aligning trade, investment and climate action across countries, delivering more abatement faster at lower overall cost. </w:t>
      </w:r>
    </w:p>
    <w:p w14:paraId="4E2A3C87" w14:textId="77777777" w:rsidR="00CD7F90" w:rsidRPr="00C72762" w:rsidRDefault="00CD7F90" w:rsidP="00CD7F90">
      <w:pPr>
        <w:numPr>
          <w:ilvl w:val="0"/>
          <w:numId w:val="12"/>
        </w:numPr>
        <w:spacing w:line="276" w:lineRule="auto"/>
        <w:rPr>
          <w:rFonts w:ascii="Aptos" w:eastAsia="Times New Roman" w:hAnsi="Aptos" w:cs="Calibri"/>
          <w:sz w:val="22"/>
          <w:szCs w:val="22"/>
        </w:rPr>
      </w:pPr>
      <w:r w:rsidRPr="00C72762">
        <w:rPr>
          <w:rFonts w:ascii="Aptos" w:eastAsia="Times New Roman" w:hAnsi="Aptos" w:cs="Calibri"/>
          <w:b/>
          <w:sz w:val="22"/>
          <w:szCs w:val="22"/>
        </w:rPr>
        <w:t xml:space="preserve">Supply-chain emissions are the next policy frontier </w:t>
      </w:r>
      <w:r>
        <w:rPr>
          <w:rFonts w:ascii="Aptos" w:eastAsia="Times New Roman" w:hAnsi="Aptos" w:cs="Calibri"/>
          <w:b/>
          <w:bCs/>
          <w:sz w:val="22"/>
          <w:szCs w:val="22"/>
        </w:rPr>
        <w:t>–</w:t>
      </w:r>
      <w:r w:rsidRPr="00C72762">
        <w:rPr>
          <w:rFonts w:ascii="Aptos" w:eastAsia="Times New Roman" w:hAnsi="Aptos" w:cs="Calibri"/>
          <w:sz w:val="22"/>
          <w:szCs w:val="22"/>
        </w:rPr>
        <w:t xml:space="preserve"> Investors and multinational firms are increasingly accounting for Scope 3 emissions embedded in supply chains, driven by voluntary commitments and evolving regulatory frameworks. </w:t>
      </w:r>
    </w:p>
    <w:p w14:paraId="4560D4BE"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Offshore emissions matter </w:t>
      </w:r>
      <w:r>
        <w:rPr>
          <w:rFonts w:ascii="Aptos" w:eastAsia="Times New Roman" w:hAnsi="Aptos" w:cs="Calibri"/>
          <w:b/>
          <w:bCs/>
          <w:sz w:val="22"/>
          <w:szCs w:val="22"/>
        </w:rPr>
        <w:t>–</w:t>
      </w:r>
      <w:r w:rsidRPr="00C72762">
        <w:rPr>
          <w:rFonts w:ascii="Aptos" w:eastAsia="Times New Roman" w:hAnsi="Aptos" w:cs="Calibri"/>
          <w:sz w:val="22"/>
          <w:szCs w:val="22"/>
        </w:rPr>
        <w:t xml:space="preserve"> Emissions embodied in exports are central to global decarbonisation outcomes.</w:t>
      </w:r>
    </w:p>
    <w:p w14:paraId="2ECE64BA"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Deals beat declarations </w:t>
      </w:r>
      <w:r>
        <w:rPr>
          <w:rFonts w:ascii="Aptos" w:eastAsia="Times New Roman" w:hAnsi="Aptos" w:cs="Calibri"/>
          <w:b/>
          <w:bCs/>
          <w:sz w:val="22"/>
          <w:szCs w:val="22"/>
        </w:rPr>
        <w:t>–</w:t>
      </w:r>
      <w:r w:rsidRPr="00C72762">
        <w:rPr>
          <w:rFonts w:ascii="Aptos" w:eastAsia="Times New Roman" w:hAnsi="Aptos" w:cs="Calibri"/>
          <w:sz w:val="22"/>
          <w:szCs w:val="22"/>
        </w:rPr>
        <w:t xml:space="preserve"> Practical agreements linking policy, finance and technology deliver more than standalone targets.</w:t>
      </w:r>
    </w:p>
    <w:p w14:paraId="3EFAF608"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Comparative advantage can shift </w:t>
      </w:r>
      <w:r>
        <w:rPr>
          <w:rFonts w:ascii="Aptos" w:eastAsia="Times New Roman" w:hAnsi="Aptos" w:cs="Calibri"/>
          <w:b/>
          <w:bCs/>
          <w:sz w:val="22"/>
          <w:szCs w:val="22"/>
        </w:rPr>
        <w:t>–</w:t>
      </w:r>
      <w:r w:rsidRPr="00C72762">
        <w:rPr>
          <w:rFonts w:ascii="Aptos" w:eastAsia="Times New Roman" w:hAnsi="Aptos" w:cs="Calibri"/>
          <w:sz w:val="22"/>
          <w:szCs w:val="22"/>
        </w:rPr>
        <w:t xml:space="preserve"> Australia can export abatement, not just commodities, through clean energy, green materials and low-emissions supply chains.</w:t>
      </w:r>
    </w:p>
    <w:p w14:paraId="3CBD6F2B" w14:textId="77777777" w:rsidR="00CD7F90" w:rsidRPr="00C72762" w:rsidRDefault="00CD7F90" w:rsidP="00CD7F90">
      <w:pPr>
        <w:numPr>
          <w:ilvl w:val="0"/>
          <w:numId w:val="12"/>
        </w:numPr>
        <w:spacing w:line="276" w:lineRule="auto"/>
        <w:rPr>
          <w:rFonts w:ascii="Aptos" w:eastAsia="Times New Roman" w:hAnsi="Aptos" w:cs="Calibri"/>
          <w:sz w:val="22"/>
          <w:szCs w:val="22"/>
        </w:rPr>
      </w:pPr>
      <w:r w:rsidRPr="00C72762">
        <w:rPr>
          <w:rFonts w:ascii="Aptos" w:eastAsia="Times New Roman" w:hAnsi="Aptos" w:cs="Calibri"/>
          <w:b/>
          <w:sz w:val="22"/>
          <w:szCs w:val="22"/>
        </w:rPr>
        <w:t xml:space="preserve">North-East Asia is a priority </w:t>
      </w:r>
      <w:r>
        <w:rPr>
          <w:rFonts w:ascii="Aptos" w:eastAsia="Times New Roman" w:hAnsi="Aptos" w:cs="Calibri"/>
          <w:b/>
          <w:bCs/>
          <w:sz w:val="22"/>
          <w:szCs w:val="22"/>
        </w:rPr>
        <w:t>–</w:t>
      </w:r>
      <w:r w:rsidRPr="00C72762">
        <w:rPr>
          <w:rFonts w:ascii="Aptos" w:eastAsia="Times New Roman" w:hAnsi="Aptos" w:cs="Calibri"/>
          <w:sz w:val="22"/>
          <w:szCs w:val="22"/>
        </w:rPr>
        <w:t xml:space="preserve"> Australia’s North-East Asian trading partners should be a priority focus for new partnerships to decarbonise transnational supply chains, particularly iron and steel. </w:t>
      </w:r>
    </w:p>
    <w:p w14:paraId="4A5E8B6E" w14:textId="77777777" w:rsidR="00CD7F90" w:rsidRPr="00C72762" w:rsidRDefault="00CD7F90" w:rsidP="00CD7F90">
      <w:pPr>
        <w:spacing w:line="276" w:lineRule="auto"/>
        <w:rPr>
          <w:rFonts w:ascii="Aptos" w:eastAsia="Times New Roman" w:hAnsi="Aptos"/>
        </w:rPr>
      </w:pPr>
      <w:r w:rsidRPr="00C72762">
        <w:rPr>
          <w:rFonts w:ascii="Aptos" w:eastAsia="Times New Roman" w:hAnsi="Aptos" w:cs="Calibri"/>
          <w:sz w:val="22"/>
          <w:szCs w:val="22"/>
        </w:rPr>
        <w:t xml:space="preserve">Since the Authority provided its 2035 targets advice, there have been several major developments, including the announcement of Australia’s role as President of Negotiations for COP31. Others include: </w:t>
      </w:r>
    </w:p>
    <w:p w14:paraId="2817C764" w14:textId="77777777" w:rsidR="00CD7F90" w:rsidRPr="00C72762" w:rsidRDefault="00CD7F90" w:rsidP="00CD7F90">
      <w:pPr>
        <w:pStyle w:val="ListParagraph"/>
        <w:numPr>
          <w:ilvl w:val="0"/>
          <w:numId w:val="25"/>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Global signals on fossil fuel transition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The Belém Declarations and support at COP30 for development of a roadmap to transition away from fossil fuels provided the clearest multilateral signal yet that the global economy is moving to phase out the unabated use of fossil fuels and accelerate the growth of renewables. This has sharpened expectations on exporters to plan for demand decline rather than deny it.</w:t>
      </w:r>
    </w:p>
    <w:p w14:paraId="3349054C" w14:textId="77777777" w:rsidR="00CD7F90" w:rsidRPr="00C72762" w:rsidRDefault="00CD7F90" w:rsidP="00CD7F90">
      <w:pPr>
        <w:pStyle w:val="ListParagraph"/>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Korea’s coal power phase-out by 2040</w:t>
      </w:r>
      <w:commentRangeStart w:id="8"/>
      <w:r w:rsidRPr="00C72762">
        <w:rPr>
          <w:rStyle w:val="FootnoteReference"/>
          <w:rFonts w:ascii="Aptos" w:eastAsia="Times New Roman" w:hAnsi="Aptos" w:cs="Calibri"/>
          <w:sz w:val="22"/>
          <w:szCs w:val="22"/>
        </w:rPr>
        <w:footnoteReference w:id="3"/>
      </w:r>
      <w:commentRangeEnd w:id="8"/>
      <w:r w:rsidRPr="00C72762">
        <w:rPr>
          <w:rStyle w:val="CommentReference"/>
          <w:rFonts w:ascii="Aptos" w:eastAsia="Times New Roman" w:hAnsi="Aptos" w:cs="Calibri"/>
          <w:sz w:val="22"/>
          <w:szCs w:val="22"/>
        </w:rPr>
        <w:commentReference w:id="8"/>
      </w:r>
      <w:r w:rsidRPr="00C72762">
        <w:rPr>
          <w:rFonts w:ascii="Aptos" w:eastAsia="Times New Roman" w:hAnsi="Aptos" w:cs="Calibri"/>
          <w:sz w:val="22"/>
          <w:szCs w:val="22"/>
        </w:rPr>
        <w:t xml:space="preserve"> underscores that Australia’s major customers are moving decisively. Similar trajectories are evident in Japan, the EU and parts of Southeast Asia, as set out in the Authority’s 2035 Targets Advice report.</w:t>
      </w:r>
    </w:p>
    <w:p w14:paraId="135CF068" w14:textId="77777777" w:rsidR="00CD7F90" w:rsidRPr="00C72762" w:rsidRDefault="00CD7F90" w:rsidP="00CD7F90">
      <w:pPr>
        <w:pStyle w:val="ListParagraph"/>
        <w:numPr>
          <w:ilvl w:val="0"/>
          <w:numId w:val="25"/>
        </w:numPr>
        <w:spacing w:after="120" w:line="276" w:lineRule="auto"/>
        <w:contextualSpacing w:val="0"/>
        <w:rPr>
          <w:rFonts w:ascii="Aptos" w:eastAsia="Times New Roman" w:hAnsi="Aptos" w:cs="Calibri"/>
          <w:b/>
          <w:sz w:val="22"/>
          <w:szCs w:val="22"/>
        </w:rPr>
      </w:pPr>
      <w:r w:rsidRPr="00C72762">
        <w:rPr>
          <w:rFonts w:ascii="Aptos" w:eastAsia="Times New Roman" w:hAnsi="Aptos" w:cs="Calibri"/>
          <w:b/>
          <w:sz w:val="22"/>
          <w:szCs w:val="22"/>
        </w:rPr>
        <w:lastRenderedPageBreak/>
        <w:t xml:space="preserve">Building momentum for plurilateral deals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 xml:space="preserve">Around the world, countries are increasingly pursuing decarbonisation agreements through plurilateral groupings, operating alongside multilateral UNFCCC processes. </w:t>
      </w:r>
    </w:p>
    <w:p w14:paraId="6F7F774E" w14:textId="77777777" w:rsidR="00CD7F90" w:rsidRPr="00C72762" w:rsidRDefault="00CD7F90" w:rsidP="00CD7F90">
      <w:pPr>
        <w:pStyle w:val="ListParagraph"/>
        <w:spacing w:after="120" w:line="276" w:lineRule="auto"/>
        <w:contextualSpacing w:val="0"/>
        <w:rPr>
          <w:rFonts w:ascii="Aptos" w:eastAsia="Times New Roman" w:hAnsi="Aptos" w:cs="Calibri"/>
          <w:b/>
          <w:sz w:val="22"/>
          <w:szCs w:val="22"/>
        </w:rPr>
      </w:pPr>
      <w:r w:rsidRPr="00C72762">
        <w:rPr>
          <w:rFonts w:ascii="Aptos" w:eastAsia="Times New Roman" w:hAnsi="Aptos" w:cs="Calibri"/>
          <w:sz w:val="22"/>
          <w:szCs w:val="22"/>
        </w:rPr>
        <w:t>Countries on both the supply and demand sides of the fossil fuel market, including producers and consumers, exporters and importers, are advancing discussions on a Fossil Fuel Non-Proliferation Treaty, with Colombia</w:t>
      </w:r>
      <w:r w:rsidRPr="00C72762">
        <w:rPr>
          <w:rStyle w:val="FootnoteReference"/>
          <w:rFonts w:ascii="Aptos" w:eastAsia="Times New Roman" w:hAnsi="Aptos" w:cs="Calibri"/>
          <w:sz w:val="22"/>
          <w:szCs w:val="22"/>
        </w:rPr>
        <w:footnoteReference w:id="4"/>
      </w:r>
      <w:r w:rsidRPr="00C72762">
        <w:rPr>
          <w:rFonts w:ascii="Aptos" w:eastAsia="Times New Roman" w:hAnsi="Aptos" w:cs="Calibri"/>
          <w:sz w:val="22"/>
          <w:szCs w:val="22"/>
        </w:rPr>
        <w:t xml:space="preserve"> (fossil fuel exporter) and the Netherlands (importer) convening an international conference in April to build momentum. While such an agreement would sit within the broad definition of decarbonisation deals, this concept note focuses on how clean industries can be built faster and </w:t>
      </w:r>
      <w:proofErr w:type="gramStart"/>
      <w:r w:rsidRPr="00C72762">
        <w:rPr>
          <w:rFonts w:ascii="Aptos" w:eastAsia="Times New Roman" w:hAnsi="Aptos" w:cs="Calibri"/>
          <w:sz w:val="22"/>
          <w:szCs w:val="22"/>
        </w:rPr>
        <w:t>cheaper</w:t>
      </w:r>
      <w:proofErr w:type="gramEnd"/>
      <w:r w:rsidRPr="00C72762">
        <w:rPr>
          <w:rFonts w:ascii="Aptos" w:eastAsia="Times New Roman" w:hAnsi="Aptos" w:cs="Calibri"/>
          <w:sz w:val="22"/>
          <w:szCs w:val="22"/>
        </w:rPr>
        <w:t xml:space="preserve"> so they naturally replace high-polluting products over time – transitioning </w:t>
      </w:r>
      <w:r w:rsidRPr="00C72762">
        <w:rPr>
          <w:rFonts w:ascii="Aptos" w:eastAsia="Times New Roman" w:hAnsi="Aptos" w:cs="Calibri"/>
          <w:i/>
          <w:sz w:val="22"/>
          <w:szCs w:val="22"/>
        </w:rPr>
        <w:t xml:space="preserve">to </w:t>
      </w:r>
      <w:r w:rsidRPr="00C72762">
        <w:rPr>
          <w:rFonts w:ascii="Aptos" w:eastAsia="Times New Roman" w:hAnsi="Aptos" w:cs="Calibri"/>
          <w:sz w:val="22"/>
          <w:szCs w:val="22"/>
        </w:rPr>
        <w:t xml:space="preserve">better options, while recognising that managing the transition </w:t>
      </w:r>
      <w:r w:rsidRPr="00C72762">
        <w:rPr>
          <w:rFonts w:ascii="Aptos" w:eastAsia="Times New Roman" w:hAnsi="Aptos" w:cs="Calibri"/>
          <w:i/>
          <w:sz w:val="22"/>
          <w:szCs w:val="22"/>
        </w:rPr>
        <w:t xml:space="preserve">from </w:t>
      </w:r>
      <w:r w:rsidRPr="00C72762">
        <w:rPr>
          <w:rFonts w:ascii="Aptos" w:eastAsia="Times New Roman" w:hAnsi="Aptos" w:cs="Calibri"/>
          <w:sz w:val="22"/>
          <w:szCs w:val="22"/>
        </w:rPr>
        <w:t xml:space="preserve">fossil fuels also matters. Both demand shifts – </w:t>
      </w:r>
      <w:r w:rsidRPr="00C72762">
        <w:rPr>
          <w:rFonts w:ascii="Aptos" w:eastAsia="Times New Roman" w:hAnsi="Aptos" w:cs="Calibri"/>
          <w:i/>
          <w:sz w:val="22"/>
          <w:szCs w:val="22"/>
        </w:rPr>
        <w:t xml:space="preserve">from </w:t>
      </w:r>
      <w:r w:rsidRPr="00C72762">
        <w:rPr>
          <w:rFonts w:ascii="Aptos" w:eastAsia="Times New Roman" w:hAnsi="Aptos" w:cs="Calibri"/>
          <w:sz w:val="22"/>
          <w:szCs w:val="22"/>
        </w:rPr>
        <w:t xml:space="preserve">fossil fuels and </w:t>
      </w:r>
      <w:r w:rsidRPr="00C72762">
        <w:rPr>
          <w:rFonts w:ascii="Aptos" w:eastAsia="Times New Roman" w:hAnsi="Aptos" w:cs="Calibri"/>
          <w:i/>
          <w:sz w:val="22"/>
          <w:szCs w:val="22"/>
        </w:rPr>
        <w:t>to</w:t>
      </w:r>
      <w:r w:rsidRPr="00C72762">
        <w:rPr>
          <w:rFonts w:ascii="Aptos" w:eastAsia="Times New Roman" w:hAnsi="Aptos" w:cs="Calibri"/>
          <w:sz w:val="22"/>
          <w:szCs w:val="22"/>
        </w:rPr>
        <w:t xml:space="preserve"> clean alternatives – directly affect Australia’s export outlook and regional employment. </w:t>
      </w:r>
    </w:p>
    <w:p w14:paraId="0810EE04" w14:textId="77777777" w:rsidR="00CD7F90" w:rsidRPr="00C72762" w:rsidRDefault="00CD7F90" w:rsidP="00CD7F90">
      <w:pPr>
        <w:pStyle w:val="ListParagraph"/>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 xml:space="preserve">Other groups of nations – with some overlap – are pursuing green growth. </w:t>
      </w:r>
      <w:r>
        <w:rPr>
          <w:rFonts w:ascii="Aptos" w:eastAsia="Times New Roman" w:hAnsi="Aptos" w:cs="Calibri"/>
          <w:sz w:val="22"/>
          <w:szCs w:val="22"/>
        </w:rPr>
        <w:t>Forty</w:t>
      </w:r>
      <w:r w:rsidRPr="00C72762">
        <w:rPr>
          <w:rFonts w:ascii="Aptos" w:eastAsia="Times New Roman" w:hAnsi="Aptos" w:cs="Calibri"/>
          <w:sz w:val="22"/>
          <w:szCs w:val="22"/>
        </w:rPr>
        <w:t xml:space="preserve"> countries and organisations, including Australia, signed the Belém Declaration on Global Green Industrialization last year, and Australia, Canada, Kenya, the Netherlands, the United Kingdom, and Zambia complement</w:t>
      </w:r>
      <w:r>
        <w:rPr>
          <w:rFonts w:ascii="Aptos" w:eastAsia="Times New Roman" w:hAnsi="Aptos" w:cs="Calibri"/>
          <w:sz w:val="22"/>
          <w:szCs w:val="22"/>
        </w:rPr>
        <w:t>ed</w:t>
      </w:r>
      <w:r w:rsidRPr="00C72762">
        <w:rPr>
          <w:rFonts w:ascii="Aptos" w:eastAsia="Times New Roman" w:hAnsi="Aptos" w:cs="Calibri"/>
          <w:sz w:val="22"/>
          <w:szCs w:val="22"/>
        </w:rPr>
        <w:t xml:space="preserve"> the Global Clean Power Alliance (GCPA) Supply Chains Mission.</w:t>
      </w:r>
    </w:p>
    <w:p w14:paraId="0C87BA8A" w14:textId="77777777" w:rsidR="00CD7F90" w:rsidRPr="00C72762" w:rsidRDefault="00CD7F90" w:rsidP="00CD7F90">
      <w:pPr>
        <w:pStyle w:val="ListParagraph"/>
        <w:numPr>
          <w:ilvl w:val="0"/>
          <w:numId w:val="25"/>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CBAMs move from concept to reality </w:t>
      </w:r>
      <w:r>
        <w:rPr>
          <w:rFonts w:ascii="Aptos" w:eastAsia="Times New Roman" w:hAnsi="Aptos" w:cs="Calibri"/>
          <w:b/>
          <w:bCs/>
          <w:sz w:val="22"/>
          <w:szCs w:val="22"/>
        </w:rPr>
        <w:t>–</w:t>
      </w:r>
      <w:r w:rsidRPr="00C72762">
        <w:rPr>
          <w:rFonts w:ascii="Aptos" w:eastAsia="Times New Roman" w:hAnsi="Aptos" w:cs="Calibri"/>
          <w:sz w:val="22"/>
          <w:szCs w:val="22"/>
        </w:rPr>
        <w:t xml:space="preserve"> Carbon border adjustment mechanisms (CBAMs) send a clear message that emissions embodied in trade are no longer invisible, and that message is reshaping investment decisions, contract structures and supply chain risk management now. The European Union (EU) CBAM entered its fully operational ‘definitive period’ on 1 January 2026 after a 2-year transitional phase, meaning financial obligations are now imposed on importers of carbon intensive goods. </w:t>
      </w:r>
    </w:p>
    <w:p w14:paraId="4E0C049E" w14:textId="77777777" w:rsidR="00CD7F90" w:rsidRPr="00C72762" w:rsidRDefault="00CD7F90" w:rsidP="00CD7F90">
      <w:pPr>
        <w:pStyle w:val="ListParagraph"/>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Decarbonisation deals offer a complementary and more cooperative mechanism – especially for major trade partners – by providing a framework for joint action rather than unilateral penalties. For Australian producers, proactive engagement through decarbonisation deals can mitigate exposure and preserve market access.</w:t>
      </w:r>
    </w:p>
    <w:p w14:paraId="3E19FBFD" w14:textId="77777777" w:rsidR="00CD7F90" w:rsidRPr="00C72762" w:rsidRDefault="00CD7F90" w:rsidP="00CD7F90">
      <w:pPr>
        <w:pStyle w:val="ListParagraph"/>
        <w:numPr>
          <w:ilvl w:val="0"/>
          <w:numId w:val="25"/>
        </w:numPr>
        <w:spacing w:after="120" w:line="276" w:lineRule="auto"/>
        <w:contextualSpacing w:val="0"/>
        <w:rPr>
          <w:rFonts w:ascii="Aptos" w:hAnsi="Aptos"/>
        </w:rPr>
      </w:pPr>
      <w:r w:rsidRPr="00C72762">
        <w:rPr>
          <w:rFonts w:ascii="Aptos" w:eastAsia="Times New Roman" w:hAnsi="Aptos" w:cs="Calibri"/>
          <w:b/>
          <w:sz w:val="22"/>
          <w:szCs w:val="22"/>
        </w:rPr>
        <w:t xml:space="preserve">A shift from ambition to delivery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 xml:space="preserve">Global climate diplomacy has entered an implementation phase. Investors, firms and workers are asking fewer questions about long-term targets and more about near-term pathways, cost, reliability and fairness across value chains. </w:t>
      </w:r>
    </w:p>
    <w:p w14:paraId="05E4E38B" w14:textId="77777777" w:rsidR="00CD7F90" w:rsidRPr="00C72762" w:rsidRDefault="00CD7F90" w:rsidP="00CD7F90">
      <w:pPr>
        <w:spacing w:line="276" w:lineRule="auto"/>
        <w:rPr>
          <w:rFonts w:ascii="Aptos" w:eastAsia="Times New Roman" w:hAnsi="Aptos" w:cs="Calibri"/>
          <w:b/>
          <w:sz w:val="22"/>
          <w:szCs w:val="22"/>
        </w:rPr>
      </w:pPr>
      <w:r w:rsidRPr="00C72762">
        <w:rPr>
          <w:rFonts w:ascii="Aptos" w:eastAsia="Times New Roman" w:hAnsi="Aptos" w:cs="Calibri"/>
          <w:sz w:val="22"/>
          <w:szCs w:val="22"/>
        </w:rPr>
        <w:t xml:space="preserve">For an export-oriented economy like Australia, these developments directly affect national </w:t>
      </w:r>
      <w:proofErr w:type="gramStart"/>
      <w:r w:rsidRPr="00C72762">
        <w:rPr>
          <w:rFonts w:ascii="Aptos" w:eastAsia="Times New Roman" w:hAnsi="Aptos" w:cs="Calibri"/>
          <w:sz w:val="22"/>
          <w:szCs w:val="22"/>
        </w:rPr>
        <w:t>prosperity</w:t>
      </w:r>
      <w:proofErr w:type="gramEnd"/>
      <w:r w:rsidRPr="00C72762">
        <w:rPr>
          <w:rFonts w:ascii="Aptos" w:eastAsia="Times New Roman" w:hAnsi="Aptos" w:cs="Calibri"/>
          <w:sz w:val="22"/>
          <w:szCs w:val="22"/>
        </w:rPr>
        <w:t xml:space="preserve"> and </w:t>
      </w:r>
      <w:r>
        <w:rPr>
          <w:rFonts w:ascii="Aptos" w:eastAsia="Times New Roman" w:hAnsi="Aptos" w:cs="Calibri"/>
          <w:sz w:val="22"/>
          <w:szCs w:val="22"/>
        </w:rPr>
        <w:t xml:space="preserve">we </w:t>
      </w:r>
      <w:r w:rsidRPr="00C72762">
        <w:rPr>
          <w:rFonts w:ascii="Aptos" w:eastAsia="Times New Roman" w:hAnsi="Aptos" w:cs="Calibri"/>
          <w:sz w:val="22"/>
          <w:szCs w:val="22"/>
        </w:rPr>
        <w:t>should embrace the opportunity to take a seat at the head of the table.</w:t>
      </w:r>
    </w:p>
    <w:p w14:paraId="38F9FBAD" w14:textId="77777777" w:rsidR="00CD7F90" w:rsidRPr="00C72762" w:rsidRDefault="00CD7F90" w:rsidP="00CD7F90">
      <w:pPr>
        <w:spacing w:line="276" w:lineRule="auto"/>
        <w:rPr>
          <w:rFonts w:ascii="Aptos" w:eastAsia="Times New Roman" w:hAnsi="Aptos" w:cs="Calibri"/>
          <w:sz w:val="22"/>
          <w:szCs w:val="22"/>
        </w:rPr>
      </w:pPr>
    </w:p>
    <w:p w14:paraId="6938EDD1" w14:textId="7B1428FA" w:rsidR="00CD7F90" w:rsidRPr="00C72762" w:rsidRDefault="00CD7F90" w:rsidP="004B3966">
      <w:pPr>
        <w:pStyle w:val="L1Heading"/>
        <w:spacing w:line="240" w:lineRule="auto"/>
      </w:pPr>
      <w:bookmarkStart w:id="10" w:name="_Toc224740971"/>
      <w:r w:rsidRPr="00C72762">
        <w:lastRenderedPageBreak/>
        <w:t>3. A COP31 Decarbonisation Deals Platform</w:t>
      </w:r>
      <w:bookmarkEnd w:id="10"/>
    </w:p>
    <w:p w14:paraId="48086030"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The Authority proposes that Australia, as COP31 President of Negotiations, establish a Decarbonisation Deals Platform. The purpose would be to make bilateral and plurilateral initiatives easier to scale by developing shared rules, trusted accounting approaches and a common language, reducing friction, building confidence among partners and investors, and accelerating uptake beyond first movers. </w:t>
      </w:r>
    </w:p>
    <w:p w14:paraId="045EF58C"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Pillars of a COP31 Decarbonisation Deals Platform could include: </w:t>
      </w:r>
    </w:p>
    <w:p w14:paraId="49FEA2BF"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b/>
          <w:sz w:val="22"/>
          <w:szCs w:val="22"/>
        </w:rPr>
        <w:t>Pillar 1: Offshore emissions and shared accounting</w:t>
      </w:r>
    </w:p>
    <w:p w14:paraId="48B65DA4" w14:textId="2A3EDFFC"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Establish common principles for recognising and reporting offshore emissions and offshore abatement linked to traded goods.</w:t>
      </w:r>
    </w:p>
    <w:p w14:paraId="173337C5"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Support transparency without reopening settled accounting rules.</w:t>
      </w:r>
    </w:p>
    <w:p w14:paraId="22EF3638"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Enable countries to cooperate without fear of double counting or trade disputes.</w:t>
      </w:r>
    </w:p>
    <w:p w14:paraId="4DFFB7EB"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b/>
          <w:sz w:val="22"/>
          <w:szCs w:val="22"/>
        </w:rPr>
        <w:t>Pillar 2: Trade-linked abatement pathways</w:t>
      </w:r>
    </w:p>
    <w:p w14:paraId="663F8756" w14:textId="066270F2"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Develop bilateral and plurilateral pathways to decarbonise emissions-intensive sectors such as steel, aluminium, cement and fuels, integrating technology deployment, investment coordination and trade arrangements across producers and consumers.</w:t>
      </w:r>
    </w:p>
    <w:p w14:paraId="2E37EDB2"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Align standards, certification and disclosure to ease CBAM pressures.</w:t>
      </w:r>
    </w:p>
    <w:p w14:paraId="32A69E61" w14:textId="45ABC02C"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Lauch a pilot decarbonisation deal.</w:t>
      </w:r>
    </w:p>
    <w:p w14:paraId="3D16CB7A" w14:textId="6D159059"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b/>
          <w:sz w:val="22"/>
          <w:szCs w:val="22"/>
        </w:rPr>
        <w:t>Pillar 3: Finance and risk-sharing</w:t>
      </w:r>
    </w:p>
    <w:p w14:paraId="2E88D1CD" w14:textId="194CF859"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Subsidise first-of-a-kind projects to show ‘proof of concept’, establish supply chains and contribute to cost reduction so private investors feel confident to follow.</w:t>
      </w:r>
    </w:p>
    <w:p w14:paraId="51E56E14" w14:textId="6C8ED25E"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De-risk early investments in clean industrial supply chains.</w:t>
      </w:r>
    </w:p>
    <w:p w14:paraId="69BCCF7A" w14:textId="0CD1DA9C"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Support developing country participation through concessional finance and technology transfer.</w:t>
      </w:r>
    </w:p>
    <w:p w14:paraId="0B706FD6" w14:textId="34AABAA8"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b/>
          <w:sz w:val="22"/>
          <w:szCs w:val="22"/>
        </w:rPr>
        <w:t>Pillar 4: Just and orderly transition</w:t>
      </w:r>
    </w:p>
    <w:p w14:paraId="737F2986" w14:textId="1E56ABFB"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Embed workforce transition, regional development, and community benefits into deal design.</w:t>
      </w:r>
    </w:p>
    <w:p w14:paraId="7068F024" w14:textId="0C7509AE"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Support re-skilling, retraining and redeployment of workers from emissions-intensive sectors.</w:t>
      </w:r>
    </w:p>
    <w:p w14:paraId="04D175AA" w14:textId="305639A7" w:rsidR="00CD7F90" w:rsidRPr="00C72762" w:rsidRDefault="00CD7F90" w:rsidP="00CD7F90">
      <w:pPr>
        <w:spacing w:line="276" w:lineRule="auto"/>
        <w:rPr>
          <w:rFonts w:ascii="Aptos" w:eastAsia="Times New Roman" w:hAnsi="Aptos" w:cs="Calibri"/>
          <w:sz w:val="22"/>
          <w:szCs w:val="22"/>
        </w:rPr>
      </w:pPr>
    </w:p>
    <w:p w14:paraId="504AA43A" w14:textId="2CF63A8A" w:rsidR="00E61012" w:rsidRDefault="00E61012">
      <w:pPr>
        <w:spacing w:before="0" w:after="160" w:line="279" w:lineRule="auto"/>
        <w:rPr>
          <w:rFonts w:eastAsiaTheme="majorEastAsia" w:cstheme="majorBidi"/>
          <w:b/>
          <w:color w:val="00679F"/>
          <w:sz w:val="76"/>
          <w:szCs w:val="40"/>
        </w:rPr>
      </w:pPr>
      <w:r>
        <w:br w:type="page"/>
      </w:r>
    </w:p>
    <w:p w14:paraId="729BB37A" w14:textId="4C00A038" w:rsidR="00CD7F90" w:rsidRPr="00C72762" w:rsidRDefault="00CD7F90" w:rsidP="004B3966">
      <w:pPr>
        <w:pStyle w:val="L1Heading"/>
        <w:spacing w:line="240" w:lineRule="auto"/>
      </w:pPr>
      <w:bookmarkStart w:id="11" w:name="_Toc224740972"/>
      <w:r w:rsidRPr="00C72762">
        <w:lastRenderedPageBreak/>
        <w:t>4. Concrete actions Australia could announce at COP31</w:t>
      </w:r>
      <w:bookmarkEnd w:id="11"/>
    </w:p>
    <w:p w14:paraId="5A413C6A" w14:textId="1230ACE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As President of Negotiations, Australia could credibly announce:</w:t>
      </w:r>
    </w:p>
    <w:p w14:paraId="13B79A55" w14:textId="360BF573" w:rsidR="00CD7F90" w:rsidRPr="00C72762" w:rsidRDefault="00CD7F90" w:rsidP="00CD7F90">
      <w:pPr>
        <w:pStyle w:val="ListParagraph"/>
        <w:numPr>
          <w:ilvl w:val="0"/>
          <w:numId w:val="18"/>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A COP31 Decarbonisation Deals Platform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A global launchpad for countries to announce voluntary decarbonisation deals that reshape clean trade and accelerate the transition to net zero.</w:t>
      </w:r>
    </w:p>
    <w:p w14:paraId="05A870F8" w14:textId="55F9C6A9" w:rsidR="00CD7F90" w:rsidRPr="00C72762" w:rsidRDefault="00CD7F90" w:rsidP="00CD7F90">
      <w:pPr>
        <w:pStyle w:val="ListParagraph"/>
        <w:numPr>
          <w:ilvl w:val="0"/>
          <w:numId w:val="18"/>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Foundational partner deals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Initial agreements with key trading partners, potentially including Korea and Japan, focused on green iron, low-emissions fuels, and industrial electrification.</w:t>
      </w:r>
    </w:p>
    <w:p w14:paraId="2A029583" w14:textId="684DB527" w:rsidR="00CD7F90" w:rsidRPr="00C72762" w:rsidRDefault="00CD7F90" w:rsidP="00CD7F90">
      <w:pPr>
        <w:pStyle w:val="ListParagraph"/>
        <w:numPr>
          <w:ilvl w:val="0"/>
          <w:numId w:val="18"/>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CBAM readiness partnerships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Cooperative arrangements to help exporters and importers align standards and reduce border exposure through genuine abatement.</w:t>
      </w:r>
    </w:p>
    <w:p w14:paraId="402E9E01" w14:textId="0C23A9AD" w:rsidR="00CD7F90" w:rsidRPr="00C72762" w:rsidRDefault="00CD7F90" w:rsidP="00CD7F90">
      <w:pPr>
        <w:pStyle w:val="ListParagraph"/>
        <w:numPr>
          <w:ilvl w:val="0"/>
          <w:numId w:val="17"/>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A regional clean industry initiative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Targeted support for Indo-Pacific partners to participate in clean supply chains, strengthening regional stability and prosperity.</w:t>
      </w:r>
    </w:p>
    <w:p w14:paraId="0BC344F3" w14:textId="21CECDD6" w:rsidR="00CD7F90" w:rsidRPr="00E9401A" w:rsidRDefault="00CD7F90" w:rsidP="00C53CB9">
      <w:pPr>
        <w:pStyle w:val="ListParagraph"/>
        <w:numPr>
          <w:ilvl w:val="0"/>
          <w:numId w:val="17"/>
        </w:numPr>
        <w:spacing w:after="120" w:line="276" w:lineRule="auto"/>
        <w:contextualSpacing w:val="0"/>
        <w:rPr>
          <w:rFonts w:ascii="Aptos" w:eastAsia="Times New Roman" w:hAnsi="Aptos" w:cs="Calibri"/>
          <w:sz w:val="22"/>
          <w:szCs w:val="22"/>
        </w:rPr>
      </w:pPr>
      <w:r w:rsidRPr="00E9401A">
        <w:rPr>
          <w:rFonts w:ascii="Aptos" w:eastAsia="Times New Roman" w:hAnsi="Aptos" w:cs="Calibri"/>
          <w:b/>
          <w:sz w:val="22"/>
          <w:szCs w:val="22"/>
        </w:rPr>
        <w:t xml:space="preserve">A work program on offshore abatement integrity </w:t>
      </w:r>
      <w:r w:rsidRPr="00E9401A">
        <w:rPr>
          <w:rFonts w:ascii="Aptos" w:eastAsia="Times New Roman" w:hAnsi="Aptos" w:cs="Calibri"/>
          <w:b/>
          <w:bCs/>
          <w:sz w:val="22"/>
          <w:szCs w:val="22"/>
        </w:rPr>
        <w:t>–</w:t>
      </w:r>
      <w:r w:rsidRPr="00E9401A">
        <w:rPr>
          <w:rFonts w:ascii="Aptos" w:eastAsia="Times New Roman" w:hAnsi="Aptos" w:cs="Calibri"/>
          <w:b/>
          <w:sz w:val="22"/>
          <w:szCs w:val="22"/>
        </w:rPr>
        <w:t xml:space="preserve"> </w:t>
      </w:r>
      <w:r w:rsidRPr="00E9401A">
        <w:rPr>
          <w:rFonts w:ascii="Aptos" w:eastAsia="Times New Roman" w:hAnsi="Aptos" w:cs="Calibri"/>
          <w:sz w:val="22"/>
          <w:szCs w:val="22"/>
        </w:rPr>
        <w:t>Building confidence in environmental outcomes while enabling faster cooperation.</w:t>
      </w:r>
    </w:p>
    <w:p w14:paraId="1D2CDF67" w14:textId="6539B8F4" w:rsidR="00CD7F90" w:rsidRDefault="00C12C8A">
      <w:pPr>
        <w:spacing w:before="0" w:after="160" w:line="279" w:lineRule="auto"/>
        <w:rPr>
          <w:rFonts w:eastAsiaTheme="majorEastAsia" w:cstheme="majorBidi"/>
          <w:b/>
          <w:color w:val="00679F"/>
          <w:sz w:val="76"/>
          <w:szCs w:val="40"/>
        </w:rPr>
      </w:pPr>
      <w:r>
        <w:rPr>
          <w:noProof/>
        </w:rPr>
        <mc:AlternateContent>
          <mc:Choice Requires="wps">
            <w:drawing>
              <wp:anchor distT="0" distB="0" distL="114300" distR="114300" simplePos="0" relativeHeight="251536384" behindDoc="0" locked="0" layoutInCell="1" allowOverlap="1" wp14:anchorId="15F3428D" wp14:editId="4165D103">
                <wp:simplePos x="0" y="0"/>
                <wp:positionH relativeFrom="column">
                  <wp:posOffset>1887658</wp:posOffset>
                </wp:positionH>
                <wp:positionV relativeFrom="paragraph">
                  <wp:posOffset>1122680</wp:posOffset>
                </wp:positionV>
                <wp:extent cx="5975287" cy="5476240"/>
                <wp:effectExtent l="0" t="0" r="26035" b="10160"/>
                <wp:wrapNone/>
                <wp:docPr id="874007419" name="Circle: Hollow 8"/>
                <wp:cNvGraphicFramePr/>
                <a:graphic xmlns:a="http://schemas.openxmlformats.org/drawingml/2006/main">
                  <a:graphicData uri="http://schemas.microsoft.com/office/word/2010/wordprocessingShape">
                    <wps:wsp>
                      <wps:cNvSpPr/>
                      <wps:spPr>
                        <a:xfrm>
                          <a:off x="0" y="0"/>
                          <a:ext cx="5975287" cy="5476240"/>
                        </a:xfrm>
                        <a:prstGeom prst="donut">
                          <a:avLst/>
                        </a:prstGeom>
                        <a:solidFill>
                          <a:srgbClr val="FD904D"/>
                        </a:solidFill>
                        <a:ln>
                          <a:solidFill>
                            <a:srgbClr val="FD904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DF6CE" id="Circle: Hollow 8" o:spid="_x0000_s1026" type="#_x0000_t23" style="position:absolute;margin-left:148.65pt;margin-top:88.4pt;width:470.5pt;height:431.2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" adj="4949" fillcolor="#fd904d" strokecolor="#fd904d" strokeweight="1pt">
                <v:stroke joinstyle="miter"/>
              </v:shape>
            </w:pict>
          </mc:Fallback>
        </mc:AlternateContent>
      </w:r>
      <w:r>
        <w:rPr>
          <w:rFonts w:ascii="Aptos" w:eastAsia="Times New Roman" w:hAnsi="Aptos" w:cs="Calibri"/>
          <w:noProof/>
          <w:sz w:val="22"/>
          <w:szCs w:val="22"/>
        </w:rPr>
        <w:drawing>
          <wp:anchor distT="0" distB="0" distL="114300" distR="114300" simplePos="0" relativeHeight="251791360" behindDoc="0" locked="0" layoutInCell="1" allowOverlap="1" wp14:anchorId="38F2445D" wp14:editId="002A8C78">
            <wp:simplePos x="0" y="0"/>
            <wp:positionH relativeFrom="column">
              <wp:posOffset>2355521</wp:posOffset>
            </wp:positionH>
            <wp:positionV relativeFrom="paragraph">
              <wp:posOffset>1253490</wp:posOffset>
            </wp:positionV>
            <wp:extent cx="5640309" cy="5476607"/>
            <wp:effectExtent l="0" t="0" r="0" b="0"/>
            <wp:wrapNone/>
            <wp:docPr id="768968073"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968073" name="Picture 11">
                      <a:extLst>
                        <a:ext uri="{C183D7F6-B498-43B3-948B-1728B52AA6E4}">
                          <adec:decorative xmlns:adec="http://schemas.microsoft.com/office/drawing/2017/decorative" val="1"/>
                        </a:ext>
                      </a:extLst>
                    </pic:cNvPr>
                    <pic:cNvPicPr/>
                  </pic:nvPicPr>
                  <pic:blipFill rotWithShape="1">
                    <a:blip r:embed="rId20" cstate="print">
                      <a:extLst>
                        <a:ext uri="{28A0092B-C50C-407E-A947-70E740481C1C}">
                          <a14:useLocalDpi xmlns:a14="http://schemas.microsoft.com/office/drawing/2010/main" val="0"/>
                        </a:ext>
                      </a:extLst>
                    </a:blip>
                    <a:srcRect l="13972" t="2870" r="23674" b="6315"/>
                    <a:stretch>
                      <a:fillRect/>
                    </a:stretch>
                  </pic:blipFill>
                  <pic:spPr bwMode="auto">
                    <a:xfrm>
                      <a:off x="0" y="0"/>
                      <a:ext cx="5640309" cy="5476607"/>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7F90">
        <w:br w:type="page"/>
      </w:r>
    </w:p>
    <w:p w14:paraId="5D38CE01" w14:textId="04E6969E" w:rsidR="00CD7F90" w:rsidRPr="00C72762" w:rsidRDefault="00CD7F90" w:rsidP="004B3966">
      <w:pPr>
        <w:pStyle w:val="L1Heading"/>
        <w:spacing w:line="240" w:lineRule="auto"/>
      </w:pPr>
      <w:bookmarkStart w:id="12" w:name="_Toc224740973"/>
      <w:r w:rsidRPr="00C72762">
        <w:lastRenderedPageBreak/>
        <w:t>5. Doing deals: Next actionable steps for Australia</w:t>
      </w:r>
      <w:bookmarkEnd w:id="12"/>
      <w:r w:rsidRPr="00C72762">
        <w:t xml:space="preserve"> </w:t>
      </w:r>
    </w:p>
    <w:p w14:paraId="6743F140"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 xml:space="preserve">The steps below set out a practical pathway for the Australian Government to fully embrace decarbonisation deals. </w:t>
      </w:r>
    </w:p>
    <w:p w14:paraId="348B0BE0"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1. Define decarbonisation deals as a form of climate-economic diplomacy</w:t>
      </w:r>
    </w:p>
    <w:p w14:paraId="5553723B"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Cabinet should formally recognise decarbonisation deals as bilateral or plurilateral agreements between governments that align emissions reduction, trade, investment and industrial policy. Decarbonisation deals would:</w:t>
      </w:r>
    </w:p>
    <w:p w14:paraId="7D5223D0" w14:textId="77777777" w:rsidR="00CD7F90" w:rsidRPr="00C72762" w:rsidRDefault="00CD7F90" w:rsidP="00CD7F90">
      <w:pPr>
        <w:numPr>
          <w:ilvl w:val="0"/>
          <w:numId w:val="19"/>
        </w:numPr>
        <w:spacing w:line="276" w:lineRule="auto"/>
        <w:rPr>
          <w:rFonts w:ascii="Aptos" w:hAnsi="Aptos" w:cs="Calibri"/>
          <w:sz w:val="22"/>
          <w:szCs w:val="22"/>
        </w:rPr>
      </w:pPr>
      <w:r w:rsidRPr="00C72762">
        <w:rPr>
          <w:rFonts w:ascii="Aptos" w:hAnsi="Aptos" w:cs="Calibri"/>
          <w:sz w:val="22"/>
          <w:szCs w:val="22"/>
        </w:rPr>
        <w:t>involve governments setting the framework and objectives</w:t>
      </w:r>
    </w:p>
    <w:p w14:paraId="5334CF5C" w14:textId="77777777" w:rsidR="00CD7F90" w:rsidRPr="00C72762" w:rsidRDefault="00CD7F90" w:rsidP="00CD7F90">
      <w:pPr>
        <w:numPr>
          <w:ilvl w:val="0"/>
          <w:numId w:val="19"/>
        </w:numPr>
        <w:spacing w:line="276" w:lineRule="auto"/>
        <w:rPr>
          <w:rFonts w:ascii="Aptos" w:hAnsi="Aptos" w:cs="Calibri"/>
          <w:sz w:val="22"/>
          <w:szCs w:val="22"/>
        </w:rPr>
      </w:pPr>
      <w:r w:rsidRPr="00C72762">
        <w:rPr>
          <w:rFonts w:ascii="Aptos" w:hAnsi="Aptos" w:cs="Calibri"/>
          <w:sz w:val="22"/>
          <w:szCs w:val="22"/>
        </w:rPr>
        <w:t>have industry participate as implementers and investors</w:t>
      </w:r>
    </w:p>
    <w:p w14:paraId="2C03CC5F" w14:textId="77777777" w:rsidR="00CD7F90" w:rsidRPr="00C72762" w:rsidRDefault="00CD7F90" w:rsidP="00CD7F90">
      <w:pPr>
        <w:numPr>
          <w:ilvl w:val="0"/>
          <w:numId w:val="19"/>
        </w:numPr>
        <w:spacing w:line="276" w:lineRule="auto"/>
        <w:rPr>
          <w:rFonts w:ascii="Aptos" w:hAnsi="Aptos" w:cs="Calibri"/>
          <w:sz w:val="22"/>
          <w:szCs w:val="22"/>
        </w:rPr>
      </w:pPr>
      <w:r w:rsidRPr="00C72762">
        <w:rPr>
          <w:rFonts w:ascii="Aptos" w:hAnsi="Aptos" w:cs="Calibri"/>
          <w:sz w:val="22"/>
          <w:szCs w:val="22"/>
        </w:rPr>
        <w:t>sit alongside trade agreements, not project contracts.</w:t>
      </w:r>
    </w:p>
    <w:p w14:paraId="28C42B16"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2. Identify priority partner countries</w:t>
      </w:r>
    </w:p>
    <w:p w14:paraId="08B5A4EA"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Australia should focus first on key trading partners where joint action can deliver material global abatement and protect Australia’s economic interests. Based on the Authority’s analysis of exports and offshore emissions, priority partners might include Korea, Japan and emerging clean-materials markets in Southeast Asia. These partners share strong incentives to decarbonise supply chains, not just domestic production.</w:t>
      </w:r>
    </w:p>
    <w:p w14:paraId="3B846825"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3. Select priority value chains for cooperation</w:t>
      </w:r>
    </w:p>
    <w:p w14:paraId="619C23B0"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 xml:space="preserve">For each partner, governments should jointly identify specific value chains where cooperation can shift emissions outcomes at scale, such as steel and aluminium, chemicals and fertilisers, </w:t>
      </w:r>
      <w:r>
        <w:rPr>
          <w:rFonts w:ascii="Aptos" w:hAnsi="Aptos" w:cs="Calibri"/>
          <w:sz w:val="22"/>
          <w:szCs w:val="22"/>
        </w:rPr>
        <w:t xml:space="preserve">liquid natural gas </w:t>
      </w:r>
      <w:r w:rsidRPr="00C72762">
        <w:rPr>
          <w:rFonts w:ascii="Aptos" w:hAnsi="Aptos" w:cs="Calibri"/>
          <w:sz w:val="22"/>
          <w:szCs w:val="22"/>
        </w:rPr>
        <w:t>transition pathways, critical minerals and downstream processing.</w:t>
      </w:r>
    </w:p>
    <w:p w14:paraId="3E120562"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4. Agree shared emissions and transition objectives</w:t>
      </w:r>
    </w:p>
    <w:p w14:paraId="54655066"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Partner governments should agree on shared emissions intensity reduction objectives for priority value chains, consistent with each country’s national emissions targets, long-term decarbonisation pathways, and domestic policy frameworks.</w:t>
      </w:r>
    </w:p>
    <w:p w14:paraId="4DCA440D"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The agreement should provide direction and increase certainty, while leaving policy choice and implementation to each government.</w:t>
      </w:r>
    </w:p>
    <w:p w14:paraId="63A18F3F"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5. Align domestic policy and regulatory settings</w:t>
      </w:r>
    </w:p>
    <w:p w14:paraId="48014CA3" w14:textId="77777777" w:rsidR="00CD7F90" w:rsidRDefault="00CD7F90" w:rsidP="00CD7F90">
      <w:pPr>
        <w:spacing w:line="276" w:lineRule="auto"/>
        <w:rPr>
          <w:rFonts w:ascii="Aptos" w:hAnsi="Aptos" w:cs="Calibri"/>
          <w:sz w:val="22"/>
          <w:szCs w:val="22"/>
        </w:rPr>
      </w:pPr>
      <w:r w:rsidRPr="00C72762">
        <w:rPr>
          <w:rFonts w:ascii="Aptos" w:hAnsi="Aptos" w:cs="Calibri"/>
          <w:sz w:val="22"/>
          <w:szCs w:val="22"/>
        </w:rPr>
        <w:t xml:space="preserve">Each government should commit to efforts towards interoperability and harmonisation of its policy levers in support of the agreed objectives, including carbon pricing and regulation, planning and approvals, energy and infrastructure policy, </w:t>
      </w:r>
      <w:bookmarkStart w:id="13" w:name="_Int_3pjYzj7h"/>
      <w:r w:rsidRPr="00C72762">
        <w:rPr>
          <w:rFonts w:ascii="Aptos" w:hAnsi="Aptos" w:cs="Calibri"/>
          <w:sz w:val="22"/>
          <w:szCs w:val="22"/>
        </w:rPr>
        <w:t>standards</w:t>
      </w:r>
      <w:bookmarkEnd w:id="13"/>
      <w:r w:rsidRPr="00C72762">
        <w:rPr>
          <w:rFonts w:ascii="Aptos" w:hAnsi="Aptos" w:cs="Calibri"/>
          <w:sz w:val="22"/>
          <w:szCs w:val="22"/>
        </w:rPr>
        <w:t xml:space="preserve"> and certification. The deal should not replace domestic policy but instead coordinate it across borders.</w:t>
      </w:r>
    </w:p>
    <w:p w14:paraId="54FAF3C9" w14:textId="77777777" w:rsidR="00E9401A" w:rsidRDefault="00E9401A" w:rsidP="00CD7F90">
      <w:pPr>
        <w:spacing w:line="276" w:lineRule="auto"/>
        <w:rPr>
          <w:rFonts w:ascii="Aptos" w:hAnsi="Aptos" w:cs="Calibri"/>
          <w:sz w:val="22"/>
          <w:szCs w:val="22"/>
        </w:rPr>
      </w:pPr>
    </w:p>
    <w:p w14:paraId="5797EFFA" w14:textId="77777777" w:rsidR="00E9401A" w:rsidRPr="00C72762" w:rsidRDefault="00E9401A" w:rsidP="00CD7F90">
      <w:pPr>
        <w:spacing w:line="276" w:lineRule="auto"/>
        <w:rPr>
          <w:rFonts w:ascii="Aptos" w:hAnsi="Aptos" w:cs="Calibri"/>
          <w:sz w:val="22"/>
          <w:szCs w:val="22"/>
        </w:rPr>
      </w:pPr>
    </w:p>
    <w:p w14:paraId="74E5E081"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lastRenderedPageBreak/>
        <w:t>6. Mobilise and coordinate public finance</w:t>
      </w:r>
    </w:p>
    <w:p w14:paraId="31E2A628"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Governments should coordinate their public finance and risk-sharing tools to support delivery, including concessional finance, guarantees, first-of-a-kind support, shared infrastructure investment. Support should remain conditional and time-limited, with private capital doing the heavy lifting.</w:t>
      </w:r>
    </w:p>
    <w:p w14:paraId="5F0D1895"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7. Engage industry as delivery partners</w:t>
      </w:r>
    </w:p>
    <w:p w14:paraId="1474F3FC"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Industry participation should be structured through voluntary commitments aligned to deal objectives, investment plans and project pipelines, and transparent reporting against agreed metrics.</w:t>
      </w:r>
    </w:p>
    <w:p w14:paraId="65C0B494"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 xml:space="preserve">8. Establish governance, </w:t>
      </w:r>
      <w:bookmarkStart w:id="14" w:name="_Int_uD7tOVon"/>
      <w:r w:rsidRPr="00C72762">
        <w:rPr>
          <w:rFonts w:ascii="Aptos" w:hAnsi="Aptos" w:cs="Calibri"/>
          <w:b/>
          <w:sz w:val="22"/>
          <w:szCs w:val="22"/>
        </w:rPr>
        <w:t>transparency</w:t>
      </w:r>
      <w:bookmarkEnd w:id="14"/>
      <w:r w:rsidRPr="00C72762">
        <w:rPr>
          <w:rFonts w:ascii="Aptos" w:hAnsi="Aptos" w:cs="Calibri"/>
          <w:b/>
          <w:sz w:val="22"/>
          <w:szCs w:val="22"/>
        </w:rPr>
        <w:t xml:space="preserve"> and review</w:t>
      </w:r>
    </w:p>
    <w:p w14:paraId="2CDC8E26"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 xml:space="preserve">Each deal should include clear milestones, public reporting on emissions outcomes, review </w:t>
      </w:r>
      <w:bookmarkStart w:id="15" w:name="_Int_lyARlAd1"/>
      <w:r w:rsidRPr="00C72762">
        <w:rPr>
          <w:rFonts w:ascii="Aptos" w:hAnsi="Aptos" w:cs="Calibri"/>
          <w:sz w:val="22"/>
          <w:szCs w:val="22"/>
        </w:rPr>
        <w:t>points</w:t>
      </w:r>
      <w:bookmarkEnd w:id="15"/>
      <w:r w:rsidRPr="00C72762">
        <w:rPr>
          <w:rFonts w:ascii="Aptos" w:hAnsi="Aptos" w:cs="Calibri"/>
          <w:sz w:val="22"/>
          <w:szCs w:val="22"/>
        </w:rPr>
        <w:t xml:space="preserve"> and adjustment mechanisms.</w:t>
      </w:r>
    </w:p>
    <w:p w14:paraId="24460F5D" w14:textId="6C883D4E"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 xml:space="preserve">9. Pilot with one or </w:t>
      </w:r>
      <w:r w:rsidR="004252CE">
        <w:rPr>
          <w:rFonts w:ascii="Aptos" w:hAnsi="Aptos" w:cs="Calibri"/>
          <w:b/>
          <w:sz w:val="22"/>
          <w:szCs w:val="22"/>
        </w:rPr>
        <w:t>2</w:t>
      </w:r>
      <w:r w:rsidRPr="00C72762">
        <w:rPr>
          <w:rFonts w:ascii="Aptos" w:hAnsi="Aptos" w:cs="Calibri"/>
          <w:b/>
          <w:sz w:val="22"/>
          <w:szCs w:val="22"/>
        </w:rPr>
        <w:t xml:space="preserve"> flagship deals</w:t>
      </w:r>
    </w:p>
    <w:p w14:paraId="2EC8282C"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Australia should start with one or 2 high-impact bilateral deals, demonstrate credibility and delivery. A potential flagship first deal with the Republic of Korea is set out below</w:t>
      </w:r>
      <w:bookmarkStart w:id="16" w:name="_Int_yWYPnNtc"/>
      <w:r w:rsidRPr="00C72762">
        <w:rPr>
          <w:rFonts w:ascii="Aptos" w:hAnsi="Aptos" w:cs="Calibri"/>
          <w:sz w:val="22"/>
          <w:szCs w:val="22"/>
        </w:rPr>
        <w:t xml:space="preserve">.  </w:t>
      </w:r>
      <w:bookmarkEnd w:id="16"/>
    </w:p>
    <w:p w14:paraId="4FB9DB1A" w14:textId="77777777" w:rsidR="00CD7F90" w:rsidRPr="00C72762" w:rsidRDefault="00CD7F90" w:rsidP="00CD7F90">
      <w:pPr>
        <w:spacing w:line="276" w:lineRule="auto"/>
        <w:rPr>
          <w:rFonts w:ascii="Aptos" w:hAnsi="Aptos" w:cs="Calibri"/>
          <w:sz w:val="22"/>
          <w:szCs w:val="22"/>
        </w:rPr>
      </w:pPr>
    </w:p>
    <w:p w14:paraId="46694300" w14:textId="6A13E077" w:rsidR="00CD7F90" w:rsidRDefault="004A497A">
      <w:pPr>
        <w:spacing w:before="0" w:after="160" w:line="279" w:lineRule="auto"/>
        <w:rPr>
          <w:rFonts w:eastAsiaTheme="majorEastAsia" w:cstheme="majorBidi"/>
          <w:b/>
          <w:color w:val="00679F"/>
          <w:sz w:val="76"/>
          <w:szCs w:val="40"/>
        </w:rPr>
      </w:pPr>
      <w:r w:rsidRPr="001D7EEA">
        <w:rPr>
          <w:b/>
          <w:bCs/>
          <w:noProof/>
        </w:rPr>
        <mc:AlternateContent>
          <mc:Choice Requires="wps">
            <w:drawing>
              <wp:anchor distT="0" distB="0" distL="114300" distR="114300" simplePos="0" relativeHeight="251504640" behindDoc="0" locked="0" layoutInCell="1" allowOverlap="1" wp14:anchorId="1E1BF542" wp14:editId="4562E8EB">
                <wp:simplePos x="0" y="0"/>
                <wp:positionH relativeFrom="column">
                  <wp:posOffset>-671195</wp:posOffset>
                </wp:positionH>
                <wp:positionV relativeFrom="paragraph">
                  <wp:posOffset>780524</wp:posOffset>
                </wp:positionV>
                <wp:extent cx="7625300" cy="492981"/>
                <wp:effectExtent l="0" t="0" r="13970" b="21590"/>
                <wp:wrapNone/>
                <wp:docPr id="1717408287" name="Rectangle 10"/>
                <wp:cNvGraphicFramePr/>
                <a:graphic xmlns:a="http://schemas.openxmlformats.org/drawingml/2006/main">
                  <a:graphicData uri="http://schemas.microsoft.com/office/word/2010/wordprocessingShape">
                    <wps:wsp>
                      <wps:cNvSpPr/>
                      <wps:spPr>
                        <a:xfrm>
                          <a:off x="0" y="0"/>
                          <a:ext cx="7625300" cy="492981"/>
                        </a:xfrm>
                        <a:prstGeom prst="rect">
                          <a:avLst/>
                        </a:prstGeom>
                        <a:solidFill>
                          <a:srgbClr val="FD904D"/>
                        </a:solidFill>
                        <a:ln>
                          <a:solidFill>
                            <a:srgbClr val="FD904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2DA7FA" id="Rectangle 10" o:spid="_x0000_s1026" style="position:absolute;margin-left:-52.85pt;margin-top:61.45pt;width:600.4pt;height:38.8pt;z-index:25150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" fillcolor="#fd904d" strokecolor="#fd904d" strokeweight="1pt"/>
            </w:pict>
          </mc:Fallback>
        </mc:AlternateContent>
      </w:r>
      <w:r>
        <w:rPr>
          <w:noProof/>
        </w:rPr>
        <w:drawing>
          <wp:anchor distT="0" distB="0" distL="114300" distR="114300" simplePos="0" relativeHeight="251793408" behindDoc="0" locked="0" layoutInCell="1" allowOverlap="1" wp14:anchorId="6022800C" wp14:editId="7B5B8466">
            <wp:simplePos x="0" y="0"/>
            <wp:positionH relativeFrom="column">
              <wp:posOffset>-554680</wp:posOffset>
            </wp:positionH>
            <wp:positionV relativeFrom="paragraph">
              <wp:posOffset>898598</wp:posOffset>
            </wp:positionV>
            <wp:extent cx="7570382" cy="5677787"/>
            <wp:effectExtent l="0" t="0" r="0" b="0"/>
            <wp:wrapNone/>
            <wp:docPr id="1527953845"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953845" name="Picture 12">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77778" cy="5683334"/>
                    </a:xfrm>
                    <a:prstGeom prst="rect">
                      <a:avLst/>
                    </a:prstGeom>
                  </pic:spPr>
                </pic:pic>
              </a:graphicData>
            </a:graphic>
            <wp14:sizeRelH relativeFrom="margin">
              <wp14:pctWidth>0</wp14:pctWidth>
            </wp14:sizeRelH>
            <wp14:sizeRelV relativeFrom="margin">
              <wp14:pctHeight>0</wp14:pctHeight>
            </wp14:sizeRelV>
          </wp:anchor>
        </w:drawing>
      </w:r>
      <w:r w:rsidR="00CD7F90">
        <w:br w:type="page"/>
      </w:r>
    </w:p>
    <w:p w14:paraId="28175A59" w14:textId="2AE8F770" w:rsidR="00CD7F90" w:rsidRPr="00C72762" w:rsidRDefault="00CD7F90" w:rsidP="004B3966">
      <w:pPr>
        <w:pStyle w:val="L1Heading"/>
        <w:spacing w:line="240" w:lineRule="auto"/>
      </w:pPr>
      <w:bookmarkStart w:id="17" w:name="_Toc224740974"/>
      <w:r w:rsidRPr="00C72762">
        <w:lastRenderedPageBreak/>
        <w:t>6. A flagship first deal with the Republic of Korea</w:t>
      </w:r>
      <w:bookmarkEnd w:id="17"/>
    </w:p>
    <w:p w14:paraId="22F1E35F" w14:textId="77777777" w:rsidR="00CD7F90" w:rsidRPr="00C72762" w:rsidRDefault="00CD7F90" w:rsidP="00CD7F90">
      <w:pPr>
        <w:spacing w:line="276" w:lineRule="auto"/>
        <w:rPr>
          <w:rFonts w:ascii="Aptos" w:eastAsia="Times New Roman" w:hAnsi="Aptos" w:cs="Calibri"/>
          <w:b/>
          <w:sz w:val="22"/>
          <w:szCs w:val="22"/>
        </w:rPr>
      </w:pPr>
      <w:r w:rsidRPr="00C72762">
        <w:rPr>
          <w:rFonts w:ascii="Aptos" w:eastAsia="Times New Roman" w:hAnsi="Aptos" w:cs="Calibri"/>
          <w:b/>
          <w:sz w:val="22"/>
          <w:szCs w:val="22"/>
        </w:rPr>
        <w:t>Why Korea</w:t>
      </w:r>
    </w:p>
    <w:p w14:paraId="34AC8197"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Korea has recently signalled a significant acceleration in its climate and energy transition, including:</w:t>
      </w:r>
    </w:p>
    <w:p w14:paraId="58F43BAC" w14:textId="77777777" w:rsidR="00CD7F90" w:rsidRPr="00C72762" w:rsidRDefault="00CD7F90" w:rsidP="00CD7F90">
      <w:pPr>
        <w:numPr>
          <w:ilvl w:val="0"/>
          <w:numId w:val="15"/>
        </w:numPr>
        <w:spacing w:line="276" w:lineRule="auto"/>
        <w:rPr>
          <w:rFonts w:ascii="Aptos" w:eastAsia="Times New Roman" w:hAnsi="Aptos" w:cs="Calibri"/>
          <w:sz w:val="22"/>
          <w:szCs w:val="22"/>
        </w:rPr>
      </w:pPr>
      <w:r w:rsidRPr="00C72762">
        <w:rPr>
          <w:rFonts w:ascii="Aptos" w:eastAsia="Times New Roman" w:hAnsi="Aptos" w:cs="Calibri"/>
          <w:sz w:val="22"/>
          <w:szCs w:val="22"/>
        </w:rPr>
        <w:t>a commitment to retire most coal-fired power generation by around 2040</w:t>
      </w:r>
    </w:p>
    <w:p w14:paraId="2CA209B5" w14:textId="77777777" w:rsidR="00CD7F90" w:rsidRPr="00C72762" w:rsidRDefault="00CD7F90" w:rsidP="00CD7F90">
      <w:pPr>
        <w:numPr>
          <w:ilvl w:val="0"/>
          <w:numId w:val="15"/>
        </w:num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a strengthened national emissions target for 2035, implying deep reductions across power, </w:t>
      </w:r>
      <w:bookmarkStart w:id="18" w:name="_Int_mfqXcD8t"/>
      <w:r w:rsidRPr="00C72762">
        <w:rPr>
          <w:rFonts w:ascii="Aptos" w:eastAsia="Times New Roman" w:hAnsi="Aptos" w:cs="Calibri"/>
          <w:sz w:val="22"/>
          <w:szCs w:val="22"/>
        </w:rPr>
        <w:t>industry</w:t>
      </w:r>
      <w:bookmarkEnd w:id="18"/>
      <w:r w:rsidRPr="00C72762">
        <w:rPr>
          <w:rFonts w:ascii="Aptos" w:eastAsia="Times New Roman" w:hAnsi="Aptos" w:cs="Calibri"/>
          <w:sz w:val="22"/>
          <w:szCs w:val="22"/>
        </w:rPr>
        <w:t xml:space="preserve"> and imports</w:t>
      </w:r>
    </w:p>
    <w:p w14:paraId="5F5B1E86" w14:textId="77777777" w:rsidR="00CD7F90" w:rsidRPr="00C72762" w:rsidRDefault="00CD7F90" w:rsidP="00CD7F90">
      <w:pPr>
        <w:numPr>
          <w:ilvl w:val="0"/>
          <w:numId w:val="15"/>
        </w:num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increasing focus on clean industrial supply chains, including steel, </w:t>
      </w:r>
      <w:bookmarkStart w:id="19" w:name="_Int_B5lnaLyF"/>
      <w:r w:rsidRPr="00C72762">
        <w:rPr>
          <w:rFonts w:ascii="Aptos" w:eastAsia="Times New Roman" w:hAnsi="Aptos" w:cs="Calibri"/>
          <w:sz w:val="22"/>
          <w:szCs w:val="22"/>
        </w:rPr>
        <w:t>chemicals</w:t>
      </w:r>
      <w:bookmarkEnd w:id="19"/>
      <w:r w:rsidRPr="00C72762">
        <w:rPr>
          <w:rFonts w:ascii="Aptos" w:eastAsia="Times New Roman" w:hAnsi="Aptos" w:cs="Calibri"/>
          <w:sz w:val="22"/>
          <w:szCs w:val="22"/>
        </w:rPr>
        <w:t xml:space="preserve"> and energy-intensive manufacturing.</w:t>
      </w:r>
    </w:p>
    <w:p w14:paraId="45AED63E"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Korea is currently Australia’s third-largest export market and around the fourth-largest </w:t>
      </w:r>
      <w:r w:rsidRPr="00C72762" w:rsidDel="007C4DCA">
        <w:rPr>
          <w:rFonts w:ascii="Aptos" w:eastAsia="Times New Roman" w:hAnsi="Aptos" w:cs="Calibri"/>
          <w:sz w:val="22"/>
          <w:szCs w:val="22"/>
        </w:rPr>
        <w:t>two</w:t>
      </w:r>
      <w:r w:rsidRPr="00C72762">
        <w:rPr>
          <w:rFonts w:ascii="Aptos" w:eastAsia="Times New Roman" w:hAnsi="Aptos" w:cs="Calibri"/>
          <w:sz w:val="22"/>
          <w:szCs w:val="22"/>
        </w:rPr>
        <w:t>-way trading partner, with Australian exports valued at approximately AUD41.7 billion in 2024 (</w:t>
      </w:r>
      <w:r>
        <w:rPr>
          <w:rFonts w:ascii="Aptos" w:eastAsia="Times New Roman" w:hAnsi="Aptos" w:cs="Calibri"/>
          <w:sz w:val="22"/>
          <w:szCs w:val="22"/>
        </w:rPr>
        <w:t xml:space="preserve">made up of </w:t>
      </w:r>
      <w:r w:rsidRPr="00C72762">
        <w:rPr>
          <w:rFonts w:ascii="Aptos" w:eastAsia="Times New Roman" w:hAnsi="Aptos" w:cs="Calibri"/>
          <w:sz w:val="22"/>
          <w:szCs w:val="22"/>
        </w:rPr>
        <w:t xml:space="preserve">coal </w:t>
      </w:r>
      <w:r>
        <w:rPr>
          <w:rFonts w:ascii="Aptos" w:eastAsia="Times New Roman" w:hAnsi="Aptos" w:cs="Calibri"/>
          <w:sz w:val="22"/>
          <w:szCs w:val="22"/>
        </w:rPr>
        <w:t>at AUD</w:t>
      </w:r>
      <w:r w:rsidRPr="00C72762">
        <w:rPr>
          <w:rFonts w:ascii="Aptos" w:eastAsia="Times New Roman" w:hAnsi="Aptos" w:cs="Calibri"/>
          <w:sz w:val="22"/>
          <w:szCs w:val="22"/>
        </w:rPr>
        <w:t>8.0</w:t>
      </w:r>
      <w:r>
        <w:rPr>
          <w:rFonts w:ascii="Aptos" w:eastAsia="Times New Roman" w:hAnsi="Aptos" w:cs="Calibri"/>
          <w:sz w:val="22"/>
          <w:szCs w:val="22"/>
        </w:rPr>
        <w:t xml:space="preserve"> </w:t>
      </w:r>
      <w:r w:rsidRPr="00C72762">
        <w:rPr>
          <w:rFonts w:ascii="Aptos" w:eastAsia="Times New Roman" w:hAnsi="Aptos" w:cs="Calibri"/>
          <w:sz w:val="22"/>
          <w:szCs w:val="22"/>
        </w:rPr>
        <w:t>b</w:t>
      </w:r>
      <w:r>
        <w:rPr>
          <w:rFonts w:ascii="Aptos" w:eastAsia="Times New Roman" w:hAnsi="Aptos" w:cs="Calibri"/>
          <w:sz w:val="22"/>
          <w:szCs w:val="22"/>
        </w:rPr>
        <w:t>illion</w:t>
      </w:r>
      <w:r w:rsidRPr="00C72762">
        <w:rPr>
          <w:rFonts w:ascii="Aptos" w:eastAsia="Times New Roman" w:hAnsi="Aptos" w:cs="Calibri"/>
          <w:sz w:val="22"/>
          <w:szCs w:val="22"/>
        </w:rPr>
        <w:t xml:space="preserve">, gas </w:t>
      </w:r>
      <w:r>
        <w:rPr>
          <w:rFonts w:ascii="Aptos" w:eastAsia="Times New Roman" w:hAnsi="Aptos" w:cs="Calibri"/>
          <w:sz w:val="22"/>
          <w:szCs w:val="22"/>
        </w:rPr>
        <w:t>at AUD</w:t>
      </w:r>
      <w:r w:rsidRPr="00C72762">
        <w:rPr>
          <w:rFonts w:ascii="Aptos" w:eastAsia="Times New Roman" w:hAnsi="Aptos" w:cs="Calibri"/>
          <w:sz w:val="22"/>
          <w:szCs w:val="22"/>
        </w:rPr>
        <w:t>8.0</w:t>
      </w:r>
      <w:r>
        <w:rPr>
          <w:rFonts w:ascii="Aptos" w:eastAsia="Times New Roman" w:hAnsi="Aptos" w:cs="Calibri"/>
          <w:sz w:val="22"/>
          <w:szCs w:val="22"/>
        </w:rPr>
        <w:t xml:space="preserve"> </w:t>
      </w:r>
      <w:r w:rsidRPr="00C72762">
        <w:rPr>
          <w:rFonts w:ascii="Aptos" w:eastAsia="Times New Roman" w:hAnsi="Aptos" w:cs="Calibri"/>
          <w:sz w:val="22"/>
          <w:szCs w:val="22"/>
        </w:rPr>
        <w:t>b</w:t>
      </w:r>
      <w:r>
        <w:rPr>
          <w:rFonts w:ascii="Aptos" w:eastAsia="Times New Roman" w:hAnsi="Aptos" w:cs="Calibri"/>
          <w:sz w:val="22"/>
          <w:szCs w:val="22"/>
        </w:rPr>
        <w:t>illion</w:t>
      </w:r>
      <w:r w:rsidRPr="00C72762">
        <w:rPr>
          <w:rFonts w:ascii="Aptos" w:eastAsia="Times New Roman" w:hAnsi="Aptos" w:cs="Calibri"/>
          <w:sz w:val="22"/>
          <w:szCs w:val="22"/>
        </w:rPr>
        <w:t xml:space="preserve">, </w:t>
      </w:r>
      <w:r>
        <w:rPr>
          <w:rFonts w:ascii="Aptos" w:eastAsia="Times New Roman" w:hAnsi="Aptos" w:cs="Calibri"/>
          <w:sz w:val="22"/>
          <w:szCs w:val="22"/>
        </w:rPr>
        <w:t xml:space="preserve">and </w:t>
      </w:r>
      <w:r w:rsidRPr="00C72762">
        <w:rPr>
          <w:rFonts w:ascii="Aptos" w:eastAsia="Times New Roman" w:hAnsi="Aptos" w:cs="Calibri"/>
          <w:sz w:val="22"/>
          <w:szCs w:val="22"/>
        </w:rPr>
        <w:t xml:space="preserve">iron ores </w:t>
      </w:r>
      <w:r>
        <w:rPr>
          <w:rFonts w:ascii="Aptos" w:eastAsia="Times New Roman" w:hAnsi="Aptos" w:cs="Calibri"/>
          <w:sz w:val="22"/>
          <w:szCs w:val="22"/>
        </w:rPr>
        <w:t>and</w:t>
      </w:r>
      <w:r w:rsidRPr="00C72762">
        <w:rPr>
          <w:rFonts w:ascii="Aptos" w:eastAsia="Times New Roman" w:hAnsi="Aptos" w:cs="Calibri"/>
          <w:sz w:val="22"/>
          <w:szCs w:val="22"/>
        </w:rPr>
        <w:t xml:space="preserve"> concentrates </w:t>
      </w:r>
      <w:r>
        <w:rPr>
          <w:rFonts w:ascii="Aptos" w:eastAsia="Times New Roman" w:hAnsi="Aptos" w:cs="Calibri"/>
          <w:sz w:val="22"/>
          <w:szCs w:val="22"/>
        </w:rPr>
        <w:t>at AUD</w:t>
      </w:r>
      <w:r w:rsidRPr="00C72762">
        <w:rPr>
          <w:rFonts w:ascii="Aptos" w:eastAsia="Times New Roman" w:hAnsi="Aptos" w:cs="Calibri"/>
          <w:sz w:val="22"/>
          <w:szCs w:val="22"/>
        </w:rPr>
        <w:t>7.2</w:t>
      </w:r>
      <w:r>
        <w:rPr>
          <w:rFonts w:ascii="Aptos" w:eastAsia="Times New Roman" w:hAnsi="Aptos" w:cs="Calibri"/>
          <w:sz w:val="22"/>
          <w:szCs w:val="22"/>
        </w:rPr>
        <w:t xml:space="preserve"> </w:t>
      </w:r>
      <w:r w:rsidRPr="00C72762">
        <w:rPr>
          <w:rFonts w:ascii="Aptos" w:eastAsia="Times New Roman" w:hAnsi="Aptos" w:cs="Calibri"/>
          <w:sz w:val="22"/>
          <w:szCs w:val="22"/>
        </w:rPr>
        <w:t>b</w:t>
      </w:r>
      <w:r>
        <w:rPr>
          <w:rFonts w:ascii="Aptos" w:eastAsia="Times New Roman" w:hAnsi="Aptos" w:cs="Calibri"/>
          <w:sz w:val="22"/>
          <w:szCs w:val="22"/>
        </w:rPr>
        <w:t>illion</w:t>
      </w:r>
      <w:r w:rsidRPr="00C72762">
        <w:rPr>
          <w:rFonts w:ascii="Aptos" w:eastAsia="Times New Roman" w:hAnsi="Aptos" w:cs="Calibri"/>
          <w:sz w:val="22"/>
          <w:szCs w:val="22"/>
        </w:rPr>
        <w:t xml:space="preserve"> </w:t>
      </w:r>
      <w:r>
        <w:rPr>
          <w:rFonts w:ascii="Aptos" w:eastAsia="Times New Roman" w:hAnsi="Aptos" w:cs="Calibri"/>
          <w:sz w:val="22"/>
          <w:szCs w:val="22"/>
        </w:rPr>
        <w:t>(</w:t>
      </w:r>
      <w:commentRangeStart w:id="20"/>
      <w:commentRangeStart w:id="21"/>
      <w:r w:rsidRPr="00C72762">
        <w:rPr>
          <w:rFonts w:ascii="Aptos" w:eastAsia="Times New Roman" w:hAnsi="Aptos" w:cs="Calibri"/>
          <w:sz w:val="22"/>
          <w:szCs w:val="22"/>
        </w:rPr>
        <w:t>DFAT</w:t>
      </w:r>
      <w:r>
        <w:rPr>
          <w:rFonts w:ascii="Aptos" w:eastAsia="Times New Roman" w:hAnsi="Aptos" w:cs="Calibri"/>
          <w:sz w:val="22"/>
          <w:szCs w:val="22"/>
        </w:rPr>
        <w:t xml:space="preserve">, </w:t>
      </w:r>
      <w:hyperlink r:id="rId22" w:history="1">
        <w:r w:rsidRPr="000F4502">
          <w:rPr>
            <w:rStyle w:val="Hyperlink"/>
            <w:rFonts w:ascii="Aptos" w:eastAsia="Times New Roman" w:hAnsi="Aptos" w:cs="Calibri"/>
            <w:sz w:val="22"/>
            <w:szCs w:val="22"/>
          </w:rPr>
          <w:t>2025</w:t>
        </w:r>
      </w:hyperlink>
      <w:commentRangeEnd w:id="20"/>
      <w:r w:rsidRPr="00C72762">
        <w:rPr>
          <w:rStyle w:val="CommentReference"/>
          <w:rFonts w:ascii="Aptos" w:eastAsia="Times New Roman" w:hAnsi="Aptos" w:cs="Calibri"/>
          <w:sz w:val="22"/>
          <w:szCs w:val="22"/>
        </w:rPr>
        <w:commentReference w:id="20"/>
      </w:r>
      <w:commentRangeEnd w:id="21"/>
      <w:r>
        <w:rPr>
          <w:rStyle w:val="CommentReference"/>
          <w:rFonts w:ascii="Aptos" w:eastAsia="Times New Roman" w:hAnsi="Aptos" w:cs="Calibri"/>
          <w:sz w:val="22"/>
          <w:szCs w:val="22"/>
        </w:rPr>
        <w:commentReference w:id="21"/>
      </w:r>
      <w:r w:rsidRPr="00C72762">
        <w:rPr>
          <w:rFonts w:ascii="Aptos" w:eastAsia="Times New Roman" w:hAnsi="Aptos" w:cs="Calibri"/>
          <w:sz w:val="22"/>
          <w:szCs w:val="22"/>
        </w:rPr>
        <w:t>). It is one of Australia’s most fossil-fuel-exposed trade relationships. </w:t>
      </w:r>
    </w:p>
    <w:p w14:paraId="5F5DE103"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These policy commitments imply a structural shift in Korean demand. As coal-fired power declines, demand for thermal coal will fall. At the same time, Korea’s steelmakers and manufacturers will need large volumes of low-emissions inputs to meet tighter emissions limits, procurement standards and product requirements in both domestic and export markets. The centre of gravity shifts from importing fuels to importing materials that embody clean energy.</w:t>
      </w:r>
    </w:p>
    <w:p w14:paraId="2F8E1DC9"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Korean policy settings affecting imports, procurement standards and industrial inputs are being designed now. Early engagement allows Australia to shape demand for clean replacements rather than compete after markets, technologies and suppliers are already locked in.</w:t>
      </w:r>
    </w:p>
    <w:p w14:paraId="7A197EDC" w14:textId="77777777" w:rsidR="00CD7F90" w:rsidRPr="00C72762" w:rsidRDefault="00CD7F90" w:rsidP="00CD7F90">
      <w:pPr>
        <w:spacing w:line="276" w:lineRule="auto"/>
        <w:rPr>
          <w:rFonts w:ascii="Aptos" w:eastAsia="Times New Roman" w:hAnsi="Aptos" w:cs="Calibri"/>
          <w:b/>
          <w:sz w:val="22"/>
          <w:szCs w:val="22"/>
        </w:rPr>
      </w:pPr>
      <w:r w:rsidRPr="00C72762">
        <w:rPr>
          <w:rFonts w:ascii="Aptos" w:eastAsia="Times New Roman" w:hAnsi="Aptos" w:cs="Calibri"/>
          <w:b/>
          <w:sz w:val="22"/>
          <w:szCs w:val="22"/>
        </w:rPr>
        <w:t>Why a bilateral decarbonisation deal</w:t>
      </w:r>
    </w:p>
    <w:p w14:paraId="3F24ABC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A bilateral decarbonisation deal with Korea can convert this transition risk into an opportunity by delivering:</w:t>
      </w:r>
    </w:p>
    <w:p w14:paraId="7CDE6321" w14:textId="77777777" w:rsidR="00CD7F90" w:rsidRPr="00C72762" w:rsidRDefault="00CD7F90" w:rsidP="00CD7F90">
      <w:pPr>
        <w:numPr>
          <w:ilvl w:val="0"/>
          <w:numId w:val="16"/>
        </w:numPr>
        <w:spacing w:line="276" w:lineRule="auto"/>
        <w:rPr>
          <w:rFonts w:ascii="Aptos" w:eastAsia="Times New Roman" w:hAnsi="Aptos" w:cs="Calibri"/>
          <w:sz w:val="22"/>
          <w:szCs w:val="22"/>
        </w:rPr>
      </w:pPr>
      <w:r w:rsidRPr="00C72762">
        <w:rPr>
          <w:rFonts w:ascii="Aptos" w:eastAsia="Times New Roman" w:hAnsi="Aptos" w:cs="Calibri"/>
          <w:sz w:val="22"/>
          <w:szCs w:val="22"/>
        </w:rPr>
        <w:t>increased confidence in demand for low-emissions materials, starting with iron and steel supply chains</w:t>
      </w:r>
    </w:p>
    <w:p w14:paraId="7A8DDC86" w14:textId="77777777" w:rsidR="00CD7F90" w:rsidRPr="00C72762" w:rsidRDefault="00CD7F90" w:rsidP="00CD7F90">
      <w:pPr>
        <w:numPr>
          <w:ilvl w:val="0"/>
          <w:numId w:val="16"/>
        </w:numPr>
        <w:spacing w:line="276" w:lineRule="auto"/>
        <w:rPr>
          <w:rFonts w:ascii="Aptos" w:eastAsia="Times New Roman" w:hAnsi="Aptos" w:cs="Calibri"/>
          <w:sz w:val="22"/>
          <w:szCs w:val="22"/>
        </w:rPr>
      </w:pPr>
      <w:r w:rsidRPr="00C72762">
        <w:rPr>
          <w:rFonts w:ascii="Aptos" w:eastAsia="Times New Roman" w:hAnsi="Aptos" w:cs="Calibri"/>
          <w:sz w:val="22"/>
          <w:szCs w:val="22"/>
        </w:rPr>
        <w:t>a pathway to replace declining fossil fuel exports with higher-value processed materials</w:t>
      </w:r>
    </w:p>
    <w:p w14:paraId="2F52047B" w14:textId="77777777" w:rsidR="00CD7F90" w:rsidRPr="00C72762" w:rsidRDefault="00CD7F90" w:rsidP="00CD7F90">
      <w:pPr>
        <w:numPr>
          <w:ilvl w:val="0"/>
          <w:numId w:val="16"/>
        </w:numPr>
        <w:spacing w:line="276" w:lineRule="auto"/>
        <w:rPr>
          <w:rFonts w:ascii="Aptos" w:eastAsia="Times New Roman" w:hAnsi="Aptos" w:cs="Calibri"/>
          <w:sz w:val="22"/>
          <w:szCs w:val="22"/>
        </w:rPr>
      </w:pPr>
      <w:r w:rsidRPr="00C72762">
        <w:rPr>
          <w:rFonts w:ascii="Aptos" w:eastAsia="Times New Roman" w:hAnsi="Aptos" w:cs="Calibri"/>
          <w:sz w:val="22"/>
          <w:szCs w:val="22"/>
        </w:rPr>
        <w:t>stronger long-term market access as Korean firms decarbonise and seek reliable clean suppliers</w:t>
      </w:r>
    </w:p>
    <w:p w14:paraId="7882A9A3" w14:textId="77777777" w:rsidR="00CD7F90" w:rsidRPr="00C72762" w:rsidRDefault="00CD7F90" w:rsidP="00CD7F90">
      <w:pPr>
        <w:numPr>
          <w:ilvl w:val="0"/>
          <w:numId w:val="16"/>
        </w:numPr>
        <w:spacing w:line="276" w:lineRule="auto"/>
        <w:rPr>
          <w:rFonts w:ascii="Aptos" w:eastAsia="Times New Roman" w:hAnsi="Aptos" w:cs="Calibri"/>
          <w:sz w:val="22"/>
          <w:szCs w:val="22"/>
        </w:rPr>
      </w:pPr>
      <w:r w:rsidRPr="00C72762">
        <w:rPr>
          <w:rFonts w:ascii="Aptos" w:eastAsia="Times New Roman" w:hAnsi="Aptos" w:cs="Calibri"/>
          <w:sz w:val="22"/>
          <w:szCs w:val="22"/>
        </w:rPr>
        <w:t>certification interoperability that keeps Australian products “eligible”</w:t>
      </w:r>
    </w:p>
    <w:p w14:paraId="47B2D2F1" w14:textId="77777777" w:rsidR="00CD7F90" w:rsidRPr="00C72762" w:rsidRDefault="00CD7F90" w:rsidP="00CD7F90">
      <w:pPr>
        <w:numPr>
          <w:ilvl w:val="0"/>
          <w:numId w:val="16"/>
        </w:numPr>
        <w:spacing w:line="276" w:lineRule="auto"/>
        <w:rPr>
          <w:rFonts w:ascii="Aptos" w:eastAsia="Times New Roman" w:hAnsi="Aptos" w:cs="Calibri"/>
          <w:sz w:val="22"/>
          <w:szCs w:val="22"/>
        </w:rPr>
      </w:pPr>
      <w:r w:rsidRPr="00C72762">
        <w:rPr>
          <w:rFonts w:ascii="Aptos" w:eastAsia="Times New Roman" w:hAnsi="Aptos" w:cs="Calibri"/>
          <w:sz w:val="22"/>
          <w:szCs w:val="22"/>
        </w:rPr>
        <w:t>an investable pipeline that de-risks first-of-a-kind projects</w:t>
      </w:r>
    </w:p>
    <w:p w14:paraId="325343CA" w14:textId="77777777" w:rsidR="00CD7F90" w:rsidRPr="00C72762" w:rsidRDefault="00CD7F90" w:rsidP="00CD7F90">
      <w:pPr>
        <w:numPr>
          <w:ilvl w:val="0"/>
          <w:numId w:val="16"/>
        </w:numPr>
        <w:spacing w:line="276" w:lineRule="auto"/>
        <w:rPr>
          <w:rFonts w:ascii="Aptos" w:eastAsia="Times New Roman" w:hAnsi="Aptos" w:cs="Calibri"/>
          <w:sz w:val="22"/>
          <w:szCs w:val="22"/>
        </w:rPr>
      </w:pPr>
      <w:r w:rsidRPr="00C72762">
        <w:rPr>
          <w:rFonts w:ascii="Aptos" w:eastAsia="Times New Roman" w:hAnsi="Aptos" w:cs="Calibri"/>
          <w:sz w:val="22"/>
          <w:szCs w:val="22"/>
        </w:rPr>
        <w:t>a managed transition pathway that reduces shock risk for workers and regions.</w:t>
      </w:r>
    </w:p>
    <w:p w14:paraId="3F5C66DD"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This deal works politically and economically because Korea:</w:t>
      </w:r>
    </w:p>
    <w:p w14:paraId="56E2F4E4" w14:textId="77777777" w:rsidR="00CD7F90" w:rsidRPr="00C72762" w:rsidRDefault="00CD7F90" w:rsidP="00CD7F90">
      <w:pPr>
        <w:numPr>
          <w:ilvl w:val="0"/>
          <w:numId w:val="20"/>
        </w:numPr>
        <w:spacing w:line="276" w:lineRule="auto"/>
        <w:rPr>
          <w:rFonts w:ascii="Aptos" w:eastAsia="Times New Roman" w:hAnsi="Aptos" w:cs="Calibri"/>
          <w:sz w:val="22"/>
          <w:szCs w:val="22"/>
        </w:rPr>
      </w:pPr>
      <w:r w:rsidRPr="00C72762">
        <w:rPr>
          <w:rFonts w:ascii="Aptos" w:eastAsia="Times New Roman" w:hAnsi="Aptos" w:cs="Calibri"/>
          <w:sz w:val="22"/>
          <w:szCs w:val="22"/>
        </w:rPr>
        <w:t>is a major customer for Australia’s energy and materials</w:t>
      </w:r>
    </w:p>
    <w:p w14:paraId="5BD9A90A" w14:textId="77777777" w:rsidR="00CD7F90" w:rsidRPr="00C72762" w:rsidRDefault="00CD7F90" w:rsidP="00CD7F90">
      <w:pPr>
        <w:numPr>
          <w:ilvl w:val="0"/>
          <w:numId w:val="20"/>
        </w:numPr>
        <w:spacing w:line="276" w:lineRule="auto"/>
        <w:rPr>
          <w:rFonts w:ascii="Aptos" w:eastAsia="Times New Roman" w:hAnsi="Aptos" w:cs="Calibri"/>
          <w:sz w:val="22"/>
          <w:szCs w:val="22"/>
        </w:rPr>
      </w:pPr>
      <w:r w:rsidRPr="00C72762">
        <w:rPr>
          <w:rFonts w:ascii="Aptos" w:eastAsia="Times New Roman" w:hAnsi="Aptos" w:cs="Calibri"/>
          <w:sz w:val="22"/>
          <w:szCs w:val="22"/>
        </w:rPr>
        <w:t>has announced a clear fossil fuel transition direction</w:t>
      </w:r>
    </w:p>
    <w:p w14:paraId="4836D925" w14:textId="77777777" w:rsidR="00CD7F90" w:rsidRPr="00C72762" w:rsidRDefault="00CD7F90" w:rsidP="00CD7F90">
      <w:pPr>
        <w:numPr>
          <w:ilvl w:val="0"/>
          <w:numId w:val="20"/>
        </w:numPr>
        <w:spacing w:line="276" w:lineRule="auto"/>
        <w:rPr>
          <w:rFonts w:ascii="Aptos" w:eastAsia="Times New Roman" w:hAnsi="Aptos" w:cs="Calibri"/>
          <w:sz w:val="22"/>
          <w:szCs w:val="22"/>
        </w:rPr>
      </w:pPr>
      <w:r w:rsidRPr="00C72762">
        <w:rPr>
          <w:rFonts w:ascii="Aptos" w:eastAsia="Times New Roman" w:hAnsi="Aptos" w:cs="Calibri"/>
          <w:sz w:val="22"/>
          <w:szCs w:val="22"/>
        </w:rPr>
        <w:t>needs secure, low-emissions inputs for globally competitive manufacturing</w:t>
      </w:r>
    </w:p>
    <w:p w14:paraId="7B354B96" w14:textId="77777777" w:rsidR="00CD7F90" w:rsidRPr="00C72762" w:rsidRDefault="00CD7F90" w:rsidP="00CD7F90">
      <w:pPr>
        <w:numPr>
          <w:ilvl w:val="0"/>
          <w:numId w:val="20"/>
        </w:numPr>
        <w:spacing w:line="276" w:lineRule="auto"/>
        <w:rPr>
          <w:rFonts w:ascii="Aptos" w:eastAsia="Times New Roman" w:hAnsi="Aptos" w:cs="Calibri"/>
          <w:sz w:val="22"/>
          <w:szCs w:val="22"/>
        </w:rPr>
      </w:pPr>
      <w:r w:rsidRPr="00C72762">
        <w:rPr>
          <w:rFonts w:ascii="Aptos" w:eastAsia="Times New Roman" w:hAnsi="Aptos" w:cs="Calibri"/>
          <w:sz w:val="22"/>
          <w:szCs w:val="22"/>
        </w:rPr>
        <w:t>is actively shaping clean-materials standards in global markets.</w:t>
      </w:r>
    </w:p>
    <w:p w14:paraId="46A1AFF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lastRenderedPageBreak/>
        <w:t>And because Australia brings:</w:t>
      </w:r>
    </w:p>
    <w:p w14:paraId="43E80439" w14:textId="77777777" w:rsidR="00CD7F90" w:rsidRPr="00C72762" w:rsidRDefault="00CD7F90" w:rsidP="00CD7F90">
      <w:pPr>
        <w:numPr>
          <w:ilvl w:val="0"/>
          <w:numId w:val="21"/>
        </w:numPr>
        <w:spacing w:line="276" w:lineRule="auto"/>
        <w:rPr>
          <w:rFonts w:ascii="Aptos" w:eastAsia="Times New Roman" w:hAnsi="Aptos" w:cs="Calibri"/>
          <w:sz w:val="22"/>
          <w:szCs w:val="22"/>
        </w:rPr>
      </w:pPr>
      <w:r w:rsidRPr="00C72762">
        <w:rPr>
          <w:rFonts w:ascii="Aptos" w:eastAsia="Times New Roman" w:hAnsi="Aptos" w:cs="Calibri"/>
          <w:sz w:val="22"/>
          <w:szCs w:val="22"/>
        </w:rPr>
        <w:t>renewable energy scale</w:t>
      </w:r>
    </w:p>
    <w:p w14:paraId="36F6DDB8" w14:textId="77777777" w:rsidR="00CD7F90" w:rsidRPr="00C72762" w:rsidRDefault="00CD7F90" w:rsidP="00CD7F90">
      <w:pPr>
        <w:numPr>
          <w:ilvl w:val="0"/>
          <w:numId w:val="21"/>
        </w:numPr>
        <w:spacing w:line="276" w:lineRule="auto"/>
        <w:rPr>
          <w:rFonts w:ascii="Aptos" w:eastAsia="Times New Roman" w:hAnsi="Aptos" w:cs="Calibri"/>
          <w:sz w:val="22"/>
          <w:szCs w:val="22"/>
        </w:rPr>
      </w:pPr>
      <w:r w:rsidRPr="00C72762">
        <w:rPr>
          <w:rFonts w:ascii="Aptos" w:eastAsia="Times New Roman" w:hAnsi="Aptos" w:cs="Calibri"/>
          <w:sz w:val="22"/>
          <w:szCs w:val="22"/>
        </w:rPr>
        <w:t>critical minerals</w:t>
      </w:r>
    </w:p>
    <w:p w14:paraId="37A49B9C" w14:textId="77777777" w:rsidR="00CD7F90" w:rsidRPr="00C72762" w:rsidRDefault="00CD7F90" w:rsidP="00CD7F90">
      <w:pPr>
        <w:numPr>
          <w:ilvl w:val="0"/>
          <w:numId w:val="21"/>
        </w:numPr>
        <w:spacing w:line="276" w:lineRule="auto"/>
        <w:rPr>
          <w:rFonts w:ascii="Aptos" w:eastAsia="Times New Roman" w:hAnsi="Aptos" w:cs="Calibri"/>
          <w:sz w:val="22"/>
          <w:szCs w:val="22"/>
        </w:rPr>
      </w:pPr>
      <w:r w:rsidRPr="00C72762">
        <w:rPr>
          <w:rFonts w:ascii="Aptos" w:eastAsia="Times New Roman" w:hAnsi="Aptos" w:cs="Calibri"/>
          <w:sz w:val="22"/>
          <w:szCs w:val="22"/>
        </w:rPr>
        <w:t>emerging clean processing capability</w:t>
      </w:r>
    </w:p>
    <w:p w14:paraId="40F27940" w14:textId="77777777" w:rsidR="00CD7F90" w:rsidRPr="00C72762" w:rsidRDefault="00CD7F90" w:rsidP="00CD7F90">
      <w:pPr>
        <w:numPr>
          <w:ilvl w:val="0"/>
          <w:numId w:val="21"/>
        </w:numPr>
        <w:spacing w:line="276" w:lineRule="auto"/>
        <w:rPr>
          <w:rFonts w:ascii="Aptos" w:eastAsia="Times New Roman" w:hAnsi="Aptos" w:cs="Calibri"/>
          <w:sz w:val="22"/>
          <w:szCs w:val="22"/>
        </w:rPr>
      </w:pPr>
      <w:r w:rsidRPr="00C72762">
        <w:rPr>
          <w:rFonts w:ascii="Aptos" w:eastAsia="Times New Roman" w:hAnsi="Aptos" w:cs="Calibri"/>
          <w:sz w:val="22"/>
          <w:szCs w:val="22"/>
        </w:rPr>
        <w:t>and the ability to export abatement, not just commodities.</w:t>
      </w:r>
    </w:p>
    <w:p w14:paraId="3122745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In short, as Korea moves away from coal, the prize for Australia is positioning to supply the clean industrial inputs that Korea will need to scale for decades to come.</w:t>
      </w:r>
    </w:p>
    <w:p w14:paraId="45A14729" w14:textId="77777777" w:rsidR="00CD7F90" w:rsidRPr="00C72762" w:rsidRDefault="00CD7F90" w:rsidP="00CD7F90">
      <w:pPr>
        <w:spacing w:line="276" w:lineRule="auto"/>
        <w:rPr>
          <w:rFonts w:ascii="Aptos" w:eastAsia="Times New Roman" w:hAnsi="Aptos" w:cs="Calibri"/>
          <w:b/>
          <w:sz w:val="22"/>
          <w:szCs w:val="22"/>
        </w:rPr>
      </w:pPr>
      <w:r w:rsidRPr="00C72762">
        <w:rPr>
          <w:rFonts w:ascii="Aptos" w:eastAsia="Times New Roman" w:hAnsi="Aptos" w:cs="Calibri"/>
          <w:b/>
          <w:sz w:val="22"/>
          <w:szCs w:val="22"/>
        </w:rPr>
        <w:t xml:space="preserve">Scope of </w:t>
      </w:r>
      <w:r>
        <w:rPr>
          <w:rFonts w:ascii="Aptos" w:eastAsia="Times New Roman" w:hAnsi="Aptos" w:cs="Calibri"/>
          <w:b/>
          <w:bCs/>
          <w:sz w:val="22"/>
          <w:szCs w:val="22"/>
        </w:rPr>
        <w:t>t</w:t>
      </w:r>
      <w:r w:rsidRPr="00C72762">
        <w:rPr>
          <w:rFonts w:ascii="Aptos" w:eastAsia="Times New Roman" w:hAnsi="Aptos" w:cs="Calibri"/>
          <w:b/>
          <w:sz w:val="22"/>
          <w:szCs w:val="22"/>
        </w:rPr>
        <w:t>he Australia–RoK Clean Industrial Transformation Deal</w:t>
      </w:r>
    </w:p>
    <w:p w14:paraId="5733B893"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The Australia–RoK Clean Industrial Transformation Deal would be a government-to-government agreement to decarbonise shared industrial supply chains, starting with steel, aluminium and critical materials, while protecting energy security, jobs and competitiveness in both countries.</w:t>
      </w:r>
    </w:p>
    <w:p w14:paraId="763CC095"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This deal would position Australia and Korea as first movers in building low-emissions industrial supply chains in the Asia-Pacific.</w:t>
      </w:r>
    </w:p>
    <w:p w14:paraId="13B50486"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b/>
          <w:sz w:val="22"/>
          <w:szCs w:val="22"/>
        </w:rPr>
        <w:t>Priority value chains (phase one)</w:t>
      </w:r>
    </w:p>
    <w:p w14:paraId="227B4DD7" w14:textId="77777777" w:rsidR="00CD7F90" w:rsidRPr="00C72762" w:rsidRDefault="00CD7F90" w:rsidP="00CD7F90">
      <w:pPr>
        <w:numPr>
          <w:ilvl w:val="0"/>
          <w:numId w:val="22"/>
        </w:numPr>
        <w:spacing w:line="276" w:lineRule="auto"/>
        <w:rPr>
          <w:rFonts w:ascii="Aptos" w:eastAsia="Times New Roman" w:hAnsi="Aptos" w:cs="Calibri"/>
          <w:sz w:val="22"/>
          <w:szCs w:val="22"/>
        </w:rPr>
      </w:pPr>
      <w:r w:rsidRPr="00C72762">
        <w:rPr>
          <w:rFonts w:ascii="Aptos" w:eastAsia="Times New Roman" w:hAnsi="Aptos" w:cs="Calibri"/>
          <w:sz w:val="22"/>
          <w:szCs w:val="22"/>
        </w:rPr>
        <w:t>Steel and steelmaking inputs.</w:t>
      </w:r>
    </w:p>
    <w:p w14:paraId="6F65FDAE" w14:textId="77777777" w:rsidR="00CD7F90" w:rsidRPr="00C72762" w:rsidRDefault="00CD7F90" w:rsidP="00CD7F90">
      <w:pPr>
        <w:numPr>
          <w:ilvl w:val="0"/>
          <w:numId w:val="22"/>
        </w:numPr>
        <w:spacing w:line="276" w:lineRule="auto"/>
        <w:rPr>
          <w:rFonts w:ascii="Aptos" w:eastAsia="Times New Roman" w:hAnsi="Aptos" w:cs="Calibri"/>
          <w:sz w:val="22"/>
          <w:szCs w:val="22"/>
        </w:rPr>
      </w:pPr>
      <w:r w:rsidRPr="00C72762">
        <w:rPr>
          <w:rFonts w:ascii="Aptos" w:eastAsia="Times New Roman" w:hAnsi="Aptos" w:cs="Calibri"/>
          <w:sz w:val="22"/>
          <w:szCs w:val="22"/>
        </w:rPr>
        <w:t>Aluminium and alumina.</w:t>
      </w:r>
    </w:p>
    <w:p w14:paraId="36C1EE7A" w14:textId="77777777" w:rsidR="00CD7F90" w:rsidRPr="00C72762" w:rsidRDefault="00CD7F90" w:rsidP="00CD7F90">
      <w:pPr>
        <w:numPr>
          <w:ilvl w:val="0"/>
          <w:numId w:val="22"/>
        </w:numPr>
        <w:spacing w:line="276" w:lineRule="auto"/>
        <w:rPr>
          <w:rFonts w:ascii="Aptos" w:eastAsia="Times New Roman" w:hAnsi="Aptos" w:cs="Calibri"/>
          <w:sz w:val="22"/>
          <w:szCs w:val="22"/>
        </w:rPr>
      </w:pPr>
      <w:r w:rsidRPr="00C72762">
        <w:rPr>
          <w:rFonts w:ascii="Aptos" w:eastAsia="Times New Roman" w:hAnsi="Aptos" w:cs="Calibri"/>
          <w:sz w:val="22"/>
          <w:szCs w:val="22"/>
        </w:rPr>
        <w:t>Critical minerals and downstream processing.</w:t>
      </w:r>
    </w:p>
    <w:p w14:paraId="48E6984F"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b/>
          <w:sz w:val="22"/>
          <w:szCs w:val="22"/>
        </w:rPr>
        <w:t>Government commitments</w:t>
      </w:r>
    </w:p>
    <w:p w14:paraId="516DEE4F"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Both governments would agree to:</w:t>
      </w:r>
    </w:p>
    <w:p w14:paraId="015C1DDA" w14:textId="77777777" w:rsidR="00CD7F90" w:rsidRPr="00C72762" w:rsidRDefault="00CD7F90" w:rsidP="00CD7F90">
      <w:pPr>
        <w:numPr>
          <w:ilvl w:val="0"/>
          <w:numId w:val="23"/>
        </w:numPr>
        <w:spacing w:line="276" w:lineRule="auto"/>
        <w:rPr>
          <w:rFonts w:ascii="Aptos" w:eastAsia="Times New Roman" w:hAnsi="Aptos" w:cs="Calibri"/>
          <w:sz w:val="22"/>
          <w:szCs w:val="22"/>
        </w:rPr>
      </w:pPr>
      <w:r w:rsidRPr="00C72762">
        <w:rPr>
          <w:rFonts w:ascii="Aptos" w:eastAsia="Times New Roman" w:hAnsi="Aptos" w:cs="Calibri"/>
          <w:sz w:val="22"/>
          <w:szCs w:val="22"/>
        </w:rPr>
        <w:t>align emissions intensity trajectories for priority materials</w:t>
      </w:r>
    </w:p>
    <w:p w14:paraId="45F1DCCE" w14:textId="77777777" w:rsidR="00CD7F90" w:rsidRPr="00C72762" w:rsidRDefault="00CD7F90" w:rsidP="00CD7F90">
      <w:pPr>
        <w:numPr>
          <w:ilvl w:val="0"/>
          <w:numId w:val="23"/>
        </w:numPr>
        <w:spacing w:line="276" w:lineRule="auto"/>
        <w:rPr>
          <w:rFonts w:ascii="Aptos" w:eastAsia="Times New Roman" w:hAnsi="Aptos" w:cs="Calibri"/>
          <w:sz w:val="22"/>
          <w:szCs w:val="22"/>
        </w:rPr>
      </w:pPr>
      <w:r w:rsidRPr="00C72762">
        <w:rPr>
          <w:rFonts w:ascii="Aptos" w:eastAsia="Times New Roman" w:hAnsi="Aptos" w:cs="Calibri"/>
          <w:sz w:val="22"/>
          <w:szCs w:val="22"/>
        </w:rPr>
        <w:t>coordinate domestic policy settings that affect those supply chains</w:t>
      </w:r>
    </w:p>
    <w:p w14:paraId="6AB0B5E8" w14:textId="77777777" w:rsidR="00CD7F90" w:rsidRPr="00C72762" w:rsidRDefault="00CD7F90" w:rsidP="00CD7F90">
      <w:pPr>
        <w:numPr>
          <w:ilvl w:val="0"/>
          <w:numId w:val="23"/>
        </w:numPr>
        <w:spacing w:line="276" w:lineRule="auto"/>
        <w:rPr>
          <w:rFonts w:ascii="Aptos" w:eastAsia="Times New Roman" w:hAnsi="Aptos" w:cs="Calibri"/>
          <w:sz w:val="22"/>
          <w:szCs w:val="22"/>
        </w:rPr>
      </w:pPr>
      <w:r w:rsidRPr="00C72762">
        <w:rPr>
          <w:rFonts w:ascii="Aptos" w:eastAsia="Times New Roman" w:hAnsi="Aptos" w:cs="Calibri"/>
          <w:sz w:val="22"/>
          <w:szCs w:val="22"/>
        </w:rPr>
        <w:t>co-deploy public finance and risk-sharing tools</w:t>
      </w:r>
    </w:p>
    <w:p w14:paraId="183F803E" w14:textId="77777777" w:rsidR="00CD7F90" w:rsidRPr="00C72762" w:rsidRDefault="00CD7F90" w:rsidP="00CD7F90">
      <w:pPr>
        <w:numPr>
          <w:ilvl w:val="0"/>
          <w:numId w:val="23"/>
        </w:numPr>
        <w:spacing w:line="276" w:lineRule="auto"/>
        <w:rPr>
          <w:rFonts w:ascii="Aptos" w:eastAsia="Times New Roman" w:hAnsi="Aptos" w:cs="Calibri"/>
          <w:sz w:val="22"/>
          <w:szCs w:val="22"/>
        </w:rPr>
      </w:pPr>
      <w:r w:rsidRPr="00C72762">
        <w:rPr>
          <w:rFonts w:ascii="Aptos" w:eastAsia="Times New Roman" w:hAnsi="Aptos" w:cs="Calibri"/>
          <w:sz w:val="22"/>
          <w:szCs w:val="22"/>
        </w:rPr>
        <w:t>work toward common standards and certification for low-emissions materials.</w:t>
      </w:r>
    </w:p>
    <w:p w14:paraId="572780C5" w14:textId="77777777" w:rsidR="00CD7F90" w:rsidRPr="00C72762" w:rsidRDefault="00CD7F90" w:rsidP="00CD7F90">
      <w:pPr>
        <w:spacing w:line="276" w:lineRule="auto"/>
        <w:rPr>
          <w:rFonts w:ascii="Aptos" w:eastAsia="Times New Roman" w:hAnsi="Aptos" w:cs="Calibri"/>
          <w:b/>
          <w:sz w:val="22"/>
          <w:szCs w:val="22"/>
        </w:rPr>
      </w:pPr>
      <w:r w:rsidRPr="00C72762">
        <w:rPr>
          <w:rFonts w:ascii="Aptos" w:eastAsia="Times New Roman" w:hAnsi="Aptos" w:cs="Calibri"/>
          <w:b/>
          <w:sz w:val="22"/>
          <w:szCs w:val="22"/>
        </w:rPr>
        <w:t>Role of industry</w:t>
      </w:r>
    </w:p>
    <w:p w14:paraId="2183F2E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Industry would participate as delivery partners, through:</w:t>
      </w:r>
    </w:p>
    <w:p w14:paraId="5E09C8D4" w14:textId="77777777" w:rsidR="00CD7F90" w:rsidRPr="00C72762" w:rsidRDefault="00CD7F90" w:rsidP="00CD7F90">
      <w:pPr>
        <w:numPr>
          <w:ilvl w:val="0"/>
          <w:numId w:val="24"/>
        </w:numPr>
        <w:spacing w:line="276" w:lineRule="auto"/>
        <w:rPr>
          <w:rFonts w:ascii="Aptos" w:eastAsia="Times New Roman" w:hAnsi="Aptos" w:cs="Calibri"/>
          <w:sz w:val="22"/>
          <w:szCs w:val="22"/>
        </w:rPr>
      </w:pPr>
      <w:r w:rsidRPr="00C72762">
        <w:rPr>
          <w:rFonts w:ascii="Aptos" w:eastAsia="Times New Roman" w:hAnsi="Aptos" w:cs="Calibri"/>
          <w:sz w:val="22"/>
          <w:szCs w:val="22"/>
        </w:rPr>
        <w:t>investment plans aligned to the deal</w:t>
      </w:r>
    </w:p>
    <w:p w14:paraId="386A491A" w14:textId="77777777" w:rsidR="00CD7F90" w:rsidRPr="00C72762" w:rsidRDefault="00CD7F90" w:rsidP="00CD7F90">
      <w:pPr>
        <w:numPr>
          <w:ilvl w:val="0"/>
          <w:numId w:val="24"/>
        </w:numPr>
        <w:spacing w:line="276" w:lineRule="auto"/>
        <w:rPr>
          <w:rFonts w:ascii="Aptos" w:eastAsia="Times New Roman" w:hAnsi="Aptos" w:cs="Calibri"/>
          <w:sz w:val="22"/>
          <w:szCs w:val="22"/>
        </w:rPr>
      </w:pPr>
      <w:r w:rsidRPr="00C72762">
        <w:rPr>
          <w:rFonts w:ascii="Aptos" w:eastAsia="Times New Roman" w:hAnsi="Aptos" w:cs="Calibri"/>
          <w:sz w:val="22"/>
          <w:szCs w:val="22"/>
        </w:rPr>
        <w:t>project pipelines</w:t>
      </w:r>
    </w:p>
    <w:p w14:paraId="60834D59" w14:textId="77777777" w:rsidR="00CD7F90" w:rsidRPr="00C72762" w:rsidRDefault="00CD7F90" w:rsidP="00CD7F90">
      <w:pPr>
        <w:numPr>
          <w:ilvl w:val="0"/>
          <w:numId w:val="24"/>
        </w:numPr>
        <w:spacing w:line="276" w:lineRule="auto"/>
        <w:rPr>
          <w:rFonts w:ascii="Aptos" w:eastAsia="Times New Roman" w:hAnsi="Aptos" w:cs="Calibri"/>
          <w:sz w:val="22"/>
          <w:szCs w:val="22"/>
        </w:rPr>
      </w:pPr>
      <w:r w:rsidRPr="00C72762">
        <w:rPr>
          <w:rFonts w:ascii="Aptos" w:eastAsia="Times New Roman" w:hAnsi="Aptos" w:cs="Calibri"/>
          <w:sz w:val="22"/>
          <w:szCs w:val="22"/>
        </w:rPr>
        <w:t>reporting against agreed emissions metrics.</w:t>
      </w:r>
    </w:p>
    <w:p w14:paraId="283B468B" w14:textId="77777777" w:rsidR="00CD7F90" w:rsidRPr="00C72762" w:rsidRDefault="00CD7F90" w:rsidP="00CD7F90">
      <w:pPr>
        <w:spacing w:line="276" w:lineRule="auto"/>
        <w:rPr>
          <w:rFonts w:ascii="Aptos" w:eastAsia="Times New Roman" w:hAnsi="Aptos" w:cs="Calibri"/>
          <w:b/>
          <w:sz w:val="22"/>
          <w:szCs w:val="22"/>
        </w:rPr>
      </w:pPr>
    </w:p>
    <w:p w14:paraId="0821A0F9" w14:textId="77777777" w:rsidR="00CD7F90" w:rsidRDefault="00CD7F90">
      <w:pPr>
        <w:spacing w:before="0" w:after="160" w:line="279" w:lineRule="auto"/>
        <w:rPr>
          <w:rFonts w:eastAsiaTheme="majorEastAsia" w:cstheme="majorBidi"/>
          <w:b/>
          <w:color w:val="00679F"/>
          <w:sz w:val="76"/>
          <w:szCs w:val="40"/>
        </w:rPr>
      </w:pPr>
      <w:r>
        <w:br w:type="page"/>
      </w:r>
    </w:p>
    <w:p w14:paraId="050E1BF7" w14:textId="0736702C" w:rsidR="00CD7F90" w:rsidRPr="00C72762" w:rsidRDefault="00CD7F90" w:rsidP="00CD7F90">
      <w:pPr>
        <w:pStyle w:val="L1Heading"/>
      </w:pPr>
      <w:bookmarkStart w:id="23" w:name="_Toc224740975"/>
      <w:r w:rsidRPr="00C72762">
        <w:lastRenderedPageBreak/>
        <w:t>Conclusion</w:t>
      </w:r>
      <w:bookmarkEnd w:id="23"/>
    </w:p>
    <w:p w14:paraId="09538190"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Australia’s presidency of COP31 negotiations is not simply a convening role. It is an opportunity to lead the world from ambition to action. </w:t>
      </w:r>
    </w:p>
    <w:p w14:paraId="639E38F1" w14:textId="7C44518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The next 5 years will determine:</w:t>
      </w:r>
    </w:p>
    <w:p w14:paraId="47FB6844" w14:textId="23668C74"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Pr>
          <w:rFonts w:ascii="Aptos" w:eastAsia="Times New Roman" w:hAnsi="Aptos" w:cs="Calibri"/>
          <w:sz w:val="22"/>
          <w:szCs w:val="22"/>
        </w:rPr>
        <w:t>w</w:t>
      </w:r>
      <w:r w:rsidRPr="00C72762">
        <w:rPr>
          <w:rFonts w:ascii="Aptos" w:eastAsia="Times New Roman" w:hAnsi="Aptos" w:cs="Calibri"/>
          <w:sz w:val="22"/>
          <w:szCs w:val="22"/>
        </w:rPr>
        <w:t>hether emissions reductions occur smoothly or through disruptive shocks</w:t>
      </w:r>
    </w:p>
    <w:p w14:paraId="12DBD611" w14:textId="695DBD5D"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Pr>
          <w:rFonts w:ascii="Aptos" w:eastAsia="Times New Roman" w:hAnsi="Aptos" w:cs="Calibri"/>
          <w:sz w:val="22"/>
          <w:szCs w:val="22"/>
        </w:rPr>
        <w:t>w</w:t>
      </w:r>
      <w:r w:rsidRPr="00C72762">
        <w:rPr>
          <w:rFonts w:ascii="Aptos" w:eastAsia="Times New Roman" w:hAnsi="Aptos" w:cs="Calibri"/>
          <w:sz w:val="22"/>
          <w:szCs w:val="22"/>
        </w:rPr>
        <w:t>hether regions dependent on emissions-intensive industries experience managed transition or sudden decline</w:t>
      </w:r>
    </w:p>
    <w:p w14:paraId="16B00A18"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Pr>
          <w:rFonts w:ascii="Aptos" w:eastAsia="Times New Roman" w:hAnsi="Aptos" w:cs="Calibri"/>
          <w:sz w:val="22"/>
          <w:szCs w:val="22"/>
        </w:rPr>
        <w:t>w</w:t>
      </w:r>
      <w:r w:rsidRPr="00C72762">
        <w:rPr>
          <w:rFonts w:ascii="Aptos" w:eastAsia="Times New Roman" w:hAnsi="Aptos" w:cs="Calibri"/>
          <w:sz w:val="22"/>
          <w:szCs w:val="22"/>
        </w:rPr>
        <w:t>hether Australia captures early-mover advantages or adjusts to rules set by others.</w:t>
      </w:r>
    </w:p>
    <w:p w14:paraId="7A7FEBDE"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COP31 offers a narrow but powerful window to shape the rules of the next phase.</w:t>
      </w:r>
    </w:p>
    <w:p w14:paraId="1888A9D9" w14:textId="635DA66D" w:rsidR="00CD7F90" w:rsidRPr="00C72762" w:rsidRDefault="00CD7F90" w:rsidP="00CD7F90">
      <w:pPr>
        <w:spacing w:line="276" w:lineRule="auto"/>
        <w:rPr>
          <w:rFonts w:ascii="Aptos" w:eastAsia="Times New Roman" w:hAnsi="Aptos" w:cs="Calibri"/>
          <w:sz w:val="22"/>
          <w:szCs w:val="22"/>
        </w:rPr>
      </w:pPr>
      <w:hyperlink r:id="rId23" w:anchor="page=99" w:history="1">
        <w:r w:rsidRPr="00AA1852">
          <w:rPr>
            <w:rStyle w:val="Hyperlink"/>
            <w:rFonts w:ascii="Aptos" w:eastAsia="Times New Roman" w:hAnsi="Aptos" w:cs="Calibri"/>
            <w:sz w:val="22"/>
            <w:szCs w:val="22"/>
          </w:rPr>
          <w:t>Part 4 of the Authority’s 2035 Targets Advice</w:t>
        </w:r>
      </w:hyperlink>
      <w:r w:rsidRPr="00C72762">
        <w:rPr>
          <w:rFonts w:ascii="Aptos" w:eastAsia="Times New Roman" w:hAnsi="Aptos" w:cs="Calibri"/>
          <w:sz w:val="22"/>
          <w:szCs w:val="22"/>
        </w:rPr>
        <w:t xml:space="preserve"> laid the conceptual foundations for decarbonisation deals. Global developments since have supplied the momentum. What is now required is political leadership and practical action.</w:t>
      </w:r>
    </w:p>
    <w:p w14:paraId="4DE8A998" w14:textId="602A27E6"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As incoming COP President of Negotiations, Australia can shape COP31 around a practical, investor-credible agenda that helps countries move faster at lower cost, while supporting regional jobs and managing the transition from emissions-intensive exports to clean alternatives. The benefits extend well beyond Australia and would be a major contribution to advancing global cooperation and climate progress. </w:t>
      </w:r>
    </w:p>
    <w:p w14:paraId="71BF1C29" w14:textId="7832311C" w:rsidR="00CD7F90" w:rsidRPr="00C72762" w:rsidRDefault="00250B46" w:rsidP="00CD7F90">
      <w:pPr>
        <w:spacing w:line="276" w:lineRule="auto"/>
        <w:rPr>
          <w:rFonts w:ascii="Aptos" w:eastAsia="Times New Roman" w:hAnsi="Aptos" w:cs="Calibri"/>
          <w:sz w:val="22"/>
          <w:szCs w:val="22"/>
        </w:rPr>
      </w:pPr>
      <w:r>
        <w:rPr>
          <w:noProof/>
        </w:rPr>
        <mc:AlternateContent>
          <mc:Choice Requires="wps">
            <w:drawing>
              <wp:anchor distT="0" distB="0" distL="114300" distR="114300" simplePos="0" relativeHeight="251802624" behindDoc="0" locked="0" layoutInCell="1" allowOverlap="1" wp14:anchorId="5E65D693" wp14:editId="030E07DA">
                <wp:simplePos x="0" y="0"/>
                <wp:positionH relativeFrom="column">
                  <wp:posOffset>-2952487</wp:posOffset>
                </wp:positionH>
                <wp:positionV relativeFrom="paragraph">
                  <wp:posOffset>509161</wp:posOffset>
                </wp:positionV>
                <wp:extent cx="5974715" cy="5476240"/>
                <wp:effectExtent l="0" t="0" r="26035" b="10160"/>
                <wp:wrapNone/>
                <wp:docPr id="1192310438" name="Circle: Hollow 8"/>
                <wp:cNvGraphicFramePr/>
                <a:graphic xmlns:a="http://schemas.openxmlformats.org/drawingml/2006/main">
                  <a:graphicData uri="http://schemas.microsoft.com/office/word/2010/wordprocessingShape">
                    <wps:wsp>
                      <wps:cNvSpPr/>
                      <wps:spPr>
                        <a:xfrm>
                          <a:off x="0" y="0"/>
                          <a:ext cx="5974715" cy="5476240"/>
                        </a:xfrm>
                        <a:prstGeom prst="donut">
                          <a:avLst/>
                        </a:prstGeom>
                        <a:solidFill>
                          <a:srgbClr val="FD904D"/>
                        </a:solidFill>
                        <a:ln>
                          <a:solidFill>
                            <a:srgbClr val="FD904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7EE97" id="Circle: Hollow 8" o:spid="_x0000_s1026" type="#_x0000_t23" style="position:absolute;margin-left:-232.5pt;margin-top:40.1pt;width:470.45pt;height:431.2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" adj="4949" fillcolor="#fd904d" strokecolor="#fd904d" strokeweight="1pt">
                <v:stroke joinstyle="miter"/>
              </v:shape>
            </w:pict>
          </mc:Fallback>
        </mc:AlternateContent>
      </w:r>
      <w:r w:rsidR="00CD7F90" w:rsidRPr="00C72762">
        <w:rPr>
          <w:rFonts w:ascii="Aptos" w:eastAsia="Times New Roman" w:hAnsi="Aptos" w:cs="Calibri"/>
          <w:sz w:val="22"/>
          <w:szCs w:val="22"/>
        </w:rPr>
        <w:t>The Climate Change Authority stands ready to support the Minister in shaping and delivering this agenda.</w:t>
      </w:r>
    </w:p>
    <w:p w14:paraId="2EDB64C4" w14:textId="4F86A588" w:rsidR="00397223" w:rsidRPr="004F135F" w:rsidRDefault="00250B46" w:rsidP="00397223">
      <w:r>
        <w:rPr>
          <w:noProof/>
        </w:rPr>
        <w:drawing>
          <wp:anchor distT="0" distB="0" distL="114300" distR="114300" simplePos="0" relativeHeight="251807744" behindDoc="0" locked="0" layoutInCell="1" allowOverlap="1" wp14:anchorId="7347A36E" wp14:editId="00F32EBA">
            <wp:simplePos x="0" y="0"/>
            <wp:positionH relativeFrom="column">
              <wp:posOffset>-2514578</wp:posOffset>
            </wp:positionH>
            <wp:positionV relativeFrom="paragraph">
              <wp:posOffset>465849</wp:posOffset>
            </wp:positionV>
            <wp:extent cx="5297214" cy="5030767"/>
            <wp:effectExtent l="0" t="0" r="0" b="0"/>
            <wp:wrapNone/>
            <wp:docPr id="2109507752"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507752" name="Picture 13">
                      <a:extLst>
                        <a:ext uri="{C183D7F6-B498-43B3-948B-1728B52AA6E4}">
                          <adec:decorative xmlns:adec="http://schemas.microsoft.com/office/drawing/2017/decorative" val="1"/>
                        </a:ext>
                      </a:extLst>
                    </pic:cNvPr>
                    <pic:cNvPicPr/>
                  </pic:nvPicPr>
                  <pic:blipFill rotWithShape="1">
                    <a:blip r:embed="rId24" cstate="print">
                      <a:extLst>
                        <a:ext uri="{28A0092B-C50C-407E-A947-70E740481C1C}">
                          <a14:useLocalDpi xmlns:a14="http://schemas.microsoft.com/office/drawing/2010/main" val="0"/>
                        </a:ext>
                      </a:extLst>
                    </a:blip>
                    <a:srcRect r="40768"/>
                    <a:stretch>
                      <a:fillRect/>
                    </a:stretch>
                  </pic:blipFill>
                  <pic:spPr bwMode="auto">
                    <a:xfrm>
                      <a:off x="0" y="0"/>
                      <a:ext cx="5297214" cy="5030767"/>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36871E" w14:textId="7873FCF7" w:rsidR="00397223" w:rsidRPr="004F135F" w:rsidRDefault="00397223" w:rsidP="00397223"/>
    <w:p w14:paraId="37D12FEA" w14:textId="58DDC976" w:rsidR="00CD7F90" w:rsidRDefault="00CD7F90" w:rsidP="00397223"/>
    <w:p w14:paraId="569E23BF" w14:textId="2C5CF1F7" w:rsidR="00CD7F90" w:rsidRDefault="00CD7F90">
      <w:pPr>
        <w:spacing w:before="0" w:after="160" w:line="279" w:lineRule="auto"/>
      </w:pPr>
      <w:r>
        <w:br w:type="page"/>
      </w:r>
    </w:p>
    <w:p w14:paraId="049EC909" w14:textId="77512073" w:rsidR="00397223" w:rsidRPr="004F135F" w:rsidRDefault="00CD7F90" w:rsidP="00397223">
      <w:r>
        <w:rPr>
          <w:noProof/>
        </w:rPr>
        <w:lastRenderedPageBreak/>
        <mc:AlternateContent>
          <mc:Choice Requires="wps">
            <w:drawing>
              <wp:anchor distT="0" distB="0" distL="114300" distR="114300" simplePos="0" relativeHeight="251717632" behindDoc="1" locked="0" layoutInCell="1" allowOverlap="1" wp14:anchorId="0BD2DDC9" wp14:editId="63F76CBA">
                <wp:simplePos x="0" y="0"/>
                <wp:positionH relativeFrom="column">
                  <wp:posOffset>-628650</wp:posOffset>
                </wp:positionH>
                <wp:positionV relativeFrom="paragraph">
                  <wp:posOffset>-792480</wp:posOffset>
                </wp:positionV>
                <wp:extent cx="7588333" cy="10782795"/>
                <wp:effectExtent l="0" t="0" r="12700" b="19050"/>
                <wp:wrapNone/>
                <wp:docPr id="1566977897" name="Rectangle 1"/>
                <wp:cNvGraphicFramePr/>
                <a:graphic xmlns:a="http://schemas.openxmlformats.org/drawingml/2006/main">
                  <a:graphicData uri="http://schemas.microsoft.com/office/word/2010/wordprocessingShape">
                    <wps:wsp>
                      <wps:cNvSpPr/>
                      <wps:spPr>
                        <a:xfrm>
                          <a:off x="0" y="0"/>
                          <a:ext cx="7588333" cy="10782795"/>
                        </a:xfrm>
                        <a:prstGeom prst="rect">
                          <a:avLst/>
                        </a:prstGeom>
                        <a:solidFill>
                          <a:srgbClr val="123E54"/>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67C86B" id="Rectangle 1" o:spid="_x0000_s1026" style="position:absolute;margin-left:-49.5pt;margin-top:-62.4pt;width:597.5pt;height:849.0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" fillcolor="#123e54" strokecolor="#030e13 [484]" strokeweight="1pt"/>
            </w:pict>
          </mc:Fallback>
        </mc:AlternateContent>
      </w:r>
    </w:p>
    <w:p w14:paraId="6AB2B17A" w14:textId="1EBFF95E" w:rsidR="00397223" w:rsidRPr="004F135F" w:rsidRDefault="00397223" w:rsidP="00397223"/>
    <w:p w14:paraId="5BB50C86" w14:textId="2E905714" w:rsidR="00397223" w:rsidRPr="004F135F" w:rsidRDefault="00397223" w:rsidP="00397223"/>
    <w:p w14:paraId="7A114F1A" w14:textId="3204AEDB" w:rsidR="00397223" w:rsidRPr="004F135F" w:rsidRDefault="00397223" w:rsidP="00397223"/>
    <w:p w14:paraId="03F155E1" w14:textId="13776272" w:rsidR="00397223" w:rsidRPr="004F135F" w:rsidRDefault="00397223" w:rsidP="00397223"/>
    <w:p w14:paraId="415E0D2F" w14:textId="660858D9" w:rsidR="00397223" w:rsidRPr="004F135F" w:rsidRDefault="00CD7F90" w:rsidP="00397223">
      <w:r w:rsidRPr="005926A0">
        <w:rPr>
          <w:noProof/>
        </w:rPr>
        <w:drawing>
          <wp:anchor distT="0" distB="0" distL="114300" distR="114300" simplePos="0" relativeHeight="251718656" behindDoc="0" locked="0" layoutInCell="1" allowOverlap="1" wp14:anchorId="1AA762BA" wp14:editId="0C544634">
            <wp:simplePos x="0" y="0"/>
            <wp:positionH relativeFrom="column">
              <wp:posOffset>283527</wp:posOffset>
            </wp:positionH>
            <wp:positionV relativeFrom="paragraph">
              <wp:posOffset>1597025</wp:posOffset>
            </wp:positionV>
            <wp:extent cx="5842739" cy="2473704"/>
            <wp:effectExtent l="0" t="0" r="5715" b="3175"/>
            <wp:wrapNone/>
            <wp:docPr id="361669818" name="Picture 5">
              <a:extLst xmlns:a="http://schemas.openxmlformats.org/drawingml/2006/main">
                <a:ext uri="{FF2B5EF4-FFF2-40B4-BE49-F238E27FC236}">
                  <a16:creationId xmlns:a16="http://schemas.microsoft.com/office/drawing/2014/main" id="{63A27A08-C676-0A6D-2167-763A8253DA9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69818" name="Picture 5">
                      <a:extLst>
                        <a:ext uri="{FF2B5EF4-FFF2-40B4-BE49-F238E27FC236}">
                          <a16:creationId xmlns:a16="http://schemas.microsoft.com/office/drawing/2014/main" id="{63A27A08-C676-0A6D-2167-763A8253DA9E}"/>
                        </a:ext>
                        <a:ext uri="{C183D7F6-B498-43B3-948B-1728B52AA6E4}">
                          <adec:decorative xmlns:adec="http://schemas.microsoft.com/office/drawing/2017/decorative" val="1"/>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42739" cy="2473704"/>
                    </a:xfrm>
                    <a:prstGeom prst="rect">
                      <a:avLst/>
                    </a:prstGeom>
                  </pic:spPr>
                </pic:pic>
              </a:graphicData>
            </a:graphic>
            <wp14:sizeRelH relativeFrom="margin">
              <wp14:pctWidth>0</wp14:pctWidth>
            </wp14:sizeRelH>
            <wp14:sizeRelV relativeFrom="margin">
              <wp14:pctHeight>0</wp14:pctHeight>
            </wp14:sizeRelV>
          </wp:anchor>
        </w:drawing>
      </w:r>
    </w:p>
    <w:sectPr w:rsidR="00397223" w:rsidRPr="004F135F" w:rsidSect="007D0563">
      <w:headerReference w:type="default" r:id="rId25"/>
      <w:footerReference w:type="default" r:id="rId26"/>
      <w:headerReference w:type="first" r:id="rId27"/>
      <w:pgSz w:w="11906" w:h="16838" w:code="9"/>
      <w:pgMar w:top="1135" w:right="907" w:bottom="851" w:left="907" w:header="284" w:footer="720"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8" w:author="Karuna GURUNG" w:date="2026-03-13T12:20:00Z" w:initials="KG">
    <w:p w14:paraId="4BA838F8" w14:textId="77777777" w:rsidR="00CD7F90" w:rsidRDefault="00CD7F90" w:rsidP="00CD7F90">
      <w:pPr>
        <w:pStyle w:val="CommentText"/>
      </w:pPr>
      <w:r>
        <w:rPr>
          <w:rStyle w:val="CommentReference"/>
        </w:rPr>
        <w:annotationRef/>
      </w:r>
      <w:r>
        <w:fldChar w:fldCharType="begin"/>
      </w:r>
      <w:r>
        <w:instrText>HYPERLINK "mailto:George.Sagris1@climatechangeauthority.gov.au"</w:instrText>
      </w:r>
      <w:bookmarkStart w:id="9" w:name="_@_B22429118CD1478D85CB4B36123F30BAZ"/>
      <w:r>
        <w:fldChar w:fldCharType="separate"/>
      </w:r>
      <w:bookmarkEnd w:id="9"/>
      <w:r w:rsidRPr="002675B8">
        <w:rPr>
          <w:rStyle w:val="Mention"/>
          <w:noProof/>
        </w:rPr>
        <w:t>@George SAGRIS</w:t>
      </w:r>
      <w:r>
        <w:fldChar w:fldCharType="end"/>
      </w:r>
      <w:r>
        <w:t xml:space="preserve"> - please could you check the referencing format in the footer on this page. Thanks</w:t>
      </w:r>
    </w:p>
  </w:comment>
  <w:comment w:id="20" w:author="Rebecca BERRYMAN" w:date="2026-03-12T13:34:00Z" w:initials="RB">
    <w:p w14:paraId="0F9E677A" w14:textId="77777777" w:rsidR="00CD7F90" w:rsidRDefault="00CD7F90" w:rsidP="00CD7F90">
      <w:pPr>
        <w:pStyle w:val="CommentText"/>
      </w:pPr>
      <w:r>
        <w:rPr>
          <w:rStyle w:val="CommentReference"/>
        </w:rPr>
        <w:annotationRef/>
      </w:r>
      <w:r>
        <w:t>Missing reference</w:t>
      </w:r>
    </w:p>
  </w:comment>
  <w:comment w:id="21" w:author="Karuna GURUNG" w:date="2026-03-13T12:19:00Z" w:initials="KG">
    <w:p w14:paraId="4AF45D94" w14:textId="77777777" w:rsidR="00CD7F90" w:rsidRDefault="00CD7F90" w:rsidP="00CD7F90">
      <w:pPr>
        <w:pStyle w:val="CommentText"/>
      </w:pPr>
      <w:r>
        <w:rPr>
          <w:rStyle w:val="CommentReference"/>
        </w:rPr>
        <w:annotationRef/>
      </w:r>
      <w:r>
        <w:fldChar w:fldCharType="begin"/>
      </w:r>
      <w:r>
        <w:instrText>HYPERLINK "mailto:George.Sagris1@climatechangeauthority.gov.au"</w:instrText>
      </w:r>
      <w:bookmarkStart w:id="22" w:name="_@_4D3DFE4AB0DB4CB89E64A72E17BFEE10Z"/>
      <w:r>
        <w:fldChar w:fldCharType="separate"/>
      </w:r>
      <w:bookmarkEnd w:id="22"/>
      <w:r w:rsidRPr="002675B8">
        <w:rPr>
          <w:rStyle w:val="Mention"/>
          <w:noProof/>
        </w:rPr>
        <w:t>@George SAGRIS</w:t>
      </w:r>
      <w:r>
        <w:fldChar w:fldCharType="end"/>
      </w:r>
      <w:r>
        <w:t xml:space="preserve"> be grateful for your review of this. Thanks!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BA838F8" w15:done="1"/>
  <w15:commentEx w15:paraId="0F9E677A" w15:done="1"/>
  <w15:commentEx w15:paraId="4AF45D94" w15:paraIdParent="0F9E677A"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49F69708" w16cex:dateUtc="2026-03-13T01:20:00Z"/>
  <w16cex:commentExtensible w16cex:durableId="4632D2FA" w16cex:dateUtc="2026-03-12T02:34:00Z"/>
  <w16cex:commentExtensible w16cex:durableId="4852C4EA" w16cex:dateUtc="2026-03-13T01:1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BA838F8" w16cid:durableId="49F69708"/>
  <w16cid:commentId w16cid:paraId="0F9E677A" w16cid:durableId="4632D2FA"/>
  <w16cid:commentId w16cid:paraId="4AF45D94" w16cid:durableId="4852C4E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716069" w14:textId="77777777" w:rsidR="00D4458E" w:rsidRPr="005008D7" w:rsidRDefault="00D4458E" w:rsidP="00B91D00">
      <w:pPr>
        <w:spacing w:after="0" w:line="240" w:lineRule="auto"/>
      </w:pPr>
      <w:r w:rsidRPr="005008D7">
        <w:separator/>
      </w:r>
    </w:p>
  </w:endnote>
  <w:endnote w:type="continuationSeparator" w:id="0">
    <w:p w14:paraId="7F1027CE" w14:textId="77777777" w:rsidR="00D4458E" w:rsidRPr="005008D7" w:rsidRDefault="00D4458E" w:rsidP="00B91D00">
      <w:pPr>
        <w:spacing w:after="0" w:line="240" w:lineRule="auto"/>
      </w:pPr>
      <w:r w:rsidRPr="005008D7">
        <w:continuationSeparator/>
      </w:r>
    </w:p>
  </w:endnote>
  <w:endnote w:type="continuationNotice" w:id="1">
    <w:p w14:paraId="4441CE05" w14:textId="77777777" w:rsidR="00D4458E" w:rsidRPr="005008D7" w:rsidRDefault="00D4458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NeueLT Std Lt">
    <w:panose1 w:val="00000000000000000000"/>
    <w:charset w:val="00"/>
    <w:family w:val="swiss"/>
    <w:notTrueType/>
    <w:pitch w:val="variable"/>
    <w:sig w:usb0="800000AF" w:usb1="4000204A" w:usb2="00000000" w:usb3="00000000" w:csb0="00000001" w:csb1="00000000"/>
  </w:font>
  <w:font w:name="HelveticaNeueLT Std">
    <w:altName w:val="Arial"/>
    <w:panose1 w:val="00000000000000000000"/>
    <w:charset w:val="00"/>
    <w:family w:val="swiss"/>
    <w:notTrueType/>
    <w:pitch w:val="variable"/>
    <w:sig w:usb0="800000AF" w:usb1="4000204A"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Myriad Pro">
    <w:altName w:val="Corbel"/>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0073F" w14:textId="1F5F1EE5" w:rsidR="003130F5" w:rsidRPr="005008D7" w:rsidRDefault="003130F5" w:rsidP="00824EF1">
    <w:pPr>
      <w:pStyle w:val="Footer"/>
      <w:jc w:val="right"/>
      <w:rPr>
        <w:b/>
        <w:bCs/>
        <w:color w:val="4D4D4D"/>
        <w:sz w:val="21"/>
        <w:szCs w:val="2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1ED2EF" w14:textId="77777777" w:rsidR="00D4458E" w:rsidRPr="005008D7" w:rsidRDefault="00D4458E" w:rsidP="00B91D00">
      <w:pPr>
        <w:spacing w:after="0" w:line="240" w:lineRule="auto"/>
      </w:pPr>
      <w:r w:rsidRPr="005008D7">
        <w:separator/>
      </w:r>
    </w:p>
  </w:footnote>
  <w:footnote w:type="continuationSeparator" w:id="0">
    <w:p w14:paraId="10E5CB1C" w14:textId="77777777" w:rsidR="00D4458E" w:rsidRPr="005008D7" w:rsidRDefault="00D4458E" w:rsidP="00B91D00">
      <w:pPr>
        <w:spacing w:after="0" w:line="240" w:lineRule="auto"/>
      </w:pPr>
      <w:r w:rsidRPr="005008D7">
        <w:continuationSeparator/>
      </w:r>
    </w:p>
  </w:footnote>
  <w:footnote w:type="continuationNotice" w:id="1">
    <w:p w14:paraId="526FC787" w14:textId="77777777" w:rsidR="00D4458E" w:rsidRPr="005008D7" w:rsidRDefault="00D4458E">
      <w:pPr>
        <w:spacing w:after="0" w:line="240" w:lineRule="auto"/>
      </w:pPr>
    </w:p>
  </w:footnote>
  <w:footnote w:id="2">
    <w:p w14:paraId="134697E6" w14:textId="77777777" w:rsidR="00CD7F90" w:rsidRDefault="00CD7F90" w:rsidP="00CD7F90">
      <w:pPr>
        <w:pStyle w:val="FootnoteText"/>
      </w:pPr>
      <w:r>
        <w:rPr>
          <w:rStyle w:val="FootnoteReference"/>
        </w:rPr>
        <w:footnoteRef/>
      </w:r>
      <w:r>
        <w:t xml:space="preserve"> </w:t>
      </w:r>
      <w:hyperlink r:id="rId1" w:history="1">
        <w:r w:rsidRPr="00670A03">
          <w:rPr>
            <w:rStyle w:val="Hyperlink"/>
          </w:rPr>
          <w:t>COP to be hosted by Türkiye with Australia leading negotiations | Australian Minister for Foreign Affairs</w:t>
        </w:r>
      </w:hyperlink>
    </w:p>
  </w:footnote>
  <w:footnote w:id="3">
    <w:p w14:paraId="1BB6E1B1" w14:textId="77777777" w:rsidR="00CD7F90" w:rsidRDefault="00CD7F90" w:rsidP="00CD7F90">
      <w:pPr>
        <w:pStyle w:val="FootnoteText"/>
      </w:pPr>
      <w:r>
        <w:rPr>
          <w:rStyle w:val="FootnoteReference"/>
        </w:rPr>
        <w:footnoteRef/>
      </w:r>
      <w:r>
        <w:t xml:space="preserve"> At the time of writing, </w:t>
      </w:r>
      <w:r w:rsidRPr="00B514E1">
        <w:t>40 of the ROK’s 61 existing coal power plants are confirmed for phase out by 2040. Phase out date for remaining 21 is expected to be confirmed this year following public consultation.</w:t>
      </w:r>
      <w:r>
        <w:t xml:space="preserve"> (</w:t>
      </w:r>
      <w:r w:rsidRPr="004031B9">
        <w:t>Powering Past Coal Alliance</w:t>
      </w:r>
      <w:r>
        <w:t xml:space="preserve">, </w:t>
      </w:r>
      <w:hyperlink r:id="rId2" w:history="1">
        <w:r w:rsidRPr="00E503E9">
          <w:rPr>
            <w:rStyle w:val="Hyperlink"/>
          </w:rPr>
          <w:t>2025</w:t>
        </w:r>
      </w:hyperlink>
      <w:r>
        <w:t>)</w:t>
      </w:r>
    </w:p>
  </w:footnote>
  <w:footnote w:id="4">
    <w:p w14:paraId="51FCFE7E" w14:textId="77777777" w:rsidR="00CD7F90" w:rsidRPr="003F160F" w:rsidRDefault="00CD7F90" w:rsidP="00CD7F90">
      <w:pPr>
        <w:pStyle w:val="FootnoteText"/>
        <w:rPr>
          <w:b/>
          <w:bCs/>
        </w:rPr>
      </w:pPr>
      <w:r>
        <w:rPr>
          <w:rStyle w:val="FootnoteReference"/>
        </w:rPr>
        <w:footnoteRef/>
      </w:r>
      <w:r>
        <w:t xml:space="preserve"> </w:t>
      </w:r>
      <w:r w:rsidRPr="00172138">
        <w:t>Colombia's president Gustavo Petro ordered an end to new hydrocarbon exploration and production contracts soon after taking office in August 2022</w:t>
      </w:r>
      <w:r>
        <w:t>, and i</w:t>
      </w:r>
      <w:r w:rsidRPr="00DF7C27">
        <w:t>n December 2023 became the first major fossil-producing nation to </w:t>
      </w:r>
      <w:r w:rsidRPr="004031B9">
        <w:t>join</w:t>
      </w:r>
      <w:r w:rsidRPr="00DF7C27">
        <w:t> the Fossil Fuel Non-Proliferation Treaty Initiative</w:t>
      </w:r>
      <w:r w:rsidRPr="00B20BE5">
        <w:t xml:space="preserve"> (</w:t>
      </w:r>
      <w:r>
        <w:t xml:space="preserve">Fossil Fuel Treaty, </w:t>
      </w:r>
      <w:hyperlink r:id="rId3" w:history="1">
        <w:r w:rsidRPr="0096272B">
          <w:rPr>
            <w:rStyle w:val="Hyperlink"/>
          </w:rPr>
          <w:t>2023</w:t>
        </w:r>
      </w:hyperlink>
      <w:r>
        <w:t xml:space="preserve">; NPR, </w:t>
      </w:r>
      <w:hyperlink r:id="rId4" w:history="1">
        <w:r w:rsidRPr="00081B50">
          <w:rPr>
            <w:rStyle w:val="Hyperlink"/>
          </w:rPr>
          <w:t>2025</w:t>
        </w:r>
      </w:hyperlink>
      <w:r w:rsidRPr="00AE11AC">
        <w:t>)</w:t>
      </w:r>
      <w:r w:rsidRPr="00172138">
        <w:t>.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7EFE7B" w14:textId="33ED7AE5" w:rsidR="00524321" w:rsidRPr="00BE6F89" w:rsidRDefault="00BE6F89" w:rsidP="00BE6F89">
    <w:pPr>
      <w:spacing w:after="0"/>
      <w:jc w:val="center"/>
      <w:rPr>
        <w:rFonts w:ascii="Calibri" w:eastAsia="Calibri" w:hAnsi="Calibri" w:cs="Calibri"/>
        <w:color w:val="FF0000"/>
      </w:rPr>
    </w:pPr>
    <w:r w:rsidRPr="007D0563">
      <w:rPr>
        <w:rFonts w:ascii="Calibri" w:eastAsia="Calibri" w:hAnsi="Calibri" w:cs="Calibri"/>
        <w:color w:val="FF0000"/>
      </w:rPr>
      <w:t>OFFICIAL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992705" w14:textId="38906BDF" w:rsidR="001217DA" w:rsidRDefault="001217D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A0499"/>
    <w:multiLevelType w:val="hybridMultilevel"/>
    <w:tmpl w:val="401C0514"/>
    <w:lvl w:ilvl="0" w:tplc="2FC04668">
      <w:start w:val="1"/>
      <w:numFmt w:val="decimal"/>
      <w:lvlText w:val="%1."/>
      <w:lvlJc w:val="left"/>
      <w:pPr>
        <w:ind w:left="1020" w:hanging="360"/>
      </w:pPr>
    </w:lvl>
    <w:lvl w:ilvl="1" w:tplc="796EFFE4">
      <w:start w:val="1"/>
      <w:numFmt w:val="decimal"/>
      <w:lvlText w:val="%2."/>
      <w:lvlJc w:val="left"/>
      <w:pPr>
        <w:ind w:left="1020" w:hanging="360"/>
      </w:pPr>
    </w:lvl>
    <w:lvl w:ilvl="2" w:tplc="682244D6">
      <w:start w:val="1"/>
      <w:numFmt w:val="decimal"/>
      <w:lvlText w:val="%3."/>
      <w:lvlJc w:val="left"/>
      <w:pPr>
        <w:ind w:left="1020" w:hanging="360"/>
      </w:pPr>
    </w:lvl>
    <w:lvl w:ilvl="3" w:tplc="28443244">
      <w:start w:val="1"/>
      <w:numFmt w:val="decimal"/>
      <w:lvlText w:val="%4."/>
      <w:lvlJc w:val="left"/>
      <w:pPr>
        <w:ind w:left="1020" w:hanging="360"/>
      </w:pPr>
    </w:lvl>
    <w:lvl w:ilvl="4" w:tplc="A0FA4240">
      <w:start w:val="1"/>
      <w:numFmt w:val="decimal"/>
      <w:lvlText w:val="%5."/>
      <w:lvlJc w:val="left"/>
      <w:pPr>
        <w:ind w:left="1020" w:hanging="360"/>
      </w:pPr>
    </w:lvl>
    <w:lvl w:ilvl="5" w:tplc="16FE838E">
      <w:start w:val="1"/>
      <w:numFmt w:val="decimal"/>
      <w:lvlText w:val="%6."/>
      <w:lvlJc w:val="left"/>
      <w:pPr>
        <w:ind w:left="1020" w:hanging="360"/>
      </w:pPr>
    </w:lvl>
    <w:lvl w:ilvl="6" w:tplc="62F6D220">
      <w:start w:val="1"/>
      <w:numFmt w:val="decimal"/>
      <w:lvlText w:val="%7."/>
      <w:lvlJc w:val="left"/>
      <w:pPr>
        <w:ind w:left="1020" w:hanging="360"/>
      </w:pPr>
    </w:lvl>
    <w:lvl w:ilvl="7" w:tplc="B85C3B2E">
      <w:start w:val="1"/>
      <w:numFmt w:val="decimal"/>
      <w:lvlText w:val="%8."/>
      <w:lvlJc w:val="left"/>
      <w:pPr>
        <w:ind w:left="1020" w:hanging="360"/>
      </w:pPr>
    </w:lvl>
    <w:lvl w:ilvl="8" w:tplc="B28E7FE8">
      <w:start w:val="1"/>
      <w:numFmt w:val="decimal"/>
      <w:lvlText w:val="%9."/>
      <w:lvlJc w:val="left"/>
      <w:pPr>
        <w:ind w:left="1020" w:hanging="360"/>
      </w:pPr>
    </w:lvl>
  </w:abstractNum>
  <w:abstractNum w:abstractNumId="1" w15:restartNumberingAfterBreak="0">
    <w:nsid w:val="08B66E4A"/>
    <w:multiLevelType w:val="multilevel"/>
    <w:tmpl w:val="40DCB5BC"/>
    <w:lvl w:ilvl="0">
      <w:start w:val="1"/>
      <w:numFmt w:val="decimal"/>
      <w:lvlText w:val="%1."/>
      <w:lvlJc w:val="left"/>
      <w:pPr>
        <w:ind w:left="360" w:hanging="360"/>
      </w:pPr>
    </w:lvl>
    <w:lvl w:ilvl="1">
      <w:start w:val="1"/>
      <w:numFmt w:val="bullet"/>
      <w:pStyle w:val="sub-bulletpoint"/>
      <w:lvlText w:val=""/>
      <w:lvlJc w:val="left"/>
      <w:pPr>
        <w:ind w:left="858"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C536B0F"/>
    <w:multiLevelType w:val="hybridMultilevel"/>
    <w:tmpl w:val="9F5896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14C4C94"/>
    <w:multiLevelType w:val="multilevel"/>
    <w:tmpl w:val="27EAA4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943D04"/>
    <w:multiLevelType w:val="multilevel"/>
    <w:tmpl w:val="1A5816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347EBA"/>
    <w:multiLevelType w:val="hybridMultilevel"/>
    <w:tmpl w:val="F008E5CC"/>
    <w:lvl w:ilvl="0" w:tplc="0C09001B">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244772DF"/>
    <w:multiLevelType w:val="hybridMultilevel"/>
    <w:tmpl w:val="691E07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4714A08"/>
    <w:multiLevelType w:val="hybridMultilevel"/>
    <w:tmpl w:val="B0BC8C0A"/>
    <w:styleLink w:val="ListQuestionsMaster"/>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6B22F3D"/>
    <w:multiLevelType w:val="multilevel"/>
    <w:tmpl w:val="F774E0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667520D"/>
    <w:multiLevelType w:val="hybridMultilevel"/>
    <w:tmpl w:val="024A446A"/>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7F907AE"/>
    <w:multiLevelType w:val="hybridMultilevel"/>
    <w:tmpl w:val="6A327248"/>
    <w:lvl w:ilvl="0" w:tplc="A476F68E">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8AA5C83"/>
    <w:multiLevelType w:val="hybridMultilevel"/>
    <w:tmpl w:val="4E06B0B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A240E85"/>
    <w:multiLevelType w:val="multilevel"/>
    <w:tmpl w:val="577C93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C7B3D4C"/>
    <w:multiLevelType w:val="multilevel"/>
    <w:tmpl w:val="84E81A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D0C0160"/>
    <w:multiLevelType w:val="hybridMultilevel"/>
    <w:tmpl w:val="BFC6B56C"/>
    <w:lvl w:ilvl="0" w:tplc="95382E1A">
      <w:start w:val="1"/>
      <w:numFmt w:val="bullet"/>
      <w:lvlText w:val=""/>
      <w:lvlJc w:val="left"/>
      <w:pPr>
        <w:ind w:left="720" w:hanging="360"/>
      </w:pPr>
      <w:rPr>
        <w:rFonts w:ascii="Symbol" w:hAnsi="Symbol"/>
      </w:rPr>
    </w:lvl>
    <w:lvl w:ilvl="1" w:tplc="1CE28052">
      <w:start w:val="1"/>
      <w:numFmt w:val="bullet"/>
      <w:lvlText w:val=""/>
      <w:lvlJc w:val="left"/>
      <w:pPr>
        <w:ind w:left="720" w:hanging="360"/>
      </w:pPr>
      <w:rPr>
        <w:rFonts w:ascii="Symbol" w:hAnsi="Symbol"/>
      </w:rPr>
    </w:lvl>
    <w:lvl w:ilvl="2" w:tplc="57EEB626">
      <w:start w:val="1"/>
      <w:numFmt w:val="bullet"/>
      <w:lvlText w:val=""/>
      <w:lvlJc w:val="left"/>
      <w:pPr>
        <w:ind w:left="720" w:hanging="360"/>
      </w:pPr>
      <w:rPr>
        <w:rFonts w:ascii="Symbol" w:hAnsi="Symbol"/>
      </w:rPr>
    </w:lvl>
    <w:lvl w:ilvl="3" w:tplc="7D18768E">
      <w:start w:val="1"/>
      <w:numFmt w:val="bullet"/>
      <w:lvlText w:val=""/>
      <w:lvlJc w:val="left"/>
      <w:pPr>
        <w:ind w:left="720" w:hanging="360"/>
      </w:pPr>
      <w:rPr>
        <w:rFonts w:ascii="Symbol" w:hAnsi="Symbol"/>
      </w:rPr>
    </w:lvl>
    <w:lvl w:ilvl="4" w:tplc="8EDCF19C">
      <w:start w:val="1"/>
      <w:numFmt w:val="bullet"/>
      <w:lvlText w:val=""/>
      <w:lvlJc w:val="left"/>
      <w:pPr>
        <w:ind w:left="720" w:hanging="360"/>
      </w:pPr>
      <w:rPr>
        <w:rFonts w:ascii="Symbol" w:hAnsi="Symbol"/>
      </w:rPr>
    </w:lvl>
    <w:lvl w:ilvl="5" w:tplc="88E2B816">
      <w:start w:val="1"/>
      <w:numFmt w:val="bullet"/>
      <w:lvlText w:val=""/>
      <w:lvlJc w:val="left"/>
      <w:pPr>
        <w:ind w:left="720" w:hanging="360"/>
      </w:pPr>
      <w:rPr>
        <w:rFonts w:ascii="Symbol" w:hAnsi="Symbol"/>
      </w:rPr>
    </w:lvl>
    <w:lvl w:ilvl="6" w:tplc="B4F815DA">
      <w:start w:val="1"/>
      <w:numFmt w:val="bullet"/>
      <w:lvlText w:val=""/>
      <w:lvlJc w:val="left"/>
      <w:pPr>
        <w:ind w:left="720" w:hanging="360"/>
      </w:pPr>
      <w:rPr>
        <w:rFonts w:ascii="Symbol" w:hAnsi="Symbol"/>
      </w:rPr>
    </w:lvl>
    <w:lvl w:ilvl="7" w:tplc="C54C779E">
      <w:start w:val="1"/>
      <w:numFmt w:val="bullet"/>
      <w:lvlText w:val=""/>
      <w:lvlJc w:val="left"/>
      <w:pPr>
        <w:ind w:left="720" w:hanging="360"/>
      </w:pPr>
      <w:rPr>
        <w:rFonts w:ascii="Symbol" w:hAnsi="Symbol"/>
      </w:rPr>
    </w:lvl>
    <w:lvl w:ilvl="8" w:tplc="87BE1DA8">
      <w:start w:val="1"/>
      <w:numFmt w:val="bullet"/>
      <w:lvlText w:val=""/>
      <w:lvlJc w:val="left"/>
      <w:pPr>
        <w:ind w:left="720" w:hanging="360"/>
      </w:pPr>
      <w:rPr>
        <w:rFonts w:ascii="Symbol" w:hAnsi="Symbol"/>
      </w:rPr>
    </w:lvl>
  </w:abstractNum>
  <w:abstractNum w:abstractNumId="15" w15:restartNumberingAfterBreak="0">
    <w:nsid w:val="4E9149E6"/>
    <w:multiLevelType w:val="multilevel"/>
    <w:tmpl w:val="B0E01A70"/>
    <w:lvl w:ilvl="0">
      <w:start w:val="1"/>
      <w:numFmt w:val="decimal"/>
      <w:pStyle w:val="NumberedList"/>
      <w:lvlText w:val="%1."/>
      <w:lvlJc w:val="left"/>
      <w:pPr>
        <w:ind w:left="502" w:hanging="360"/>
      </w:pPr>
    </w:lvl>
    <w:lvl w:ilvl="1">
      <w:numFmt w:val="bullet"/>
      <w:lvlText w:val="•"/>
      <w:lvlJc w:val="left"/>
      <w:pPr>
        <w:ind w:left="792" w:hanging="432"/>
      </w:pPr>
      <w:rPr>
        <w:rFonts w:ascii="Arial" w:eastAsiaTheme="minorHAns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4FB35C97"/>
    <w:multiLevelType w:val="multilevel"/>
    <w:tmpl w:val="9906F8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000431F"/>
    <w:multiLevelType w:val="hybridMultilevel"/>
    <w:tmpl w:val="AF5E4BA2"/>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50173B4B"/>
    <w:multiLevelType w:val="multilevel"/>
    <w:tmpl w:val="F8B49E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7A47ABF"/>
    <w:multiLevelType w:val="multilevel"/>
    <w:tmpl w:val="E6587182"/>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pStyle w:val="Heading31"/>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0" w15:restartNumberingAfterBreak="0">
    <w:nsid w:val="5D5606DB"/>
    <w:multiLevelType w:val="hybridMultilevel"/>
    <w:tmpl w:val="2654AC2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668A7CD3"/>
    <w:multiLevelType w:val="multilevel"/>
    <w:tmpl w:val="D6761E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B9638BF"/>
    <w:multiLevelType w:val="hybridMultilevel"/>
    <w:tmpl w:val="BA90CE5C"/>
    <w:lvl w:ilvl="0" w:tplc="5A3AEE64">
      <w:start w:val="1"/>
      <w:numFmt w:val="bullet"/>
      <w:pStyle w:val="Body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8F4716E"/>
    <w:multiLevelType w:val="multilevel"/>
    <w:tmpl w:val="C01800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9FC7AA7"/>
    <w:multiLevelType w:val="hybridMultilevel"/>
    <w:tmpl w:val="6AB05CC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243955947">
    <w:abstractNumId w:val="7"/>
  </w:num>
  <w:num w:numId="2" w16cid:durableId="440298333">
    <w:abstractNumId w:val="1"/>
  </w:num>
  <w:num w:numId="3" w16cid:durableId="57946779">
    <w:abstractNumId w:val="15"/>
  </w:num>
  <w:num w:numId="4" w16cid:durableId="1871604820">
    <w:abstractNumId w:val="19"/>
  </w:num>
  <w:num w:numId="5" w16cid:durableId="1171680138">
    <w:abstractNumId w:val="0"/>
  </w:num>
  <w:num w:numId="6" w16cid:durableId="758334941">
    <w:abstractNumId w:val="22"/>
  </w:num>
  <w:num w:numId="7" w16cid:durableId="1800105152">
    <w:abstractNumId w:val="20"/>
  </w:num>
  <w:num w:numId="8" w16cid:durableId="1002048464">
    <w:abstractNumId w:val="17"/>
  </w:num>
  <w:num w:numId="9" w16cid:durableId="168982128">
    <w:abstractNumId w:val="5"/>
  </w:num>
  <w:num w:numId="10" w16cid:durableId="1967614132">
    <w:abstractNumId w:val="9"/>
  </w:num>
  <w:num w:numId="11" w16cid:durableId="390615299">
    <w:abstractNumId w:val="14"/>
  </w:num>
  <w:num w:numId="12" w16cid:durableId="1379549930">
    <w:abstractNumId w:val="10"/>
  </w:num>
  <w:num w:numId="13" w16cid:durableId="1929851098">
    <w:abstractNumId w:val="11"/>
  </w:num>
  <w:num w:numId="14" w16cid:durableId="56442928">
    <w:abstractNumId w:val="8"/>
  </w:num>
  <w:num w:numId="15" w16cid:durableId="1181238370">
    <w:abstractNumId w:val="12"/>
  </w:num>
  <w:num w:numId="16" w16cid:durableId="1414938385">
    <w:abstractNumId w:val="13"/>
  </w:num>
  <w:num w:numId="17" w16cid:durableId="1728188644">
    <w:abstractNumId w:val="24"/>
  </w:num>
  <w:num w:numId="18" w16cid:durableId="711729203">
    <w:abstractNumId w:val="2"/>
  </w:num>
  <w:num w:numId="19" w16cid:durableId="1032151876">
    <w:abstractNumId w:val="21"/>
  </w:num>
  <w:num w:numId="20" w16cid:durableId="1379818943">
    <w:abstractNumId w:val="18"/>
  </w:num>
  <w:num w:numId="21" w16cid:durableId="1544634187">
    <w:abstractNumId w:val="3"/>
  </w:num>
  <w:num w:numId="22" w16cid:durableId="2072070090">
    <w:abstractNumId w:val="4"/>
  </w:num>
  <w:num w:numId="23" w16cid:durableId="1456871101">
    <w:abstractNumId w:val="23"/>
  </w:num>
  <w:num w:numId="24" w16cid:durableId="1146631271">
    <w:abstractNumId w:val="16"/>
  </w:num>
  <w:num w:numId="25" w16cid:durableId="1720547493">
    <w:abstractNumId w:val="6"/>
  </w:num>
  <w:numIdMacAtCleanup w:val="1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Karuna GURUNG">
    <w15:presenceInfo w15:providerId="AD" w15:userId="S::Karuna.GURUNG@climatechangeauthority.gov.au::18cd4540-c5e6-4438-9fa5-78e62e3d5a05"/>
  </w15:person>
  <w15:person w15:author="Rebecca BERRYMAN">
    <w15:presenceInfo w15:providerId="AD" w15:userId="S::Rebecca.Berryman@climatechangeauthority.gov.au::95daf848-b0a4-4f24-80b6-c5a1c1fcc8d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displayBackgroundShape/>
  <w:proofState w:spelling="clean" w:grammar="clean"/>
  <w:defaultTabStop w:val="720"/>
  <w:evenAndOddHeaders/>
  <w:characterSpacingControl w:val="doNotCompress"/>
  <w:hdrShapeDefaults>
    <o:shapedefaults v:ext="edit" spidmax="2050">
      <o:colormru v:ext="edit" colors="#143f55,#123e54"/>
      <o:colormenu v:ext="edit" fillcolor="#123e54"/>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54D78B3"/>
    <w:rsid w:val="00000D2C"/>
    <w:rsid w:val="00003B05"/>
    <w:rsid w:val="00015B0B"/>
    <w:rsid w:val="000164F0"/>
    <w:rsid w:val="000207A9"/>
    <w:rsid w:val="00021C25"/>
    <w:rsid w:val="00024019"/>
    <w:rsid w:val="00034C09"/>
    <w:rsid w:val="000376D4"/>
    <w:rsid w:val="00041E9F"/>
    <w:rsid w:val="00042180"/>
    <w:rsid w:val="000444EE"/>
    <w:rsid w:val="000454E0"/>
    <w:rsid w:val="000474FB"/>
    <w:rsid w:val="000504C5"/>
    <w:rsid w:val="0006287D"/>
    <w:rsid w:val="0007085A"/>
    <w:rsid w:val="00076C8F"/>
    <w:rsid w:val="0008174C"/>
    <w:rsid w:val="000946D7"/>
    <w:rsid w:val="000958A9"/>
    <w:rsid w:val="000A1428"/>
    <w:rsid w:val="000A5D30"/>
    <w:rsid w:val="000B7D7E"/>
    <w:rsid w:val="000C3134"/>
    <w:rsid w:val="000C40B5"/>
    <w:rsid w:val="000C6375"/>
    <w:rsid w:val="000D1CD8"/>
    <w:rsid w:val="000D3FF5"/>
    <w:rsid w:val="000D5BE6"/>
    <w:rsid w:val="000E0E22"/>
    <w:rsid w:val="000E183C"/>
    <w:rsid w:val="000E7656"/>
    <w:rsid w:val="001011A2"/>
    <w:rsid w:val="00103B4C"/>
    <w:rsid w:val="00112B31"/>
    <w:rsid w:val="001157CD"/>
    <w:rsid w:val="001175B8"/>
    <w:rsid w:val="001217DA"/>
    <w:rsid w:val="00123422"/>
    <w:rsid w:val="001402B7"/>
    <w:rsid w:val="001411A5"/>
    <w:rsid w:val="00142922"/>
    <w:rsid w:val="001449FC"/>
    <w:rsid w:val="00152215"/>
    <w:rsid w:val="0015289E"/>
    <w:rsid w:val="00160312"/>
    <w:rsid w:val="0016145A"/>
    <w:rsid w:val="001638F8"/>
    <w:rsid w:val="00167BB4"/>
    <w:rsid w:val="00176C70"/>
    <w:rsid w:val="001774A9"/>
    <w:rsid w:val="00194E08"/>
    <w:rsid w:val="001A7BB5"/>
    <w:rsid w:val="001B6687"/>
    <w:rsid w:val="001C23EC"/>
    <w:rsid w:val="001C4216"/>
    <w:rsid w:val="001D1083"/>
    <w:rsid w:val="001D10EB"/>
    <w:rsid w:val="001D4780"/>
    <w:rsid w:val="001D7EEA"/>
    <w:rsid w:val="001F4F59"/>
    <w:rsid w:val="001F5286"/>
    <w:rsid w:val="001F67A5"/>
    <w:rsid w:val="002030FD"/>
    <w:rsid w:val="00204CAE"/>
    <w:rsid w:val="00205D96"/>
    <w:rsid w:val="00205E42"/>
    <w:rsid w:val="002071DE"/>
    <w:rsid w:val="00214D45"/>
    <w:rsid w:val="00226058"/>
    <w:rsid w:val="00226114"/>
    <w:rsid w:val="00235101"/>
    <w:rsid w:val="00241196"/>
    <w:rsid w:val="00241E61"/>
    <w:rsid w:val="00242B72"/>
    <w:rsid w:val="0024791A"/>
    <w:rsid w:val="00250B46"/>
    <w:rsid w:val="0025278D"/>
    <w:rsid w:val="00252C58"/>
    <w:rsid w:val="00253868"/>
    <w:rsid w:val="00256E4D"/>
    <w:rsid w:val="002577F5"/>
    <w:rsid w:val="00261E34"/>
    <w:rsid w:val="00266ECA"/>
    <w:rsid w:val="00267CE1"/>
    <w:rsid w:val="002701D0"/>
    <w:rsid w:val="0029078C"/>
    <w:rsid w:val="00290F06"/>
    <w:rsid w:val="00290FE1"/>
    <w:rsid w:val="002916C5"/>
    <w:rsid w:val="00291A19"/>
    <w:rsid w:val="00292E78"/>
    <w:rsid w:val="002A2453"/>
    <w:rsid w:val="002B0BE6"/>
    <w:rsid w:val="002C0B54"/>
    <w:rsid w:val="002C16A3"/>
    <w:rsid w:val="002C4D39"/>
    <w:rsid w:val="002D027D"/>
    <w:rsid w:val="002D0E9A"/>
    <w:rsid w:val="002D111E"/>
    <w:rsid w:val="002D350F"/>
    <w:rsid w:val="002D4E55"/>
    <w:rsid w:val="002D605A"/>
    <w:rsid w:val="002E4DF8"/>
    <w:rsid w:val="002E6A4B"/>
    <w:rsid w:val="002E7AA1"/>
    <w:rsid w:val="002F1AC9"/>
    <w:rsid w:val="003101D2"/>
    <w:rsid w:val="003119B4"/>
    <w:rsid w:val="003130F5"/>
    <w:rsid w:val="00315538"/>
    <w:rsid w:val="00322779"/>
    <w:rsid w:val="00324DAA"/>
    <w:rsid w:val="00330381"/>
    <w:rsid w:val="003329DB"/>
    <w:rsid w:val="00332C11"/>
    <w:rsid w:val="00345099"/>
    <w:rsid w:val="00345438"/>
    <w:rsid w:val="00345531"/>
    <w:rsid w:val="00346B2E"/>
    <w:rsid w:val="00346F62"/>
    <w:rsid w:val="00350BF9"/>
    <w:rsid w:val="003547E7"/>
    <w:rsid w:val="00356416"/>
    <w:rsid w:val="00357C62"/>
    <w:rsid w:val="00363A05"/>
    <w:rsid w:val="003659CF"/>
    <w:rsid w:val="00367E54"/>
    <w:rsid w:val="003714FA"/>
    <w:rsid w:val="0037251F"/>
    <w:rsid w:val="00380228"/>
    <w:rsid w:val="003842CF"/>
    <w:rsid w:val="00387C8C"/>
    <w:rsid w:val="00397223"/>
    <w:rsid w:val="00397772"/>
    <w:rsid w:val="003A261E"/>
    <w:rsid w:val="003A3882"/>
    <w:rsid w:val="003A4590"/>
    <w:rsid w:val="003B2395"/>
    <w:rsid w:val="003B465A"/>
    <w:rsid w:val="003D0DEA"/>
    <w:rsid w:val="003D16C1"/>
    <w:rsid w:val="003D25EC"/>
    <w:rsid w:val="003D3244"/>
    <w:rsid w:val="003E2983"/>
    <w:rsid w:val="003E6E70"/>
    <w:rsid w:val="003E6EEB"/>
    <w:rsid w:val="003E7766"/>
    <w:rsid w:val="003F0001"/>
    <w:rsid w:val="003F0D38"/>
    <w:rsid w:val="003F702E"/>
    <w:rsid w:val="003F7169"/>
    <w:rsid w:val="00404D14"/>
    <w:rsid w:val="00410F14"/>
    <w:rsid w:val="00413702"/>
    <w:rsid w:val="00424F5E"/>
    <w:rsid w:val="00424FC3"/>
    <w:rsid w:val="004252CE"/>
    <w:rsid w:val="0042628A"/>
    <w:rsid w:val="00431C78"/>
    <w:rsid w:val="00440686"/>
    <w:rsid w:val="00442C6E"/>
    <w:rsid w:val="00443320"/>
    <w:rsid w:val="00446682"/>
    <w:rsid w:val="004542BE"/>
    <w:rsid w:val="00461D24"/>
    <w:rsid w:val="004669F6"/>
    <w:rsid w:val="00466ABA"/>
    <w:rsid w:val="00472394"/>
    <w:rsid w:val="00472DE1"/>
    <w:rsid w:val="004753EC"/>
    <w:rsid w:val="004853C6"/>
    <w:rsid w:val="00485427"/>
    <w:rsid w:val="00490023"/>
    <w:rsid w:val="004903FF"/>
    <w:rsid w:val="00491E6D"/>
    <w:rsid w:val="00491F5A"/>
    <w:rsid w:val="004A378C"/>
    <w:rsid w:val="004A4410"/>
    <w:rsid w:val="004A497A"/>
    <w:rsid w:val="004B3966"/>
    <w:rsid w:val="004B46FD"/>
    <w:rsid w:val="004B5FC3"/>
    <w:rsid w:val="004C4F55"/>
    <w:rsid w:val="004C614A"/>
    <w:rsid w:val="004C73C2"/>
    <w:rsid w:val="004D6126"/>
    <w:rsid w:val="004D63C2"/>
    <w:rsid w:val="004E0960"/>
    <w:rsid w:val="004E42C8"/>
    <w:rsid w:val="004F135F"/>
    <w:rsid w:val="004F414D"/>
    <w:rsid w:val="005008D7"/>
    <w:rsid w:val="00501C2E"/>
    <w:rsid w:val="00502E50"/>
    <w:rsid w:val="005038DF"/>
    <w:rsid w:val="005067B8"/>
    <w:rsid w:val="0051077D"/>
    <w:rsid w:val="00512207"/>
    <w:rsid w:val="00514FDC"/>
    <w:rsid w:val="00515537"/>
    <w:rsid w:val="00520C9A"/>
    <w:rsid w:val="00524321"/>
    <w:rsid w:val="005328F7"/>
    <w:rsid w:val="0053729A"/>
    <w:rsid w:val="005402B6"/>
    <w:rsid w:val="0054438E"/>
    <w:rsid w:val="00547F26"/>
    <w:rsid w:val="005575A4"/>
    <w:rsid w:val="00560449"/>
    <w:rsid w:val="005623D1"/>
    <w:rsid w:val="005651A9"/>
    <w:rsid w:val="005665CA"/>
    <w:rsid w:val="00570482"/>
    <w:rsid w:val="0057521A"/>
    <w:rsid w:val="0057603F"/>
    <w:rsid w:val="0057666A"/>
    <w:rsid w:val="00580119"/>
    <w:rsid w:val="00584966"/>
    <w:rsid w:val="00585F76"/>
    <w:rsid w:val="00586041"/>
    <w:rsid w:val="005908A6"/>
    <w:rsid w:val="005926A0"/>
    <w:rsid w:val="0059357D"/>
    <w:rsid w:val="005960B4"/>
    <w:rsid w:val="005A7337"/>
    <w:rsid w:val="005B1C6D"/>
    <w:rsid w:val="005B2AE2"/>
    <w:rsid w:val="005D022A"/>
    <w:rsid w:val="005D137A"/>
    <w:rsid w:val="005D7C59"/>
    <w:rsid w:val="005E0721"/>
    <w:rsid w:val="005E08C5"/>
    <w:rsid w:val="005E37AA"/>
    <w:rsid w:val="005F7027"/>
    <w:rsid w:val="00605AD2"/>
    <w:rsid w:val="006116CD"/>
    <w:rsid w:val="0061376D"/>
    <w:rsid w:val="00614EB6"/>
    <w:rsid w:val="00616B2B"/>
    <w:rsid w:val="006218AC"/>
    <w:rsid w:val="00622D12"/>
    <w:rsid w:val="0062730B"/>
    <w:rsid w:val="00627A02"/>
    <w:rsid w:val="00635328"/>
    <w:rsid w:val="006377C1"/>
    <w:rsid w:val="00637DB4"/>
    <w:rsid w:val="00641DB0"/>
    <w:rsid w:val="00642470"/>
    <w:rsid w:val="00651AA0"/>
    <w:rsid w:val="00654EF4"/>
    <w:rsid w:val="00661CE7"/>
    <w:rsid w:val="00665710"/>
    <w:rsid w:val="00670B28"/>
    <w:rsid w:val="00670C49"/>
    <w:rsid w:val="006835F5"/>
    <w:rsid w:val="00685958"/>
    <w:rsid w:val="006862CE"/>
    <w:rsid w:val="00687C0E"/>
    <w:rsid w:val="00692E41"/>
    <w:rsid w:val="00693777"/>
    <w:rsid w:val="00693F90"/>
    <w:rsid w:val="0069701A"/>
    <w:rsid w:val="006A389C"/>
    <w:rsid w:val="006A4668"/>
    <w:rsid w:val="006A4EB1"/>
    <w:rsid w:val="006B3EAA"/>
    <w:rsid w:val="006C0CDC"/>
    <w:rsid w:val="006C1182"/>
    <w:rsid w:val="006C5502"/>
    <w:rsid w:val="006D78AA"/>
    <w:rsid w:val="006E051B"/>
    <w:rsid w:val="006E2EC6"/>
    <w:rsid w:val="006E3B7E"/>
    <w:rsid w:val="006E4C59"/>
    <w:rsid w:val="006E60D5"/>
    <w:rsid w:val="006F2CF8"/>
    <w:rsid w:val="007026CC"/>
    <w:rsid w:val="00705C3F"/>
    <w:rsid w:val="00711331"/>
    <w:rsid w:val="00711FEC"/>
    <w:rsid w:val="0071579E"/>
    <w:rsid w:val="007176EB"/>
    <w:rsid w:val="00722F99"/>
    <w:rsid w:val="00727AF0"/>
    <w:rsid w:val="00731B47"/>
    <w:rsid w:val="00737083"/>
    <w:rsid w:val="007407B9"/>
    <w:rsid w:val="00741F3D"/>
    <w:rsid w:val="00745E68"/>
    <w:rsid w:val="00746187"/>
    <w:rsid w:val="00751F27"/>
    <w:rsid w:val="0076072F"/>
    <w:rsid w:val="0076074A"/>
    <w:rsid w:val="00763057"/>
    <w:rsid w:val="00763BCB"/>
    <w:rsid w:val="00764487"/>
    <w:rsid w:val="00773346"/>
    <w:rsid w:val="00775027"/>
    <w:rsid w:val="007800F9"/>
    <w:rsid w:val="00780A87"/>
    <w:rsid w:val="00781A93"/>
    <w:rsid w:val="00782DF8"/>
    <w:rsid w:val="00782FB3"/>
    <w:rsid w:val="00786D3E"/>
    <w:rsid w:val="00787DD1"/>
    <w:rsid w:val="0079406F"/>
    <w:rsid w:val="00795F92"/>
    <w:rsid w:val="007A11A1"/>
    <w:rsid w:val="007A5675"/>
    <w:rsid w:val="007A7EDA"/>
    <w:rsid w:val="007B07A9"/>
    <w:rsid w:val="007B314B"/>
    <w:rsid w:val="007B61D5"/>
    <w:rsid w:val="007C7BA0"/>
    <w:rsid w:val="007D0563"/>
    <w:rsid w:val="007D0D14"/>
    <w:rsid w:val="007D2E9C"/>
    <w:rsid w:val="007D429E"/>
    <w:rsid w:val="007D5EA4"/>
    <w:rsid w:val="007D6CDC"/>
    <w:rsid w:val="007E14C6"/>
    <w:rsid w:val="007E7627"/>
    <w:rsid w:val="007F63F2"/>
    <w:rsid w:val="008010FB"/>
    <w:rsid w:val="008014AE"/>
    <w:rsid w:val="008050CC"/>
    <w:rsid w:val="00805D51"/>
    <w:rsid w:val="0081334E"/>
    <w:rsid w:val="008143D2"/>
    <w:rsid w:val="00824EF1"/>
    <w:rsid w:val="00825F87"/>
    <w:rsid w:val="00827600"/>
    <w:rsid w:val="0083327D"/>
    <w:rsid w:val="0083718B"/>
    <w:rsid w:val="008404D3"/>
    <w:rsid w:val="00840C3F"/>
    <w:rsid w:val="00847FB1"/>
    <w:rsid w:val="00850F9B"/>
    <w:rsid w:val="0085111A"/>
    <w:rsid w:val="00853078"/>
    <w:rsid w:val="008547D6"/>
    <w:rsid w:val="00857029"/>
    <w:rsid w:val="00863D31"/>
    <w:rsid w:val="00867CA5"/>
    <w:rsid w:val="008719C5"/>
    <w:rsid w:val="0087235F"/>
    <w:rsid w:val="00873555"/>
    <w:rsid w:val="008741AD"/>
    <w:rsid w:val="00874468"/>
    <w:rsid w:val="00876A63"/>
    <w:rsid w:val="00877943"/>
    <w:rsid w:val="008802EB"/>
    <w:rsid w:val="00880B14"/>
    <w:rsid w:val="00883257"/>
    <w:rsid w:val="00883BFC"/>
    <w:rsid w:val="008877BC"/>
    <w:rsid w:val="00892053"/>
    <w:rsid w:val="008928F6"/>
    <w:rsid w:val="00893C5B"/>
    <w:rsid w:val="008A4A76"/>
    <w:rsid w:val="008A6562"/>
    <w:rsid w:val="008A69EB"/>
    <w:rsid w:val="008B23FA"/>
    <w:rsid w:val="008B36B8"/>
    <w:rsid w:val="008C4BD4"/>
    <w:rsid w:val="008E0411"/>
    <w:rsid w:val="008E11DD"/>
    <w:rsid w:val="008E4533"/>
    <w:rsid w:val="008E61F5"/>
    <w:rsid w:val="008F141A"/>
    <w:rsid w:val="009026C3"/>
    <w:rsid w:val="00905513"/>
    <w:rsid w:val="0090660C"/>
    <w:rsid w:val="0091024E"/>
    <w:rsid w:val="00913C41"/>
    <w:rsid w:val="009165E7"/>
    <w:rsid w:val="00920996"/>
    <w:rsid w:val="00922D97"/>
    <w:rsid w:val="00924601"/>
    <w:rsid w:val="00931F6E"/>
    <w:rsid w:val="00944E3F"/>
    <w:rsid w:val="0095768A"/>
    <w:rsid w:val="009600B2"/>
    <w:rsid w:val="00961C94"/>
    <w:rsid w:val="00964155"/>
    <w:rsid w:val="0097436D"/>
    <w:rsid w:val="00981F92"/>
    <w:rsid w:val="00982AD8"/>
    <w:rsid w:val="00984717"/>
    <w:rsid w:val="0098710B"/>
    <w:rsid w:val="00992577"/>
    <w:rsid w:val="009942A5"/>
    <w:rsid w:val="009A1F63"/>
    <w:rsid w:val="009A4117"/>
    <w:rsid w:val="009A4961"/>
    <w:rsid w:val="009B2A26"/>
    <w:rsid w:val="009B2BDE"/>
    <w:rsid w:val="009B3574"/>
    <w:rsid w:val="009B4BD8"/>
    <w:rsid w:val="009B5E4B"/>
    <w:rsid w:val="009B6B96"/>
    <w:rsid w:val="009C00C9"/>
    <w:rsid w:val="009C41E3"/>
    <w:rsid w:val="009D0649"/>
    <w:rsid w:val="009D3F5D"/>
    <w:rsid w:val="009E121A"/>
    <w:rsid w:val="009E677E"/>
    <w:rsid w:val="009E7AD3"/>
    <w:rsid w:val="009F386A"/>
    <w:rsid w:val="009F5EF1"/>
    <w:rsid w:val="00A030F1"/>
    <w:rsid w:val="00A0334F"/>
    <w:rsid w:val="00A1282E"/>
    <w:rsid w:val="00A167F6"/>
    <w:rsid w:val="00A207FE"/>
    <w:rsid w:val="00A2467D"/>
    <w:rsid w:val="00A25191"/>
    <w:rsid w:val="00A33B1A"/>
    <w:rsid w:val="00A355AA"/>
    <w:rsid w:val="00A41574"/>
    <w:rsid w:val="00A41ABF"/>
    <w:rsid w:val="00A42931"/>
    <w:rsid w:val="00A42ED2"/>
    <w:rsid w:val="00A45AB9"/>
    <w:rsid w:val="00A531BB"/>
    <w:rsid w:val="00A537E5"/>
    <w:rsid w:val="00A6497D"/>
    <w:rsid w:val="00A84077"/>
    <w:rsid w:val="00A84E35"/>
    <w:rsid w:val="00A86C91"/>
    <w:rsid w:val="00A96C3C"/>
    <w:rsid w:val="00A9702A"/>
    <w:rsid w:val="00A975E8"/>
    <w:rsid w:val="00AA2298"/>
    <w:rsid w:val="00AB0FF7"/>
    <w:rsid w:val="00AB7A5B"/>
    <w:rsid w:val="00AC270E"/>
    <w:rsid w:val="00AC2F89"/>
    <w:rsid w:val="00AC5D79"/>
    <w:rsid w:val="00AD1177"/>
    <w:rsid w:val="00AD6744"/>
    <w:rsid w:val="00AD7C50"/>
    <w:rsid w:val="00AE34A9"/>
    <w:rsid w:val="00AE557C"/>
    <w:rsid w:val="00AE5D5B"/>
    <w:rsid w:val="00AF03A6"/>
    <w:rsid w:val="00AF5F6F"/>
    <w:rsid w:val="00AF711E"/>
    <w:rsid w:val="00AF7394"/>
    <w:rsid w:val="00B01349"/>
    <w:rsid w:val="00B112DF"/>
    <w:rsid w:val="00B15496"/>
    <w:rsid w:val="00B21711"/>
    <w:rsid w:val="00B274B4"/>
    <w:rsid w:val="00B33A47"/>
    <w:rsid w:val="00B33C40"/>
    <w:rsid w:val="00B33EBA"/>
    <w:rsid w:val="00B35030"/>
    <w:rsid w:val="00B401EB"/>
    <w:rsid w:val="00B41987"/>
    <w:rsid w:val="00B428D6"/>
    <w:rsid w:val="00B5288E"/>
    <w:rsid w:val="00B54C38"/>
    <w:rsid w:val="00B556EB"/>
    <w:rsid w:val="00B62B48"/>
    <w:rsid w:val="00B63483"/>
    <w:rsid w:val="00B6731B"/>
    <w:rsid w:val="00B7310A"/>
    <w:rsid w:val="00B734C0"/>
    <w:rsid w:val="00B7455E"/>
    <w:rsid w:val="00B77005"/>
    <w:rsid w:val="00B77FAA"/>
    <w:rsid w:val="00B83E0A"/>
    <w:rsid w:val="00B85281"/>
    <w:rsid w:val="00B90456"/>
    <w:rsid w:val="00B91D00"/>
    <w:rsid w:val="00B955A7"/>
    <w:rsid w:val="00B97489"/>
    <w:rsid w:val="00BA2229"/>
    <w:rsid w:val="00BA48AA"/>
    <w:rsid w:val="00BB13AC"/>
    <w:rsid w:val="00BB3EF2"/>
    <w:rsid w:val="00BC1BA8"/>
    <w:rsid w:val="00BC4DAB"/>
    <w:rsid w:val="00BD449B"/>
    <w:rsid w:val="00BE23E0"/>
    <w:rsid w:val="00BE6F89"/>
    <w:rsid w:val="00BE71F2"/>
    <w:rsid w:val="00BF123D"/>
    <w:rsid w:val="00BF2461"/>
    <w:rsid w:val="00BF64EB"/>
    <w:rsid w:val="00C0533C"/>
    <w:rsid w:val="00C06359"/>
    <w:rsid w:val="00C10741"/>
    <w:rsid w:val="00C12C8A"/>
    <w:rsid w:val="00C24780"/>
    <w:rsid w:val="00C247BF"/>
    <w:rsid w:val="00C24D5E"/>
    <w:rsid w:val="00C24E42"/>
    <w:rsid w:val="00C251EE"/>
    <w:rsid w:val="00C26DB6"/>
    <w:rsid w:val="00C369F5"/>
    <w:rsid w:val="00C406E7"/>
    <w:rsid w:val="00C414DC"/>
    <w:rsid w:val="00C42641"/>
    <w:rsid w:val="00C54341"/>
    <w:rsid w:val="00C6176F"/>
    <w:rsid w:val="00C625AF"/>
    <w:rsid w:val="00C64BC2"/>
    <w:rsid w:val="00C65AA4"/>
    <w:rsid w:val="00C714F1"/>
    <w:rsid w:val="00C72BF5"/>
    <w:rsid w:val="00C85ED9"/>
    <w:rsid w:val="00C96882"/>
    <w:rsid w:val="00C9711C"/>
    <w:rsid w:val="00CA5B34"/>
    <w:rsid w:val="00CB1C94"/>
    <w:rsid w:val="00CB427D"/>
    <w:rsid w:val="00CB42B7"/>
    <w:rsid w:val="00CB77C5"/>
    <w:rsid w:val="00CC0BDA"/>
    <w:rsid w:val="00CC32D8"/>
    <w:rsid w:val="00CC43FE"/>
    <w:rsid w:val="00CC713C"/>
    <w:rsid w:val="00CD23ED"/>
    <w:rsid w:val="00CD341B"/>
    <w:rsid w:val="00CD6320"/>
    <w:rsid w:val="00CD6778"/>
    <w:rsid w:val="00CD6D0C"/>
    <w:rsid w:val="00CD7F90"/>
    <w:rsid w:val="00CF41E6"/>
    <w:rsid w:val="00CF48AA"/>
    <w:rsid w:val="00CF63EA"/>
    <w:rsid w:val="00CF77D1"/>
    <w:rsid w:val="00D02524"/>
    <w:rsid w:val="00D05327"/>
    <w:rsid w:val="00D054EC"/>
    <w:rsid w:val="00D06831"/>
    <w:rsid w:val="00D07C13"/>
    <w:rsid w:val="00D13066"/>
    <w:rsid w:val="00D14100"/>
    <w:rsid w:val="00D14818"/>
    <w:rsid w:val="00D17C82"/>
    <w:rsid w:val="00D230AA"/>
    <w:rsid w:val="00D239FE"/>
    <w:rsid w:val="00D23F79"/>
    <w:rsid w:val="00D4458E"/>
    <w:rsid w:val="00D564D8"/>
    <w:rsid w:val="00D617E1"/>
    <w:rsid w:val="00D72E70"/>
    <w:rsid w:val="00D730D5"/>
    <w:rsid w:val="00D76F49"/>
    <w:rsid w:val="00D81CEA"/>
    <w:rsid w:val="00D83EC3"/>
    <w:rsid w:val="00D9149E"/>
    <w:rsid w:val="00D920EC"/>
    <w:rsid w:val="00D92168"/>
    <w:rsid w:val="00D967A7"/>
    <w:rsid w:val="00DA5D40"/>
    <w:rsid w:val="00DB50B9"/>
    <w:rsid w:val="00DB6B6D"/>
    <w:rsid w:val="00DC32B4"/>
    <w:rsid w:val="00DD3F49"/>
    <w:rsid w:val="00DD48C3"/>
    <w:rsid w:val="00DE3A13"/>
    <w:rsid w:val="00DE4B4E"/>
    <w:rsid w:val="00E0120A"/>
    <w:rsid w:val="00E037B5"/>
    <w:rsid w:val="00E0536A"/>
    <w:rsid w:val="00E06285"/>
    <w:rsid w:val="00E13221"/>
    <w:rsid w:val="00E13501"/>
    <w:rsid w:val="00E14C13"/>
    <w:rsid w:val="00E338D9"/>
    <w:rsid w:val="00E407A2"/>
    <w:rsid w:val="00E40DCC"/>
    <w:rsid w:val="00E41982"/>
    <w:rsid w:val="00E41E53"/>
    <w:rsid w:val="00E44679"/>
    <w:rsid w:val="00E55B64"/>
    <w:rsid w:val="00E55B7B"/>
    <w:rsid w:val="00E61012"/>
    <w:rsid w:val="00E70223"/>
    <w:rsid w:val="00E71ED0"/>
    <w:rsid w:val="00E72DE0"/>
    <w:rsid w:val="00E73E45"/>
    <w:rsid w:val="00E74233"/>
    <w:rsid w:val="00E76DE8"/>
    <w:rsid w:val="00E826E4"/>
    <w:rsid w:val="00E83421"/>
    <w:rsid w:val="00E839A7"/>
    <w:rsid w:val="00E87279"/>
    <w:rsid w:val="00E91087"/>
    <w:rsid w:val="00E9401A"/>
    <w:rsid w:val="00E97608"/>
    <w:rsid w:val="00E97659"/>
    <w:rsid w:val="00EA37C1"/>
    <w:rsid w:val="00EA4D93"/>
    <w:rsid w:val="00EA54CB"/>
    <w:rsid w:val="00EA6C8C"/>
    <w:rsid w:val="00EA7C40"/>
    <w:rsid w:val="00EB2BA6"/>
    <w:rsid w:val="00EB33F2"/>
    <w:rsid w:val="00EB48A8"/>
    <w:rsid w:val="00EB7C7C"/>
    <w:rsid w:val="00EC0B54"/>
    <w:rsid w:val="00EC1F88"/>
    <w:rsid w:val="00EC319F"/>
    <w:rsid w:val="00EC4744"/>
    <w:rsid w:val="00EC52B8"/>
    <w:rsid w:val="00EC5DB2"/>
    <w:rsid w:val="00ED0114"/>
    <w:rsid w:val="00EE033E"/>
    <w:rsid w:val="00EE7661"/>
    <w:rsid w:val="00EF62A9"/>
    <w:rsid w:val="00EF7C0C"/>
    <w:rsid w:val="00EF7F93"/>
    <w:rsid w:val="00F050B3"/>
    <w:rsid w:val="00F110D7"/>
    <w:rsid w:val="00F14AFC"/>
    <w:rsid w:val="00F1525F"/>
    <w:rsid w:val="00F168A3"/>
    <w:rsid w:val="00F231C2"/>
    <w:rsid w:val="00F23D8B"/>
    <w:rsid w:val="00F256C8"/>
    <w:rsid w:val="00F27428"/>
    <w:rsid w:val="00F316E7"/>
    <w:rsid w:val="00F44813"/>
    <w:rsid w:val="00F527D3"/>
    <w:rsid w:val="00F52AD9"/>
    <w:rsid w:val="00F53478"/>
    <w:rsid w:val="00F60588"/>
    <w:rsid w:val="00F60819"/>
    <w:rsid w:val="00F61DD0"/>
    <w:rsid w:val="00F669B0"/>
    <w:rsid w:val="00F66F0E"/>
    <w:rsid w:val="00F67C08"/>
    <w:rsid w:val="00F706AF"/>
    <w:rsid w:val="00F920EA"/>
    <w:rsid w:val="00F9671F"/>
    <w:rsid w:val="00F96B45"/>
    <w:rsid w:val="00FA0315"/>
    <w:rsid w:val="00FA3BA2"/>
    <w:rsid w:val="00FC226A"/>
    <w:rsid w:val="00FC7A0E"/>
    <w:rsid w:val="00FD2DF4"/>
    <w:rsid w:val="00FD3C05"/>
    <w:rsid w:val="00FE1718"/>
    <w:rsid w:val="00FE18A7"/>
    <w:rsid w:val="00FE1A38"/>
    <w:rsid w:val="00FE2AEF"/>
    <w:rsid w:val="00FE3CF9"/>
    <w:rsid w:val="00FF4297"/>
    <w:rsid w:val="00FF4F97"/>
    <w:rsid w:val="00FF5A78"/>
    <w:rsid w:val="00FF73E7"/>
    <w:rsid w:val="00FF7FDB"/>
    <w:rsid w:val="2C14DA33"/>
    <w:rsid w:val="454D78B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143f55,#123e54"/>
      <o:colormenu v:ext="edit" fillcolor="#123e54"/>
    </o:shapedefaults>
    <o:shapelayout v:ext="edit">
      <o:idmap v:ext="edit" data="2"/>
    </o:shapelayout>
  </w:shapeDefaults>
  <w:decimalSymbol w:val="."/>
  <w:listSeparator w:val=","/>
  <w14:docId w14:val="454D78B3"/>
  <w15:chartTrackingRefBased/>
  <w15:docId w15:val="{703A6A45-A874-4D16-8CDA-8669FFF90A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iPriority="19"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Report Body"/>
    <w:qFormat/>
    <w:rsid w:val="003329DB"/>
    <w:pPr>
      <w:spacing w:before="120" w:after="120" w:line="300" w:lineRule="auto"/>
    </w:pPr>
    <w:rPr>
      <w:color w:val="000000" w:themeColor="text1"/>
      <w:sz w:val="21"/>
      <w:lang w:val="en-GB"/>
    </w:rPr>
  </w:style>
  <w:style w:type="paragraph" w:styleId="Heading1">
    <w:name w:val="heading 1"/>
    <w:basedOn w:val="Normal"/>
    <w:next w:val="Normal"/>
    <w:link w:val="Heading1Char"/>
    <w:uiPriority w:val="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pPr>
      <w:keepNext/>
      <w:keepLines/>
      <w:spacing w:before="80" w:after="40"/>
      <w:outlineLvl w:val="4"/>
    </w:pPr>
    <w:rPr>
      <w:rFonts w:eastAsiaTheme="majorEastAsia" w:cstheme="majorBidi"/>
      <w:color w:val="0F4761" w:themeColor="accent1" w:themeShade="BF"/>
    </w:rPr>
  </w:style>
  <w:style w:type="paragraph" w:styleId="Heading6">
    <w:name w:val="heading 6"/>
    <w:aliases w:val="Report [1] Chapter Heading,Table Heading"/>
    <w:basedOn w:val="Normal"/>
    <w:next w:val="Report2Heading1"/>
    <w:link w:val="Heading6Char"/>
    <w:uiPriority w:val="9"/>
    <w:unhideWhenUsed/>
    <w:rsid w:val="005665CA"/>
    <w:pPr>
      <w:keepNext/>
      <w:keepLines/>
      <w:spacing w:before="40" w:after="0" w:line="240" w:lineRule="auto"/>
      <w:outlineLvl w:val="5"/>
    </w:pPr>
    <w:rPr>
      <w:rFonts w:eastAsiaTheme="majorEastAsia" w:cstheme="majorBidi"/>
      <w:b/>
      <w:iCs/>
      <w:color w:val="00679F"/>
      <w:sz w:val="76"/>
    </w:rPr>
  </w:style>
  <w:style w:type="paragraph" w:styleId="Heading7">
    <w:name w:val="heading 7"/>
    <w:aliases w:val="Figures"/>
    <w:basedOn w:val="Normal"/>
    <w:next w:val="Normal"/>
    <w:link w:val="Heading7Char"/>
    <w:uiPriority w:val="9"/>
    <w:unhideWhenUse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aliases w:val="Report [1] Chapter Heading Char,Table Heading Char"/>
    <w:basedOn w:val="DefaultParagraphFont"/>
    <w:link w:val="Heading6"/>
    <w:uiPriority w:val="9"/>
    <w:rsid w:val="005665CA"/>
    <w:rPr>
      <w:rFonts w:ascii="HelveticaNeueLT Std Lt" w:eastAsiaTheme="majorEastAsia" w:hAnsi="HelveticaNeueLT Std Lt" w:cstheme="majorBidi"/>
      <w:b/>
      <w:iCs/>
      <w:color w:val="00679F"/>
      <w:sz w:val="76"/>
    </w:rPr>
  </w:style>
  <w:style w:type="character" w:customStyle="1" w:styleId="Heading7Char">
    <w:name w:val="Heading 7 Char"/>
    <w:aliases w:val="Figures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paragraph" w:customStyle="1" w:styleId="ReportTitleWhite">
    <w:name w:val="Report Title (White)"/>
    <w:basedOn w:val="Normal"/>
    <w:link w:val="ReportTitleWhiteChar"/>
    <w:rsid w:val="00E83421"/>
    <w:pPr>
      <w:spacing w:after="160" w:line="279" w:lineRule="auto"/>
    </w:pPr>
    <w:rPr>
      <w:rFonts w:ascii="HelveticaNeueLT Std" w:hAnsi="HelveticaNeueLT Std"/>
      <w:color w:val="FFFFFF" w:themeColor="background1"/>
      <w:sz w:val="50"/>
    </w:rPr>
  </w:style>
  <w:style w:type="character" w:customStyle="1" w:styleId="ReportTitleWhiteChar">
    <w:name w:val="Report Title (White) Char"/>
    <w:basedOn w:val="DefaultParagraphFont"/>
    <w:link w:val="ReportTitleWhite"/>
    <w:rsid w:val="00E83421"/>
    <w:rPr>
      <w:rFonts w:ascii="HelveticaNeueLT Std" w:hAnsi="HelveticaNeueLT Std"/>
      <w:color w:val="FFFFFF" w:themeColor="background1"/>
      <w:sz w:val="50"/>
    </w:rPr>
  </w:style>
  <w:style w:type="paragraph" w:styleId="Footer">
    <w:name w:val="footer"/>
    <w:basedOn w:val="Normal"/>
    <w:link w:val="FooterChar"/>
    <w:uiPriority w:val="99"/>
    <w:unhideWhenUsed/>
    <w:rsid w:val="00EA7C40"/>
    <w:pPr>
      <w:tabs>
        <w:tab w:val="center" w:pos="4680"/>
        <w:tab w:val="right" w:pos="9360"/>
      </w:tabs>
      <w:spacing w:after="0" w:line="240" w:lineRule="auto"/>
    </w:pPr>
    <w:rPr>
      <w:rFonts w:cs="Times New Roman"/>
      <w:color w:val="auto"/>
      <w:sz w:val="22"/>
      <w:szCs w:val="22"/>
      <w:lang w:eastAsia="en-US"/>
    </w:rPr>
  </w:style>
  <w:style w:type="character" w:customStyle="1" w:styleId="FooterChar">
    <w:name w:val="Footer Char"/>
    <w:basedOn w:val="DefaultParagraphFont"/>
    <w:link w:val="Footer"/>
    <w:uiPriority w:val="99"/>
    <w:rsid w:val="00EA7C40"/>
    <w:rPr>
      <w:rFonts w:cs="Times New Roman"/>
      <w:sz w:val="22"/>
      <w:szCs w:val="22"/>
      <w:lang w:eastAsia="en-US"/>
    </w:rPr>
  </w:style>
  <w:style w:type="paragraph" w:styleId="CommentSubject">
    <w:name w:val="annotation subject"/>
    <w:basedOn w:val="CommentText"/>
    <w:next w:val="CommentText"/>
    <w:link w:val="CommentSubjectChar"/>
    <w:uiPriority w:val="99"/>
    <w:semiHidden/>
    <w:unhideWhenUsed/>
    <w:rsid w:val="00E97659"/>
    <w:pPr>
      <w:spacing w:after="170"/>
    </w:pPr>
    <w:rPr>
      <w:rFonts w:ascii="HelveticaNeueLT Std Lt" w:eastAsiaTheme="minorEastAsia" w:hAnsi="HelveticaNeueLT Std Lt"/>
      <w:b/>
      <w:bCs/>
      <w:color w:val="636466"/>
      <w:sz w:val="20"/>
      <w:lang w:val="en-US" w:eastAsia="ja-JP"/>
    </w:rPr>
  </w:style>
  <w:style w:type="character" w:customStyle="1" w:styleId="CommentSubjectChar">
    <w:name w:val="Comment Subject Char"/>
    <w:basedOn w:val="CommentTextChar"/>
    <w:link w:val="CommentSubject"/>
    <w:uiPriority w:val="99"/>
    <w:semiHidden/>
    <w:rsid w:val="00E97659"/>
    <w:rPr>
      <w:rFonts w:ascii="HelveticaNeueLT Std Lt" w:eastAsiaTheme="minorHAnsi" w:hAnsi="HelveticaNeueLT Std Lt"/>
      <w:b/>
      <w:bCs/>
      <w:color w:val="636466"/>
      <w:sz w:val="20"/>
      <w:szCs w:val="20"/>
      <w:lang w:val="en-AU" w:eastAsia="en-US"/>
    </w:rPr>
  </w:style>
  <w:style w:type="paragraph" w:styleId="NoSpacing">
    <w:name w:val="No Spacing"/>
    <w:link w:val="NoSpacingChar"/>
    <w:uiPriority w:val="1"/>
    <w:rsid w:val="00EF7C0C"/>
    <w:pPr>
      <w:spacing w:after="0" w:line="240" w:lineRule="auto"/>
    </w:pPr>
  </w:style>
  <w:style w:type="paragraph" w:customStyle="1" w:styleId="Report2Heading1">
    <w:name w:val="Report [2] Heading 1"/>
    <w:basedOn w:val="Normal"/>
    <w:next w:val="Report3Heading2"/>
    <w:link w:val="Report2Heading1Char"/>
    <w:rsid w:val="00883BFC"/>
    <w:pPr>
      <w:spacing w:line="340" w:lineRule="exact"/>
    </w:pPr>
    <w:rPr>
      <w:b/>
      <w:color w:val="00679F"/>
      <w:sz w:val="28"/>
    </w:rPr>
  </w:style>
  <w:style w:type="character" w:customStyle="1" w:styleId="Report2Heading1Char">
    <w:name w:val="Report [2] Heading 1 Char"/>
    <w:basedOn w:val="DefaultParagraphFont"/>
    <w:link w:val="Report2Heading1"/>
    <w:rsid w:val="00883BFC"/>
    <w:rPr>
      <w:rFonts w:ascii="HelveticaNeueLT Std Lt" w:hAnsi="HelveticaNeueLT Std Lt"/>
      <w:b/>
      <w:color w:val="00679F"/>
      <w:sz w:val="28"/>
    </w:rPr>
  </w:style>
  <w:style w:type="paragraph" w:customStyle="1" w:styleId="Report3Heading2">
    <w:name w:val="Report [3] Heading 2"/>
    <w:basedOn w:val="Report2Heading1"/>
    <w:next w:val="Normal"/>
    <w:link w:val="Report3Heading2Char"/>
    <w:rsid w:val="007176EB"/>
    <w:pPr>
      <w:spacing w:line="280" w:lineRule="exact"/>
    </w:pPr>
    <w:rPr>
      <w:color w:val="10BFE8"/>
      <w:sz w:val="20"/>
    </w:rPr>
  </w:style>
  <w:style w:type="character" w:customStyle="1" w:styleId="Report3Heading2Char">
    <w:name w:val="Report [3] Heading 2 Char"/>
    <w:basedOn w:val="Heading6Char"/>
    <w:link w:val="Report3Heading2"/>
    <w:rsid w:val="007176EB"/>
    <w:rPr>
      <w:rFonts w:ascii="HelveticaNeueLT Std Lt" w:eastAsiaTheme="majorEastAsia" w:hAnsi="HelveticaNeueLT Std Lt" w:cstheme="majorBidi"/>
      <w:b/>
      <w:iCs w:val="0"/>
      <w:color w:val="10BFE8"/>
      <w:sz w:val="20"/>
    </w:rPr>
  </w:style>
  <w:style w:type="paragraph" w:customStyle="1" w:styleId="ReportFigureTitle">
    <w:name w:val="Report Figure Title"/>
    <w:basedOn w:val="Normal"/>
    <w:next w:val="Normal"/>
    <w:link w:val="ReportFigureTitleChar"/>
    <w:qFormat/>
    <w:rsid w:val="008547D6"/>
    <w:pPr>
      <w:spacing w:before="57"/>
    </w:pPr>
    <w:rPr>
      <w:color w:val="00679F"/>
      <w:sz w:val="24"/>
      <w:szCs w:val="21"/>
    </w:rPr>
  </w:style>
  <w:style w:type="character" w:customStyle="1" w:styleId="ReportFigureTitleChar">
    <w:name w:val="Report Figure Title Char"/>
    <w:basedOn w:val="DefaultParagraphFont"/>
    <w:link w:val="ReportFigureTitle"/>
    <w:rsid w:val="008547D6"/>
    <w:rPr>
      <w:color w:val="00679F"/>
      <w:szCs w:val="21"/>
      <w:lang w:val="en-GB"/>
    </w:rPr>
  </w:style>
  <w:style w:type="paragraph" w:customStyle="1" w:styleId="ReportFigureSource">
    <w:name w:val="Report Figure Source"/>
    <w:basedOn w:val="Normal"/>
    <w:link w:val="ReportFigureSourceChar"/>
    <w:qFormat/>
    <w:rsid w:val="003329DB"/>
    <w:pPr>
      <w:spacing w:before="170" w:after="113" w:line="200" w:lineRule="exact"/>
    </w:pPr>
    <w:rPr>
      <w:i/>
      <w:color w:val="auto"/>
      <w:sz w:val="18"/>
    </w:rPr>
  </w:style>
  <w:style w:type="character" w:customStyle="1" w:styleId="ReportFigureSourceChar">
    <w:name w:val="Report Figure Source Char"/>
    <w:basedOn w:val="DefaultParagraphFont"/>
    <w:link w:val="ReportFigureSource"/>
    <w:rsid w:val="00E74233"/>
    <w:rPr>
      <w:i/>
      <w:sz w:val="18"/>
      <w:lang w:val="en-GB"/>
    </w:rPr>
  </w:style>
  <w:style w:type="paragraph" w:customStyle="1" w:styleId="ReportFigureNotesandFootnotes">
    <w:name w:val="Report Figure Notes and Footnotes"/>
    <w:basedOn w:val="ReportFigureSource"/>
    <w:next w:val="Normal"/>
    <w:link w:val="ReportFigureNotesandFootnotesChar"/>
    <w:qFormat/>
    <w:rsid w:val="00E74233"/>
    <w:pPr>
      <w:ind w:left="113" w:hanging="113"/>
    </w:pPr>
    <w:rPr>
      <w:i w:val="0"/>
    </w:rPr>
  </w:style>
  <w:style w:type="character" w:customStyle="1" w:styleId="ReportFigureNotesandFootnotesChar">
    <w:name w:val="Report Figure Notes and Footnotes Char"/>
    <w:basedOn w:val="ReportFigureSourceChar"/>
    <w:link w:val="ReportFigureNotesandFootnotes"/>
    <w:rsid w:val="00E74233"/>
    <w:rPr>
      <w:i w:val="0"/>
      <w:color w:val="4D4D4D"/>
      <w:sz w:val="18"/>
      <w:lang w:val="en-GB"/>
    </w:rPr>
  </w:style>
  <w:style w:type="paragraph" w:customStyle="1" w:styleId="L3SectionHeading">
    <w:name w:val="L3: Section Heading"/>
    <w:basedOn w:val="BodyText"/>
    <w:link w:val="L3SectionHeadingChar"/>
    <w:qFormat/>
    <w:rsid w:val="007407B9"/>
    <w:pPr>
      <w:keepNext/>
      <w:keepLines/>
      <w:spacing w:before="40" w:after="0" w:line="279" w:lineRule="auto"/>
      <w:outlineLvl w:val="2"/>
    </w:pPr>
    <w:rPr>
      <w:rFonts w:asciiTheme="minorHAnsi" w:eastAsiaTheme="majorEastAsia" w:hAnsiTheme="minorHAnsi" w:cstheme="majorBidi"/>
      <w:b/>
      <w:bCs/>
      <w:color w:val="0777A3"/>
      <w:sz w:val="24"/>
      <w:lang w:val="en-GB"/>
    </w:rPr>
  </w:style>
  <w:style w:type="character" w:customStyle="1" w:styleId="L3SectionHeadingChar">
    <w:name w:val="L3: Section Heading Char"/>
    <w:basedOn w:val="DefaultParagraphFont"/>
    <w:link w:val="L3SectionHeading"/>
    <w:rsid w:val="00226114"/>
    <w:rPr>
      <w:rFonts w:eastAsiaTheme="majorEastAsia" w:cstheme="majorBidi"/>
      <w:b/>
      <w:bCs/>
      <w:color w:val="0777A3"/>
      <w:szCs w:val="20"/>
      <w:lang w:val="en-GB" w:eastAsia="en-US"/>
    </w:rPr>
  </w:style>
  <w:style w:type="character" w:styleId="Hyperlink">
    <w:name w:val="Hyperlink"/>
    <w:basedOn w:val="DefaultParagraphFont"/>
    <w:uiPriority w:val="99"/>
    <w:unhideWhenUsed/>
    <w:rsid w:val="007407B9"/>
    <w:rPr>
      <w:color w:val="467886" w:themeColor="hyperlink"/>
      <w:u w:val="single"/>
    </w:rPr>
  </w:style>
  <w:style w:type="character" w:styleId="CommentReference">
    <w:name w:val="annotation reference"/>
    <w:basedOn w:val="DefaultParagraphFont"/>
    <w:uiPriority w:val="99"/>
    <w:semiHidden/>
    <w:unhideWhenUsed/>
    <w:rsid w:val="007407B9"/>
    <w:rPr>
      <w:sz w:val="16"/>
      <w:szCs w:val="16"/>
    </w:rPr>
  </w:style>
  <w:style w:type="paragraph" w:styleId="CommentText">
    <w:name w:val="annotation text"/>
    <w:basedOn w:val="Normal"/>
    <w:link w:val="CommentTextChar"/>
    <w:uiPriority w:val="99"/>
    <w:unhideWhenUsed/>
    <w:rsid w:val="007407B9"/>
    <w:pPr>
      <w:spacing w:after="160" w:line="240" w:lineRule="auto"/>
    </w:pPr>
    <w:rPr>
      <w:rFonts w:ascii="Calibri" w:eastAsiaTheme="minorHAnsi" w:hAnsi="Calibri"/>
      <w:color w:val="auto"/>
      <w:sz w:val="22"/>
      <w:szCs w:val="20"/>
      <w:lang w:val="en-AU" w:eastAsia="en-US"/>
    </w:rPr>
  </w:style>
  <w:style w:type="character" w:customStyle="1" w:styleId="CommentTextChar">
    <w:name w:val="Comment Text Char"/>
    <w:basedOn w:val="DefaultParagraphFont"/>
    <w:link w:val="CommentText"/>
    <w:uiPriority w:val="99"/>
    <w:rsid w:val="007407B9"/>
    <w:rPr>
      <w:rFonts w:ascii="Calibri" w:eastAsiaTheme="minorHAnsi" w:hAnsi="Calibri"/>
      <w:sz w:val="22"/>
      <w:szCs w:val="20"/>
      <w:lang w:val="en-AU" w:eastAsia="en-US"/>
    </w:rPr>
  </w:style>
  <w:style w:type="paragraph" w:customStyle="1" w:styleId="L2Sub-heading">
    <w:name w:val="L2: Sub-heading"/>
    <w:basedOn w:val="Heading2"/>
    <w:next w:val="L3SectionHeading"/>
    <w:link w:val="L2Sub-headingChar"/>
    <w:autoRedefine/>
    <w:qFormat/>
    <w:rsid w:val="00E55B7B"/>
    <w:pPr>
      <w:spacing w:before="40" w:after="0" w:line="240" w:lineRule="auto"/>
    </w:pPr>
    <w:rPr>
      <w:rFonts w:asciiTheme="minorHAnsi" w:hAnsiTheme="minorHAnsi"/>
      <w:b/>
      <w:bCs/>
      <w:color w:val="10BFE8"/>
      <w:sz w:val="36"/>
      <w:szCs w:val="40"/>
    </w:rPr>
  </w:style>
  <w:style w:type="character" w:customStyle="1" w:styleId="L2Sub-headingChar">
    <w:name w:val="L2: Sub-heading Char"/>
    <w:basedOn w:val="DefaultParagraphFont"/>
    <w:link w:val="L2Sub-heading"/>
    <w:rsid w:val="00E55B7B"/>
    <w:rPr>
      <w:rFonts w:eastAsiaTheme="majorEastAsia" w:cstheme="majorBidi"/>
      <w:b/>
      <w:bCs/>
      <w:color w:val="10BFE8"/>
      <w:sz w:val="36"/>
      <w:szCs w:val="40"/>
      <w:lang w:val="en-GB"/>
    </w:rPr>
  </w:style>
  <w:style w:type="table" w:styleId="GridTable1Light">
    <w:name w:val="Grid Table 1 Light"/>
    <w:basedOn w:val="TableNormal"/>
    <w:uiPriority w:val="46"/>
    <w:rsid w:val="0051077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Mention">
    <w:name w:val="Mention"/>
    <w:basedOn w:val="DefaultParagraphFont"/>
    <w:uiPriority w:val="99"/>
    <w:unhideWhenUsed/>
    <w:rsid w:val="0051077D"/>
    <w:rPr>
      <w:color w:val="2B579A"/>
      <w:shd w:val="clear" w:color="auto" w:fill="E1DFDD"/>
    </w:rPr>
  </w:style>
  <w:style w:type="paragraph" w:customStyle="1" w:styleId="ReportTableColumnRowTitles">
    <w:name w:val="Report Table Column/Row Titles"/>
    <w:basedOn w:val="ReportFigureTitle"/>
    <w:link w:val="ReportTableColumnRowTitlesChar"/>
    <w:qFormat/>
    <w:rsid w:val="002C0B54"/>
    <w:pPr>
      <w:spacing w:before="113" w:after="57" w:line="225" w:lineRule="exact"/>
    </w:pPr>
    <w:rPr>
      <w:b/>
      <w:bCs/>
      <w:sz w:val="21"/>
      <w:lang w:val="en-AU"/>
    </w:rPr>
  </w:style>
  <w:style w:type="character" w:customStyle="1" w:styleId="ReportTableColumnRowTitlesChar">
    <w:name w:val="Report Table Column/Row Titles Char"/>
    <w:basedOn w:val="DefaultParagraphFont"/>
    <w:link w:val="ReportTableColumnRowTitles"/>
    <w:rsid w:val="002C0B54"/>
    <w:rPr>
      <w:b/>
      <w:bCs/>
      <w:color w:val="00679F"/>
      <w:sz w:val="21"/>
      <w:szCs w:val="21"/>
      <w:lang w:val="en-AU"/>
    </w:rPr>
  </w:style>
  <w:style w:type="table" w:styleId="TableGridLight">
    <w:name w:val="Grid Table Light"/>
    <w:basedOn w:val="TableNormal"/>
    <w:uiPriority w:val="40"/>
    <w:rsid w:val="00514FD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ReportTableandFigureBody">
    <w:name w:val="Report Table and Figure Body"/>
    <w:basedOn w:val="Normal"/>
    <w:link w:val="ReportTableandFigureBodyChar"/>
    <w:qFormat/>
    <w:rsid w:val="003329DB"/>
    <w:pPr>
      <w:spacing w:after="0" w:line="240" w:lineRule="auto"/>
    </w:pPr>
    <w:rPr>
      <w:color w:val="auto"/>
      <w:lang w:val="en-AU"/>
    </w:rPr>
  </w:style>
  <w:style w:type="character" w:customStyle="1" w:styleId="ReportTableandFigureBodyChar">
    <w:name w:val="Report Table and Figure Body Char"/>
    <w:basedOn w:val="DefaultParagraphFont"/>
    <w:link w:val="ReportTableandFigureBody"/>
    <w:rsid w:val="000A5D30"/>
    <w:rPr>
      <w:sz w:val="21"/>
      <w:lang w:val="en-AU"/>
    </w:rPr>
  </w:style>
  <w:style w:type="paragraph" w:styleId="Header">
    <w:name w:val="header"/>
    <w:basedOn w:val="Normal"/>
    <w:link w:val="HeaderChar"/>
    <w:uiPriority w:val="99"/>
    <w:unhideWhenUsed/>
    <w:rsid w:val="00C0635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6359"/>
    <w:rPr>
      <w:rFonts w:ascii="HelveticaNeueLT Std Lt" w:hAnsi="HelveticaNeueLT Std Lt"/>
      <w:color w:val="636466"/>
      <w:sz w:val="19"/>
    </w:rPr>
  </w:style>
  <w:style w:type="paragraph" w:customStyle="1" w:styleId="L1Heading">
    <w:name w:val="L1: Heading"/>
    <w:basedOn w:val="Heading1"/>
    <w:link w:val="L1HeadingChar"/>
    <w:qFormat/>
    <w:rsid w:val="0090660C"/>
    <w:pPr>
      <w:spacing w:before="120" w:after="120"/>
    </w:pPr>
    <w:rPr>
      <w:rFonts w:asciiTheme="minorHAnsi" w:hAnsiTheme="minorHAnsi"/>
      <w:b/>
      <w:color w:val="00679F"/>
      <w:sz w:val="76"/>
    </w:rPr>
  </w:style>
  <w:style w:type="character" w:customStyle="1" w:styleId="L1HeadingChar">
    <w:name w:val="L1: Heading Char"/>
    <w:basedOn w:val="Heading6Char"/>
    <w:link w:val="L1Heading"/>
    <w:rsid w:val="0090660C"/>
    <w:rPr>
      <w:rFonts w:ascii="HelveticaNeueLT Std Lt" w:eastAsiaTheme="majorEastAsia" w:hAnsi="HelveticaNeueLT Std Lt" w:cstheme="majorBidi"/>
      <w:b/>
      <w:iCs w:val="0"/>
      <w:color w:val="00679F"/>
      <w:sz w:val="76"/>
      <w:szCs w:val="40"/>
      <w:lang w:val="en-GB"/>
    </w:rPr>
  </w:style>
  <w:style w:type="character" w:customStyle="1" w:styleId="TitleChar">
    <w:name w:val="Title Char"/>
    <w:basedOn w:val="DefaultParagraphFont"/>
    <w:link w:val="Title"/>
    <w:uiPriority w:val="10"/>
    <w:rsid w:val="00786D3E"/>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rsid w:val="00786D3E"/>
    <w:pPr>
      <w:spacing w:after="8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1">
    <w:name w:val="Title Char1"/>
    <w:basedOn w:val="DefaultParagraphFont"/>
    <w:uiPriority w:val="10"/>
    <w:rsid w:val="00786D3E"/>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786D3E"/>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rsid w:val="00786D3E"/>
    <w:pPr>
      <w:numPr>
        <w:ilvl w:val="1"/>
      </w:numPr>
      <w:spacing w:after="160" w:line="279" w:lineRule="auto"/>
    </w:pPr>
    <w:rPr>
      <w:rFonts w:eastAsiaTheme="majorEastAsia" w:cstheme="majorBidi"/>
      <w:color w:val="595959" w:themeColor="text1" w:themeTint="A6"/>
      <w:spacing w:val="15"/>
      <w:sz w:val="28"/>
      <w:szCs w:val="28"/>
    </w:rPr>
  </w:style>
  <w:style w:type="character" w:customStyle="1" w:styleId="SubtitleChar1">
    <w:name w:val="Subtitle Char1"/>
    <w:basedOn w:val="DefaultParagraphFont"/>
    <w:uiPriority w:val="11"/>
    <w:rsid w:val="00786D3E"/>
    <w:rPr>
      <w:color w:val="5A5A5A" w:themeColor="text1" w:themeTint="A5"/>
      <w:spacing w:val="15"/>
      <w:sz w:val="22"/>
      <w:szCs w:val="22"/>
    </w:rPr>
  </w:style>
  <w:style w:type="character" w:styleId="IntenseEmphasis">
    <w:name w:val="Intense Emphasis"/>
    <w:basedOn w:val="DefaultParagraphFont"/>
    <w:uiPriority w:val="21"/>
    <w:rsid w:val="00786D3E"/>
    <w:rPr>
      <w:i/>
      <w:iCs/>
      <w:color w:val="0F4761" w:themeColor="accent1" w:themeShade="BF"/>
    </w:rPr>
  </w:style>
  <w:style w:type="character" w:customStyle="1" w:styleId="QuoteChar">
    <w:name w:val="Quote Char"/>
    <w:basedOn w:val="DefaultParagraphFont"/>
    <w:link w:val="Quote"/>
    <w:uiPriority w:val="29"/>
    <w:rsid w:val="00786D3E"/>
    <w:rPr>
      <w:i/>
      <w:iCs/>
      <w:color w:val="404040" w:themeColor="text1" w:themeTint="BF"/>
    </w:rPr>
  </w:style>
  <w:style w:type="paragraph" w:styleId="Quote">
    <w:name w:val="Quote"/>
    <w:basedOn w:val="Normal"/>
    <w:next w:val="Normal"/>
    <w:link w:val="QuoteChar"/>
    <w:uiPriority w:val="29"/>
    <w:rsid w:val="00786D3E"/>
    <w:pPr>
      <w:spacing w:before="160" w:after="160" w:line="279" w:lineRule="auto"/>
      <w:jc w:val="center"/>
    </w:pPr>
    <w:rPr>
      <w:i/>
      <w:iCs/>
      <w:color w:val="404040" w:themeColor="text1" w:themeTint="BF"/>
      <w:sz w:val="24"/>
    </w:rPr>
  </w:style>
  <w:style w:type="character" w:customStyle="1" w:styleId="QuoteChar1">
    <w:name w:val="Quote Char1"/>
    <w:basedOn w:val="DefaultParagraphFont"/>
    <w:uiPriority w:val="29"/>
    <w:rsid w:val="00786D3E"/>
    <w:rPr>
      <w:rFonts w:ascii="HelveticaNeueLT Std Lt" w:hAnsi="HelveticaNeueLT Std Lt"/>
      <w:i/>
      <w:iCs/>
      <w:color w:val="404040" w:themeColor="text1" w:themeTint="BF"/>
      <w:sz w:val="19"/>
    </w:rPr>
  </w:style>
  <w:style w:type="character" w:customStyle="1" w:styleId="IntenseQuoteChar">
    <w:name w:val="Intense Quote Char"/>
    <w:basedOn w:val="DefaultParagraphFont"/>
    <w:link w:val="IntenseQuote"/>
    <w:uiPriority w:val="30"/>
    <w:rsid w:val="00786D3E"/>
    <w:rPr>
      <w:i/>
      <w:iCs/>
      <w:color w:val="0F4761" w:themeColor="accent1" w:themeShade="BF"/>
    </w:rPr>
  </w:style>
  <w:style w:type="paragraph" w:styleId="IntenseQuote">
    <w:name w:val="Intense Quote"/>
    <w:basedOn w:val="Normal"/>
    <w:next w:val="Normal"/>
    <w:link w:val="IntenseQuoteChar"/>
    <w:uiPriority w:val="30"/>
    <w:rsid w:val="00786D3E"/>
    <w:pPr>
      <w:pBdr>
        <w:top w:val="single" w:sz="4" w:space="10" w:color="0F4761" w:themeColor="accent1" w:themeShade="BF"/>
        <w:bottom w:val="single" w:sz="4" w:space="10" w:color="0F4761" w:themeColor="accent1" w:themeShade="BF"/>
      </w:pBdr>
      <w:spacing w:before="360" w:after="360" w:line="279" w:lineRule="auto"/>
      <w:ind w:left="864" w:right="864"/>
      <w:jc w:val="center"/>
    </w:pPr>
    <w:rPr>
      <w:i/>
      <w:iCs/>
      <w:color w:val="0F4761" w:themeColor="accent1" w:themeShade="BF"/>
      <w:sz w:val="24"/>
    </w:rPr>
  </w:style>
  <w:style w:type="character" w:customStyle="1" w:styleId="IntenseQuoteChar1">
    <w:name w:val="Intense Quote Char1"/>
    <w:basedOn w:val="DefaultParagraphFont"/>
    <w:uiPriority w:val="30"/>
    <w:rsid w:val="00786D3E"/>
    <w:rPr>
      <w:rFonts w:ascii="HelveticaNeueLT Std Lt" w:hAnsi="HelveticaNeueLT Std Lt"/>
      <w:i/>
      <w:iCs/>
      <w:color w:val="156082" w:themeColor="accent1"/>
      <w:sz w:val="19"/>
    </w:rPr>
  </w:style>
  <w:style w:type="character" w:styleId="IntenseReference">
    <w:name w:val="Intense Reference"/>
    <w:basedOn w:val="DefaultParagraphFont"/>
    <w:uiPriority w:val="32"/>
    <w:rsid w:val="00786D3E"/>
    <w:rPr>
      <w:b/>
      <w:bCs/>
      <w:smallCaps/>
      <w:color w:val="0F4761" w:themeColor="accent1" w:themeShade="BF"/>
      <w:spacing w:val="5"/>
    </w:rPr>
  </w:style>
  <w:style w:type="paragraph" w:customStyle="1" w:styleId="Box1Heading">
    <w:name w:val="Box 1 Heading"/>
    <w:basedOn w:val="Normal"/>
    <w:link w:val="Box1HeadingChar"/>
    <w:rsid w:val="00786D3E"/>
    <w:pPr>
      <w:spacing w:after="0" w:line="240" w:lineRule="auto"/>
    </w:pPr>
    <w:rPr>
      <w:color w:val="0777A3"/>
      <w:sz w:val="28"/>
      <w:szCs w:val="28"/>
    </w:rPr>
  </w:style>
  <w:style w:type="character" w:customStyle="1" w:styleId="Box1HeadingChar">
    <w:name w:val="Box 1 Heading Char"/>
    <w:basedOn w:val="DefaultParagraphFont"/>
    <w:link w:val="Box1Heading"/>
    <w:rsid w:val="00786D3E"/>
    <w:rPr>
      <w:color w:val="0777A3"/>
      <w:sz w:val="28"/>
      <w:szCs w:val="28"/>
    </w:rPr>
  </w:style>
  <w:style w:type="paragraph" w:customStyle="1" w:styleId="BodyText1">
    <w:name w:val="Body Text1"/>
    <w:basedOn w:val="Normal"/>
    <w:link w:val="BodytextChar"/>
    <w:rsid w:val="00786D3E"/>
    <w:pPr>
      <w:spacing w:after="0" w:line="276" w:lineRule="auto"/>
    </w:pPr>
    <w:rPr>
      <w:rFonts w:ascii="Calibri" w:hAnsi="Calibri"/>
      <w:sz w:val="22"/>
      <w:szCs w:val="22"/>
    </w:rPr>
  </w:style>
  <w:style w:type="character" w:customStyle="1" w:styleId="BodytextChar">
    <w:name w:val="Body text Char"/>
    <w:basedOn w:val="DefaultParagraphFont"/>
    <w:link w:val="BodyText1"/>
    <w:rsid w:val="00786D3E"/>
    <w:rPr>
      <w:rFonts w:ascii="Calibri" w:hAnsi="Calibri"/>
      <w:color w:val="000000" w:themeColor="text1"/>
      <w:sz w:val="22"/>
      <w:szCs w:val="22"/>
      <w:lang w:val="en-GB"/>
    </w:rPr>
  </w:style>
  <w:style w:type="paragraph" w:customStyle="1" w:styleId="L4Sub-sectionHeading">
    <w:name w:val="L4: Sub-section Heading"/>
    <w:basedOn w:val="Normal"/>
    <w:next w:val="Normal"/>
    <w:link w:val="L4Sub-sectionHeadingChar"/>
    <w:qFormat/>
    <w:rsid w:val="00786D3E"/>
    <w:pPr>
      <w:keepNext/>
      <w:keepLines/>
      <w:spacing w:before="40" w:after="0" w:line="276" w:lineRule="auto"/>
      <w:outlineLvl w:val="3"/>
    </w:pPr>
    <w:rPr>
      <w:rFonts w:eastAsiaTheme="majorEastAsia" w:cstheme="majorBidi"/>
      <w:b/>
      <w:bCs/>
      <w:i/>
      <w:iCs/>
      <w:color w:val="0777A3"/>
      <w:sz w:val="22"/>
      <w:szCs w:val="22"/>
    </w:rPr>
  </w:style>
  <w:style w:type="character" w:customStyle="1" w:styleId="L4Sub-sectionHeadingChar">
    <w:name w:val="L4: Sub-section Heading Char"/>
    <w:basedOn w:val="DefaultParagraphFont"/>
    <w:link w:val="L4Sub-sectionHeading"/>
    <w:rsid w:val="00786D3E"/>
    <w:rPr>
      <w:rFonts w:eastAsiaTheme="majorEastAsia" w:cstheme="majorBidi"/>
      <w:b/>
      <w:bCs/>
      <w:i/>
      <w:iCs/>
      <w:color w:val="0777A3"/>
      <w:sz w:val="22"/>
      <w:szCs w:val="22"/>
    </w:rPr>
  </w:style>
  <w:style w:type="paragraph" w:styleId="ListParagraph">
    <w:name w:val="List Paragraph"/>
    <w:aliases w:val="1 heading,DDM Gen Text,List Paragraph1,List Paragraph11,Recommendation,Bullet 1,Bullet list,List 1,L,bullet point list,Bullet point,Dot point 1.5 line spacing,List Paragraph - bullets,NFP GP Bulleted List,Bulleted Para,FooterText,numbered"/>
    <w:basedOn w:val="Normal"/>
    <w:link w:val="ListParagraphChar"/>
    <w:uiPriority w:val="34"/>
    <w:qFormat/>
    <w:rsid w:val="00786D3E"/>
    <w:pPr>
      <w:spacing w:after="160" w:line="279" w:lineRule="auto"/>
      <w:ind w:left="720"/>
      <w:contextualSpacing/>
    </w:pPr>
    <w:rPr>
      <w:color w:val="auto"/>
      <w:sz w:val="24"/>
    </w:rPr>
  </w:style>
  <w:style w:type="table" w:styleId="TableGrid">
    <w:name w:val="Table Grid"/>
    <w:aliases w:val="Table 1,Table Layout,none,ICB Table,PB Table,1TableGrid,McLL Table General Text,SGS Numeric Table,GTA,EP Table Grid,CV table,EY Table,EY Question Table,EYTable,CV1,new tab,Equifax table,Header Table,Format for the table,Header Table Grid,AEMO"/>
    <w:basedOn w:val="TableNormal"/>
    <w:uiPriority w:val="59"/>
    <w:rsid w:val="00786D3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Revision">
    <w:name w:val="Revision"/>
    <w:hidden/>
    <w:uiPriority w:val="99"/>
    <w:semiHidden/>
    <w:rsid w:val="00786D3E"/>
    <w:pPr>
      <w:spacing w:after="0" w:line="240" w:lineRule="auto"/>
    </w:pPr>
  </w:style>
  <w:style w:type="character" w:styleId="UnresolvedMention">
    <w:name w:val="Unresolved Mention"/>
    <w:basedOn w:val="DefaultParagraphFont"/>
    <w:uiPriority w:val="99"/>
    <w:semiHidden/>
    <w:unhideWhenUsed/>
    <w:rsid w:val="00786D3E"/>
    <w:rPr>
      <w:color w:val="605E5C"/>
      <w:shd w:val="clear" w:color="auto" w:fill="E1DFDD"/>
    </w:rPr>
  </w:style>
  <w:style w:type="character" w:styleId="FollowedHyperlink">
    <w:name w:val="FollowedHyperlink"/>
    <w:basedOn w:val="DefaultParagraphFont"/>
    <w:uiPriority w:val="99"/>
    <w:semiHidden/>
    <w:unhideWhenUsed/>
    <w:rsid w:val="00786D3E"/>
    <w:rPr>
      <w:color w:val="96607D" w:themeColor="followedHyperlink"/>
      <w:u w:val="single"/>
    </w:rPr>
  </w:style>
  <w:style w:type="paragraph" w:styleId="NormalWeb">
    <w:name w:val="Normal (Web)"/>
    <w:basedOn w:val="Normal"/>
    <w:uiPriority w:val="99"/>
    <w:unhideWhenUsed/>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paragraph" w:styleId="FootnoteText">
    <w:name w:val="footnote text"/>
    <w:basedOn w:val="Normal"/>
    <w:link w:val="FootnoteTextChar"/>
    <w:uiPriority w:val="99"/>
    <w:unhideWhenUsed/>
    <w:rsid w:val="00786D3E"/>
    <w:pPr>
      <w:spacing w:after="0" w:line="240" w:lineRule="auto"/>
    </w:pPr>
    <w:rPr>
      <w:color w:val="auto"/>
      <w:sz w:val="20"/>
      <w:szCs w:val="20"/>
    </w:rPr>
  </w:style>
  <w:style w:type="character" w:customStyle="1" w:styleId="FootnoteTextChar">
    <w:name w:val="Footnote Text Char"/>
    <w:basedOn w:val="DefaultParagraphFont"/>
    <w:link w:val="FootnoteText"/>
    <w:uiPriority w:val="99"/>
    <w:rsid w:val="00786D3E"/>
    <w:rPr>
      <w:sz w:val="20"/>
      <w:szCs w:val="20"/>
    </w:rPr>
  </w:style>
  <w:style w:type="character" w:styleId="FootnoteReference">
    <w:name w:val="footnote reference"/>
    <w:basedOn w:val="DefaultParagraphFont"/>
    <w:uiPriority w:val="99"/>
    <w:semiHidden/>
    <w:unhideWhenUsed/>
    <w:rsid w:val="00786D3E"/>
    <w:rPr>
      <w:vertAlign w:val="superscript"/>
    </w:rPr>
  </w:style>
  <w:style w:type="character" w:customStyle="1" w:styleId="cf01">
    <w:name w:val="cf01"/>
    <w:basedOn w:val="DefaultParagraphFont"/>
    <w:rsid w:val="00786D3E"/>
    <w:rPr>
      <w:rFonts w:ascii="Segoe UI" w:hAnsi="Segoe UI" w:cs="Segoe UI" w:hint="default"/>
      <w:sz w:val="18"/>
      <w:szCs w:val="18"/>
    </w:rPr>
  </w:style>
  <w:style w:type="table" w:customStyle="1" w:styleId="TableGrid1">
    <w:name w:val="Table Grid1"/>
    <w:basedOn w:val="TableNormal"/>
    <w:next w:val="TableGrid"/>
    <w:uiPriority w:val="39"/>
    <w:rsid w:val="00786D3E"/>
    <w:pPr>
      <w:spacing w:after="0" w:line="240" w:lineRule="auto"/>
    </w:pPr>
    <w:rPr>
      <w:rFonts w:eastAsia="Aptos"/>
      <w:kern w:val="2"/>
      <w:sz w:val="22"/>
      <w:szCs w:val="22"/>
      <w:lang w:val="en-AU"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dress">
    <w:name w:val="Address"/>
    <w:basedOn w:val="Subtitle"/>
    <w:rsid w:val="00786D3E"/>
  </w:style>
  <w:style w:type="paragraph" w:customStyle="1" w:styleId="Authoranddate">
    <w:name w:val="Author and date"/>
    <w:basedOn w:val="Subtitle"/>
    <w:link w:val="AuthoranddateChar"/>
    <w:rsid w:val="00786D3E"/>
  </w:style>
  <w:style w:type="character" w:customStyle="1" w:styleId="AuthoranddateChar">
    <w:name w:val="Author and date Char"/>
    <w:basedOn w:val="SubtitleChar"/>
    <w:link w:val="Authoranddate"/>
    <w:rsid w:val="00786D3E"/>
    <w:rPr>
      <w:rFonts w:eastAsiaTheme="majorEastAsia" w:cstheme="majorBidi"/>
      <w:color w:val="595959" w:themeColor="text1" w:themeTint="A6"/>
      <w:spacing w:val="15"/>
      <w:sz w:val="28"/>
      <w:szCs w:val="28"/>
    </w:rPr>
  </w:style>
  <w:style w:type="paragraph" w:styleId="BalloonText">
    <w:name w:val="Balloon Text"/>
    <w:basedOn w:val="Normal"/>
    <w:link w:val="BalloonTextChar"/>
    <w:uiPriority w:val="99"/>
    <w:semiHidden/>
    <w:unhideWhenUsed/>
    <w:rsid w:val="00786D3E"/>
    <w:pPr>
      <w:spacing w:after="0" w:line="240" w:lineRule="auto"/>
    </w:pPr>
    <w:rPr>
      <w:rFonts w:ascii="Segoe UI" w:eastAsiaTheme="minorHAnsi" w:hAnsi="Segoe UI" w:cs="Segoe UI"/>
      <w:color w:val="auto"/>
      <w:sz w:val="18"/>
      <w:szCs w:val="18"/>
      <w:lang w:val="en-AU" w:eastAsia="en-US"/>
    </w:rPr>
  </w:style>
  <w:style w:type="character" w:customStyle="1" w:styleId="BalloonTextChar">
    <w:name w:val="Balloon Text Char"/>
    <w:basedOn w:val="DefaultParagraphFont"/>
    <w:link w:val="BalloonText"/>
    <w:uiPriority w:val="99"/>
    <w:semiHidden/>
    <w:rsid w:val="00786D3E"/>
    <w:rPr>
      <w:rFonts w:ascii="Segoe UI" w:eastAsiaTheme="minorHAnsi" w:hAnsi="Segoe UI" w:cs="Segoe UI"/>
      <w:sz w:val="18"/>
      <w:szCs w:val="18"/>
      <w:lang w:val="en-AU" w:eastAsia="en-US"/>
    </w:rPr>
  </w:style>
  <w:style w:type="paragraph" w:styleId="BodyText">
    <w:name w:val="Body Text"/>
    <w:basedOn w:val="Normal"/>
    <w:link w:val="BodyTextChar0"/>
    <w:autoRedefine/>
    <w:uiPriority w:val="1"/>
    <w:rsid w:val="00786D3E"/>
    <w:pPr>
      <w:spacing w:line="276" w:lineRule="auto"/>
    </w:pPr>
    <w:rPr>
      <w:rFonts w:ascii="Calibri" w:eastAsiaTheme="minorHAnsi" w:hAnsi="Calibri"/>
      <w:color w:val="000000"/>
      <w:sz w:val="22"/>
      <w:szCs w:val="20"/>
      <w:lang w:val="en-AU" w:eastAsia="en-US"/>
    </w:rPr>
  </w:style>
  <w:style w:type="character" w:customStyle="1" w:styleId="BodyTextChar0">
    <w:name w:val="Body Text Char"/>
    <w:basedOn w:val="DefaultParagraphFont"/>
    <w:link w:val="BodyText"/>
    <w:uiPriority w:val="1"/>
    <w:rsid w:val="00786D3E"/>
    <w:rPr>
      <w:rFonts w:ascii="Calibri" w:eastAsiaTheme="minorHAnsi" w:hAnsi="Calibri"/>
      <w:color w:val="000000"/>
      <w:sz w:val="22"/>
      <w:szCs w:val="20"/>
      <w:lang w:val="en-AU" w:eastAsia="en-US"/>
    </w:rPr>
  </w:style>
  <w:style w:type="paragraph" w:customStyle="1" w:styleId="Calloutboxtext">
    <w:name w:val="Call out box text"/>
    <w:basedOn w:val="Normal"/>
    <w:link w:val="CalloutboxtextChar"/>
    <w:rsid w:val="00786D3E"/>
    <w:pPr>
      <w:pBdr>
        <w:top w:val="single" w:sz="4" w:space="6" w:color="C1E4F5" w:themeColor="accent1" w:themeTint="33"/>
        <w:left w:val="single" w:sz="4" w:space="4" w:color="C1E4F5" w:themeColor="accent1" w:themeTint="33"/>
        <w:bottom w:val="single" w:sz="4" w:space="6" w:color="C1E4F5" w:themeColor="accent1" w:themeTint="33"/>
        <w:right w:val="single" w:sz="4" w:space="4" w:color="C1E4F5" w:themeColor="accent1" w:themeTint="33"/>
      </w:pBdr>
      <w:shd w:val="clear" w:color="auto" w:fill="C1E4F5" w:themeFill="accent1" w:themeFillTint="33"/>
      <w:spacing w:line="276" w:lineRule="auto"/>
      <w:contextualSpacing/>
    </w:pPr>
    <w:rPr>
      <w:rFonts w:ascii="Calibri" w:eastAsiaTheme="minorHAnsi" w:hAnsi="Calibri"/>
      <w:color w:val="auto"/>
      <w:sz w:val="22"/>
      <w:szCs w:val="22"/>
      <w:lang w:val="en-AU" w:eastAsia="en-US"/>
    </w:rPr>
  </w:style>
  <w:style w:type="paragraph" w:styleId="Caption">
    <w:name w:val="caption"/>
    <w:basedOn w:val="Normal"/>
    <w:next w:val="Normal"/>
    <w:uiPriority w:val="35"/>
    <w:unhideWhenUsed/>
    <w:rsid w:val="00786D3E"/>
    <w:pPr>
      <w:spacing w:line="240" w:lineRule="auto"/>
    </w:pPr>
    <w:rPr>
      <w:rFonts w:ascii="Calibri" w:eastAsiaTheme="minorHAnsi" w:hAnsi="Calibri"/>
      <w:i/>
      <w:iCs/>
      <w:color w:val="0E2841" w:themeColor="text2"/>
      <w:sz w:val="22"/>
      <w:szCs w:val="18"/>
      <w:lang w:val="en-AU" w:eastAsia="en-US"/>
    </w:rPr>
  </w:style>
  <w:style w:type="paragraph" w:customStyle="1" w:styleId="ChapterHeading2">
    <w:name w:val="Chapter Heading 2"/>
    <w:basedOn w:val="Heading2"/>
    <w:next w:val="BodyText"/>
    <w:uiPriority w:val="5"/>
    <w:rsid w:val="00786D3E"/>
    <w:pPr>
      <w:keepLines w:val="0"/>
      <w:spacing w:before="200" w:after="120" w:line="240" w:lineRule="auto"/>
      <w:contextualSpacing/>
    </w:pPr>
    <w:rPr>
      <w:rFonts w:ascii="Calibri" w:eastAsia="Times New Roman" w:hAnsi="Calibri" w:cstheme="minorBidi"/>
      <w:iCs/>
      <w:color w:val="156082" w:themeColor="accent1"/>
      <w:sz w:val="36"/>
      <w:szCs w:val="28"/>
      <w:lang w:val="en-AU" w:eastAsia="en-US"/>
    </w:rPr>
  </w:style>
  <w:style w:type="character" w:styleId="Emphasis">
    <w:name w:val="Emphasis"/>
    <w:basedOn w:val="DefaultParagraphFont"/>
    <w:uiPriority w:val="20"/>
    <w:rsid w:val="00786D3E"/>
    <w:rPr>
      <w:i/>
      <w:iCs/>
    </w:rPr>
  </w:style>
  <w:style w:type="paragraph" w:customStyle="1" w:styleId="ESheading2">
    <w:name w:val="ES heading 2"/>
    <w:basedOn w:val="Normal"/>
    <w:rsid w:val="00786D3E"/>
    <w:pPr>
      <w:keepNext/>
      <w:spacing w:before="200" w:line="240" w:lineRule="auto"/>
      <w:contextualSpacing/>
      <w:outlineLvl w:val="1"/>
    </w:pPr>
    <w:rPr>
      <w:rFonts w:ascii="Calibri" w:eastAsia="Times New Roman" w:hAnsi="Calibri"/>
      <w:iCs/>
      <w:color w:val="156082" w:themeColor="accent1"/>
      <w:sz w:val="28"/>
      <w:szCs w:val="28"/>
      <w:lang w:val="en-AU" w:eastAsia="en-US"/>
    </w:rPr>
  </w:style>
  <w:style w:type="table" w:styleId="GridTable1Light-Accent2">
    <w:name w:val="Grid Table 1 Light Accent 2"/>
    <w:basedOn w:val="TableNormal"/>
    <w:uiPriority w:val="46"/>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F6C5AC" w:themeColor="accent2" w:themeTint="66"/>
        <w:left w:val="single" w:sz="4" w:space="0" w:color="F6C5AC" w:themeColor="accent2" w:themeTint="66"/>
        <w:bottom w:val="single" w:sz="4" w:space="0" w:color="F6C5AC" w:themeColor="accent2" w:themeTint="66"/>
        <w:right w:val="single" w:sz="4" w:space="0" w:color="F6C5AC" w:themeColor="accent2" w:themeTint="66"/>
        <w:insideH w:val="single" w:sz="4" w:space="0" w:color="F6C5AC" w:themeColor="accent2" w:themeTint="66"/>
        <w:insideV w:val="single" w:sz="4" w:space="0" w:color="F6C5AC" w:themeColor="accent2" w:themeTint="66"/>
      </w:tblBorders>
    </w:tblPr>
    <w:tblStylePr w:type="firstRow">
      <w:rPr>
        <w:b/>
        <w:bCs/>
      </w:rPr>
      <w:tblPr/>
      <w:tcPr>
        <w:tcBorders>
          <w:bottom w:val="single" w:sz="12" w:space="0" w:color="F1A983" w:themeColor="accent2" w:themeTint="99"/>
        </w:tcBorders>
      </w:tcPr>
    </w:tblStylePr>
    <w:tblStylePr w:type="lastRow">
      <w:rPr>
        <w:b/>
        <w:bCs/>
      </w:rPr>
      <w:tblPr/>
      <w:tcPr>
        <w:tcBorders>
          <w:top w:val="double" w:sz="2" w:space="0" w:color="F1A983" w:themeColor="accent2"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GridTable4-Accent2">
    <w:name w:val="Grid Table 4 Accent 2"/>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Pr>
    <w:tblStylePr w:type="firstRow">
      <w:rPr>
        <w:b/>
        <w:bCs/>
        <w:color w:val="FFFFFF" w:themeColor="background1"/>
      </w:rPr>
      <w:tblPr/>
      <w:tcPr>
        <w:tcBorders>
          <w:top w:val="single" w:sz="4" w:space="0" w:color="E97132" w:themeColor="accent2"/>
          <w:left w:val="single" w:sz="4" w:space="0" w:color="E97132" w:themeColor="accent2"/>
          <w:bottom w:val="single" w:sz="4" w:space="0" w:color="E97132" w:themeColor="accent2"/>
          <w:right w:val="single" w:sz="4" w:space="0" w:color="E97132" w:themeColor="accent2"/>
          <w:insideH w:val="nil"/>
          <w:insideV w:val="nil"/>
        </w:tcBorders>
        <w:shd w:val="clear" w:color="auto" w:fill="E97132" w:themeFill="accent2"/>
      </w:tcPr>
    </w:tblStylePr>
    <w:tblStylePr w:type="lastRow">
      <w:rPr>
        <w:b/>
        <w:bCs/>
      </w:rPr>
      <w:tblPr/>
      <w:tcPr>
        <w:tcBorders>
          <w:top w:val="double" w:sz="4" w:space="0" w:color="E97132" w:themeColor="accent2"/>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styleId="GridTable4-Accent3">
    <w:name w:val="Grid Table 4 Accent 3"/>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GridTable4-Accent4">
    <w:name w:val="Grid Table 4 Accent 4"/>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insideV w:val="nil"/>
        </w:tcBorders>
        <w:shd w:val="clear" w:color="auto" w:fill="0F9ED5" w:themeFill="accent4"/>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styleId="GridTable4-Accent5">
    <w:name w:val="Grid Table 4 Accent 5"/>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table" w:styleId="GridTable5Dark-Accent1">
    <w:name w:val="Grid Table 5 Dark Accent 1"/>
    <w:basedOn w:val="TableNormal"/>
    <w:uiPriority w:val="50"/>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4F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5608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5608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5608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56082" w:themeFill="accent1"/>
      </w:tcPr>
    </w:tblStylePr>
    <w:tblStylePr w:type="band1Vert">
      <w:tblPr/>
      <w:tcPr>
        <w:shd w:val="clear" w:color="auto" w:fill="83CAEB" w:themeFill="accent1" w:themeFillTint="66"/>
      </w:tcPr>
    </w:tblStylePr>
    <w:tblStylePr w:type="band1Horz">
      <w:tblPr/>
      <w:tcPr>
        <w:shd w:val="clear" w:color="auto" w:fill="83CAEB" w:themeFill="accent1" w:themeFillTint="66"/>
      </w:tcPr>
    </w:tblStylePr>
  </w:style>
  <w:style w:type="paragraph" w:customStyle="1" w:styleId="Headingnon-numbered">
    <w:name w:val="Heading (non-numbered)"/>
    <w:basedOn w:val="Heading1"/>
    <w:next w:val="BodyText"/>
    <w:uiPriority w:val="5"/>
    <w:rsid w:val="00786D3E"/>
    <w:pPr>
      <w:keepLines w:val="0"/>
      <w:pageBreakBefore/>
      <w:spacing w:before="800" w:after="480" w:line="240" w:lineRule="auto"/>
      <w:contextualSpacing/>
    </w:pPr>
    <w:rPr>
      <w:rFonts w:ascii="Calibri" w:eastAsia="Times New Roman" w:hAnsi="Calibri" w:cstheme="minorBidi"/>
      <w:b/>
      <w:bCs/>
      <w:caps/>
      <w:color w:val="0C9FCD"/>
      <w:szCs w:val="32"/>
      <w:lang w:val="en-AU" w:eastAsia="en-US"/>
    </w:rPr>
  </w:style>
  <w:style w:type="table" w:styleId="ListTable3-Accent2">
    <w:name w:val="List Table 3 Accent 2"/>
    <w:basedOn w:val="TableNormal"/>
    <w:uiPriority w:val="48"/>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E97132" w:themeColor="accent2"/>
        <w:left w:val="single" w:sz="4" w:space="0" w:color="E97132" w:themeColor="accent2"/>
        <w:bottom w:val="single" w:sz="4" w:space="0" w:color="E97132" w:themeColor="accent2"/>
        <w:right w:val="single" w:sz="4" w:space="0" w:color="E97132" w:themeColor="accent2"/>
      </w:tblBorders>
    </w:tblPr>
    <w:tblStylePr w:type="firstRow">
      <w:rPr>
        <w:b/>
        <w:bCs/>
        <w:color w:val="FFFFFF" w:themeColor="background1"/>
      </w:rPr>
      <w:tblPr/>
      <w:tcPr>
        <w:shd w:val="clear" w:color="auto" w:fill="E97132" w:themeFill="accent2"/>
      </w:tcPr>
    </w:tblStylePr>
    <w:tblStylePr w:type="lastRow">
      <w:rPr>
        <w:b/>
        <w:bCs/>
      </w:rPr>
      <w:tblPr/>
      <w:tcPr>
        <w:tcBorders>
          <w:top w:val="double" w:sz="4" w:space="0" w:color="E97132"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97132" w:themeColor="accent2"/>
          <w:right w:val="single" w:sz="4" w:space="0" w:color="E97132" w:themeColor="accent2"/>
        </w:tcBorders>
      </w:tcPr>
    </w:tblStylePr>
    <w:tblStylePr w:type="band1Horz">
      <w:tblPr/>
      <w:tcPr>
        <w:tcBorders>
          <w:top w:val="single" w:sz="4" w:space="0" w:color="E97132" w:themeColor="accent2"/>
          <w:bottom w:val="single" w:sz="4" w:space="0" w:color="E97132"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97132" w:themeColor="accent2"/>
          <w:left w:val="nil"/>
        </w:tcBorders>
      </w:tcPr>
    </w:tblStylePr>
    <w:tblStylePr w:type="swCell">
      <w:tblPr/>
      <w:tcPr>
        <w:tcBorders>
          <w:top w:val="double" w:sz="4" w:space="0" w:color="E97132" w:themeColor="accent2"/>
          <w:right w:val="nil"/>
        </w:tcBorders>
      </w:tcPr>
    </w:tblStylePr>
  </w:style>
  <w:style w:type="table" w:styleId="ListTable3-Accent3">
    <w:name w:val="List Table 3 Accent 3"/>
    <w:basedOn w:val="TableNormal"/>
    <w:uiPriority w:val="48"/>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196B24" w:themeColor="accent3"/>
        <w:left w:val="single" w:sz="4" w:space="0" w:color="196B24" w:themeColor="accent3"/>
        <w:bottom w:val="single" w:sz="4" w:space="0" w:color="196B24" w:themeColor="accent3"/>
        <w:right w:val="single" w:sz="4" w:space="0" w:color="196B24" w:themeColor="accent3"/>
      </w:tblBorders>
    </w:tblPr>
    <w:tblStylePr w:type="firstRow">
      <w:rPr>
        <w:b/>
        <w:bCs/>
        <w:color w:val="FFFFFF" w:themeColor="background1"/>
      </w:rPr>
      <w:tblPr/>
      <w:tcPr>
        <w:shd w:val="clear" w:color="auto" w:fill="196B24" w:themeFill="accent3"/>
      </w:tcPr>
    </w:tblStylePr>
    <w:tblStylePr w:type="lastRow">
      <w:rPr>
        <w:b/>
        <w:bCs/>
      </w:rPr>
      <w:tblPr/>
      <w:tcPr>
        <w:tcBorders>
          <w:top w:val="double" w:sz="4" w:space="0" w:color="196B24"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96B24" w:themeColor="accent3"/>
          <w:right w:val="single" w:sz="4" w:space="0" w:color="196B24" w:themeColor="accent3"/>
        </w:tcBorders>
      </w:tcPr>
    </w:tblStylePr>
    <w:tblStylePr w:type="band1Horz">
      <w:tblPr/>
      <w:tcPr>
        <w:tcBorders>
          <w:top w:val="single" w:sz="4" w:space="0" w:color="196B24" w:themeColor="accent3"/>
          <w:bottom w:val="single" w:sz="4" w:space="0" w:color="196B24"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96B24" w:themeColor="accent3"/>
          <w:left w:val="nil"/>
        </w:tcBorders>
      </w:tcPr>
    </w:tblStylePr>
    <w:tblStylePr w:type="swCell">
      <w:tblPr/>
      <w:tcPr>
        <w:tcBorders>
          <w:top w:val="double" w:sz="4" w:space="0" w:color="196B24" w:themeColor="accent3"/>
          <w:right w:val="nil"/>
        </w:tcBorders>
      </w:tcPr>
    </w:tblStylePr>
  </w:style>
  <w:style w:type="character" w:customStyle="1" w:styleId="NoSpacingChar">
    <w:name w:val="No Spacing Char"/>
    <w:basedOn w:val="DefaultParagraphFont"/>
    <w:link w:val="NoSpacing"/>
    <w:uiPriority w:val="1"/>
    <w:rsid w:val="00786D3E"/>
  </w:style>
  <w:style w:type="character" w:styleId="PlaceholderText">
    <w:name w:val="Placeholder Text"/>
    <w:basedOn w:val="DefaultParagraphFont"/>
    <w:uiPriority w:val="99"/>
    <w:semiHidden/>
    <w:rsid w:val="00786D3E"/>
    <w:rPr>
      <w:color w:val="808080"/>
    </w:rPr>
  </w:style>
  <w:style w:type="table" w:styleId="PlainTable2">
    <w:name w:val="Plain Table 2"/>
    <w:basedOn w:val="TableNormal"/>
    <w:uiPriority w:val="42"/>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Reporttitle">
    <w:name w:val="Report title"/>
    <w:basedOn w:val="Normal"/>
    <w:next w:val="Normal"/>
    <w:rsid w:val="00786D3E"/>
    <w:pPr>
      <w:widowControl w:val="0"/>
      <w:spacing w:after="200" w:line="240" w:lineRule="auto"/>
      <w:contextualSpacing/>
      <w:outlineLvl w:val="0"/>
    </w:pPr>
    <w:rPr>
      <w:rFonts w:ascii="Arial Bold" w:eastAsia="Times New Roman" w:hAnsi="Arial Bold"/>
      <w:b/>
      <w:bCs/>
      <w:caps/>
      <w:color w:val="0C9FCD"/>
      <w:sz w:val="34"/>
      <w:szCs w:val="32"/>
      <w:lang w:val="en-AU" w:eastAsia="en-US"/>
    </w:rPr>
  </w:style>
  <w:style w:type="character" w:styleId="Strong">
    <w:name w:val="Strong"/>
    <w:basedOn w:val="DefaultParagraphFont"/>
    <w:uiPriority w:val="22"/>
    <w:rsid w:val="00786D3E"/>
    <w:rPr>
      <w:b/>
      <w:bCs/>
    </w:rPr>
  </w:style>
  <w:style w:type="paragraph" w:styleId="TableofFigures">
    <w:name w:val="table of figures"/>
    <w:basedOn w:val="Normal"/>
    <w:next w:val="Normal"/>
    <w:uiPriority w:val="99"/>
    <w:unhideWhenUsed/>
    <w:rsid w:val="00786D3E"/>
    <w:pPr>
      <w:spacing w:after="0" w:line="276" w:lineRule="auto"/>
    </w:pPr>
    <w:rPr>
      <w:rFonts w:ascii="Calibri" w:eastAsiaTheme="minorHAnsi" w:hAnsi="Calibri"/>
      <w:color w:val="auto"/>
      <w:sz w:val="22"/>
      <w:szCs w:val="22"/>
      <w:lang w:val="en-AU" w:eastAsia="en-US"/>
    </w:rPr>
  </w:style>
  <w:style w:type="paragraph" w:styleId="TOC1">
    <w:name w:val="toc 1"/>
    <w:basedOn w:val="Normal"/>
    <w:next w:val="Normal"/>
    <w:autoRedefine/>
    <w:uiPriority w:val="39"/>
    <w:unhideWhenUsed/>
    <w:rsid w:val="00B274B4"/>
    <w:pPr>
      <w:tabs>
        <w:tab w:val="right" w:leader="dot" w:pos="9016"/>
      </w:tabs>
      <w:spacing w:after="100" w:line="276" w:lineRule="auto"/>
    </w:pPr>
    <w:rPr>
      <w:rFonts w:eastAsiaTheme="minorHAnsi"/>
      <w:b/>
      <w:bCs/>
      <w:noProof/>
      <w:color w:val="auto"/>
      <w:szCs w:val="21"/>
      <w:lang w:val="en-AU" w:eastAsia="en-US"/>
    </w:rPr>
  </w:style>
  <w:style w:type="paragraph" w:styleId="TOC2">
    <w:name w:val="toc 2"/>
    <w:basedOn w:val="Normal"/>
    <w:next w:val="Normal"/>
    <w:autoRedefine/>
    <w:uiPriority w:val="39"/>
    <w:unhideWhenUsed/>
    <w:rsid w:val="00786D3E"/>
    <w:pPr>
      <w:tabs>
        <w:tab w:val="right" w:leader="dot" w:pos="9016"/>
      </w:tabs>
      <w:spacing w:after="100" w:line="276" w:lineRule="auto"/>
      <w:ind w:left="220"/>
    </w:pPr>
    <w:rPr>
      <w:rFonts w:ascii="Calibri" w:eastAsiaTheme="minorHAnsi" w:hAnsi="Calibri"/>
      <w:color w:val="auto"/>
      <w:sz w:val="22"/>
      <w:szCs w:val="22"/>
      <w:lang w:val="en-AU" w:eastAsia="en-US"/>
    </w:rPr>
  </w:style>
  <w:style w:type="paragraph" w:styleId="TOC3">
    <w:name w:val="toc 3"/>
    <w:basedOn w:val="Normal"/>
    <w:next w:val="Normal"/>
    <w:autoRedefine/>
    <w:uiPriority w:val="39"/>
    <w:unhideWhenUsed/>
    <w:rsid w:val="00786D3E"/>
    <w:pPr>
      <w:spacing w:after="100" w:line="276" w:lineRule="auto"/>
      <w:ind w:left="440"/>
    </w:pPr>
    <w:rPr>
      <w:rFonts w:ascii="Calibri" w:eastAsiaTheme="minorHAnsi" w:hAnsi="Calibri"/>
      <w:color w:val="auto"/>
      <w:sz w:val="22"/>
      <w:szCs w:val="22"/>
      <w:lang w:val="en-AU" w:eastAsia="en-US"/>
    </w:rPr>
  </w:style>
  <w:style w:type="paragraph" w:styleId="TOCHeading">
    <w:name w:val="TOC Heading"/>
    <w:basedOn w:val="Heading1"/>
    <w:next w:val="Normal"/>
    <w:uiPriority w:val="39"/>
    <w:unhideWhenUsed/>
    <w:rsid w:val="00786D3E"/>
    <w:pPr>
      <w:spacing w:before="120" w:after="480" w:line="276" w:lineRule="auto"/>
      <w:contextualSpacing/>
      <w:outlineLvl w:val="9"/>
    </w:pPr>
    <w:rPr>
      <w:rFonts w:ascii="Calibri" w:hAnsi="Calibri"/>
      <w:b/>
      <w:color w:val="E8E8E8" w:themeColor="background2"/>
      <w:szCs w:val="32"/>
      <w:lang w:eastAsia="en-US"/>
    </w:rPr>
  </w:style>
  <w:style w:type="character" w:styleId="SubtleEmphasis">
    <w:name w:val="Subtle Emphasis"/>
    <w:basedOn w:val="DefaultParagraphFont"/>
    <w:uiPriority w:val="19"/>
    <w:rsid w:val="00786D3E"/>
    <w:rPr>
      <w:i/>
      <w:iCs/>
      <w:color w:val="404040" w:themeColor="text1" w:themeTint="BF"/>
    </w:rPr>
  </w:style>
  <w:style w:type="paragraph" w:customStyle="1" w:styleId="FigureTitle">
    <w:name w:val="Figure Title"/>
    <w:autoRedefine/>
    <w:uiPriority w:val="1"/>
    <w:rsid w:val="00786D3E"/>
    <w:pPr>
      <w:widowControl w:val="0"/>
      <w:autoSpaceDE w:val="0"/>
      <w:autoSpaceDN w:val="0"/>
      <w:spacing w:before="120" w:after="120" w:line="240" w:lineRule="auto"/>
    </w:pPr>
    <w:rPr>
      <w:rFonts w:ascii="Arial" w:eastAsia="Myriad Pro" w:hAnsi="Arial" w:cs="Myriad Pro"/>
      <w:b/>
      <w:bCs/>
      <w:color w:val="000000" w:themeColor="text1"/>
      <w:sz w:val="18"/>
      <w:szCs w:val="18"/>
      <w:lang w:eastAsia="en-US" w:bidi="en-US"/>
    </w:rPr>
  </w:style>
  <w:style w:type="paragraph" w:customStyle="1" w:styleId="Box1">
    <w:name w:val="Box 1"/>
    <w:basedOn w:val="Calloutboxtext"/>
    <w:link w:val="Box1Char"/>
    <w:rsid w:val="00786D3E"/>
    <w:pPr>
      <w:shd w:val="clear" w:color="auto" w:fill="156082" w:themeFill="accent1"/>
      <w:spacing w:after="80"/>
    </w:pPr>
    <w:rPr>
      <w:b/>
      <w:color w:val="FFFFFF" w:themeColor="background1"/>
    </w:rPr>
  </w:style>
  <w:style w:type="character" w:customStyle="1" w:styleId="CalloutboxtextChar">
    <w:name w:val="Call out box text Char"/>
    <w:basedOn w:val="DefaultParagraphFont"/>
    <w:link w:val="Calloutboxtext"/>
    <w:rsid w:val="00786D3E"/>
    <w:rPr>
      <w:rFonts w:ascii="Calibri" w:eastAsiaTheme="minorHAnsi" w:hAnsi="Calibri"/>
      <w:sz w:val="22"/>
      <w:szCs w:val="22"/>
      <w:shd w:val="clear" w:color="auto" w:fill="C1E4F5" w:themeFill="accent1" w:themeFillTint="33"/>
      <w:lang w:val="en-AU" w:eastAsia="en-US"/>
    </w:rPr>
  </w:style>
  <w:style w:type="character" w:customStyle="1" w:styleId="Box1Char">
    <w:name w:val="Box 1 Char"/>
    <w:basedOn w:val="CalloutboxtextChar"/>
    <w:link w:val="Box1"/>
    <w:rsid w:val="00786D3E"/>
    <w:rPr>
      <w:rFonts w:ascii="Calibri" w:eastAsiaTheme="minorHAnsi" w:hAnsi="Calibri"/>
      <w:b/>
      <w:color w:val="FFFFFF" w:themeColor="background1"/>
      <w:sz w:val="22"/>
      <w:szCs w:val="22"/>
      <w:shd w:val="clear" w:color="auto" w:fill="156082" w:themeFill="accent1"/>
      <w:lang w:val="en-AU" w:eastAsia="en-US"/>
    </w:rPr>
  </w:style>
  <w:style w:type="paragraph" w:customStyle="1" w:styleId="sub-bulletpoint">
    <w:name w:val="sub-bullet point"/>
    <w:basedOn w:val="ListParagraph"/>
    <w:link w:val="sub-bulletpointChar"/>
    <w:rsid w:val="00786D3E"/>
    <w:pPr>
      <w:numPr>
        <w:ilvl w:val="1"/>
        <w:numId w:val="2"/>
      </w:numPr>
      <w:spacing w:after="120" w:line="276" w:lineRule="auto"/>
      <w:ind w:left="851" w:hanging="284"/>
    </w:pPr>
    <w:rPr>
      <w:rFonts w:eastAsiaTheme="minorHAnsi"/>
      <w:sz w:val="22"/>
      <w:szCs w:val="22"/>
      <w:lang w:val="en-AU" w:eastAsia="en-US"/>
    </w:rPr>
  </w:style>
  <w:style w:type="paragraph" w:customStyle="1" w:styleId="NumberedList">
    <w:name w:val="Numbered List"/>
    <w:basedOn w:val="ListParagraph"/>
    <w:link w:val="NumberedListChar"/>
    <w:rsid w:val="00786D3E"/>
    <w:pPr>
      <w:numPr>
        <w:numId w:val="3"/>
      </w:numPr>
      <w:spacing w:after="120" w:line="276" w:lineRule="auto"/>
    </w:pPr>
    <w:rPr>
      <w:rFonts w:eastAsiaTheme="minorHAnsi"/>
      <w:sz w:val="22"/>
      <w:szCs w:val="22"/>
      <w:lang w:val="en-AU" w:eastAsia="en-US"/>
    </w:rPr>
  </w:style>
  <w:style w:type="character" w:customStyle="1" w:styleId="ListParagraphChar">
    <w:name w:val="List Paragraph Char"/>
    <w:aliases w:val="1 heading Char,DDM Gen Text Char,List Paragraph1 Char,List Paragraph11 Char,Recommendation Char,Bullet 1 Char,Bullet list Char,List 1 Char,L Char,bullet point list Char,Bullet point Char,Dot point 1.5 line spacing Char,numbered Char"/>
    <w:basedOn w:val="DefaultParagraphFont"/>
    <w:link w:val="ListParagraph"/>
    <w:uiPriority w:val="34"/>
    <w:qFormat/>
    <w:rsid w:val="00786D3E"/>
  </w:style>
  <w:style w:type="character" w:customStyle="1" w:styleId="sub-bulletpointChar">
    <w:name w:val="sub-bullet point Char"/>
    <w:basedOn w:val="ListParagraphChar"/>
    <w:link w:val="sub-bulletpoint"/>
    <w:rsid w:val="00786D3E"/>
    <w:rPr>
      <w:rFonts w:eastAsiaTheme="minorHAnsi"/>
      <w:sz w:val="22"/>
      <w:szCs w:val="22"/>
      <w:lang w:val="en-AU" w:eastAsia="en-US"/>
    </w:rPr>
  </w:style>
  <w:style w:type="character" w:customStyle="1" w:styleId="NumberedListChar">
    <w:name w:val="Numbered List Char"/>
    <w:basedOn w:val="ListParagraphChar"/>
    <w:link w:val="NumberedList"/>
    <w:rsid w:val="00786D3E"/>
    <w:rPr>
      <w:rFonts w:eastAsiaTheme="minorHAnsi"/>
      <w:sz w:val="22"/>
      <w:szCs w:val="22"/>
      <w:lang w:val="en-AU" w:eastAsia="en-US"/>
    </w:rPr>
  </w:style>
  <w:style w:type="table" w:styleId="ListTable4-Accent4">
    <w:name w:val="List Table 4 Accent 4"/>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tcBorders>
        <w:shd w:val="clear" w:color="auto" w:fill="0F9ED5" w:themeFill="accent4"/>
      </w:tcPr>
    </w:tblStylePr>
    <w:tblStylePr w:type="lastRow">
      <w:rPr>
        <w:b/>
        <w:bCs/>
      </w:rPr>
      <w:tblPr/>
      <w:tcPr>
        <w:tcBorders>
          <w:top w:val="double" w:sz="4" w:space="0" w:color="60CAF3" w:themeColor="accent4" w:themeTint="99"/>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styleId="ListTable3-Accent1">
    <w:name w:val="List Table 3 Accent 1"/>
    <w:basedOn w:val="TableNormal"/>
    <w:uiPriority w:val="48"/>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b/>
        <w:bCs/>
        <w:color w:val="FFFFFF" w:themeColor="background1"/>
      </w:rPr>
      <w:tblPr/>
      <w:tcPr>
        <w:shd w:val="clear" w:color="auto" w:fill="156082" w:themeFill="accent1"/>
      </w:tcPr>
    </w:tblStylePr>
    <w:tblStylePr w:type="lastRow">
      <w:rPr>
        <w:b/>
        <w:bCs/>
      </w:rPr>
      <w:tblPr/>
      <w:tcPr>
        <w:tcBorders>
          <w:top w:val="double" w:sz="4" w:space="0" w:color="15608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56082" w:themeColor="accent1"/>
          <w:right w:val="single" w:sz="4" w:space="0" w:color="156082" w:themeColor="accent1"/>
        </w:tcBorders>
      </w:tcPr>
    </w:tblStylePr>
    <w:tblStylePr w:type="band1Horz">
      <w:tblPr/>
      <w:tcPr>
        <w:tcBorders>
          <w:top w:val="single" w:sz="4" w:space="0" w:color="156082" w:themeColor="accent1"/>
          <w:bottom w:val="single" w:sz="4" w:space="0" w:color="15608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6082" w:themeColor="accent1"/>
          <w:left w:val="nil"/>
        </w:tcBorders>
      </w:tcPr>
    </w:tblStylePr>
    <w:tblStylePr w:type="swCell">
      <w:tblPr/>
      <w:tcPr>
        <w:tcBorders>
          <w:top w:val="double" w:sz="4" w:space="0" w:color="156082" w:themeColor="accent1"/>
          <w:right w:val="nil"/>
        </w:tcBorders>
      </w:tcPr>
    </w:tblStylePr>
  </w:style>
  <w:style w:type="paragraph" w:customStyle="1" w:styleId="Classification">
    <w:name w:val="Classification"/>
    <w:basedOn w:val="Header"/>
    <w:link w:val="ClassificationChar"/>
    <w:qFormat/>
    <w:rsid w:val="00786D3E"/>
    <w:pPr>
      <w:jc w:val="center"/>
    </w:pPr>
    <w:rPr>
      <w:rFonts w:eastAsiaTheme="minorHAnsi"/>
      <w:b/>
      <w:color w:val="FF0000"/>
      <w:sz w:val="22"/>
      <w:szCs w:val="28"/>
      <w:lang w:val="en-AU" w:eastAsia="en-US"/>
    </w:rPr>
  </w:style>
  <w:style w:type="character" w:customStyle="1" w:styleId="ClassificationChar">
    <w:name w:val="Classification Char"/>
    <w:basedOn w:val="HeaderChar"/>
    <w:link w:val="Classification"/>
    <w:rsid w:val="00786D3E"/>
    <w:rPr>
      <w:rFonts w:ascii="HelveticaNeueLT Std Lt" w:eastAsiaTheme="minorHAnsi" w:hAnsi="HelveticaNeueLT Std Lt"/>
      <w:b/>
      <w:color w:val="FF0000"/>
      <w:sz w:val="22"/>
      <w:szCs w:val="28"/>
      <w:lang w:val="en-AU" w:eastAsia="en-US"/>
    </w:rPr>
  </w:style>
  <w:style w:type="paragraph" w:customStyle="1" w:styleId="Heading1White">
    <w:name w:val="Heading 1 White"/>
    <w:basedOn w:val="Normal"/>
    <w:link w:val="Heading1WhiteChar"/>
    <w:rsid w:val="00786D3E"/>
    <w:pPr>
      <w:spacing w:line="276" w:lineRule="auto"/>
    </w:pPr>
    <w:rPr>
      <w:rFonts w:ascii="Calibri" w:eastAsiaTheme="minorHAnsi" w:hAnsi="Calibri"/>
      <w:b/>
      <w:color w:val="FFFFFF" w:themeColor="background1"/>
      <w:sz w:val="40"/>
      <w:szCs w:val="40"/>
      <w:lang w:val="en-AU" w:eastAsia="en-US"/>
    </w:rPr>
  </w:style>
  <w:style w:type="character" w:customStyle="1" w:styleId="Heading1WhiteChar">
    <w:name w:val="Heading 1 White Char"/>
    <w:basedOn w:val="DefaultParagraphFont"/>
    <w:link w:val="Heading1White"/>
    <w:rsid w:val="00786D3E"/>
    <w:rPr>
      <w:rFonts w:ascii="Calibri" w:eastAsiaTheme="minorHAnsi" w:hAnsi="Calibri"/>
      <w:b/>
      <w:color w:val="FFFFFF" w:themeColor="background1"/>
      <w:sz w:val="40"/>
      <w:szCs w:val="40"/>
      <w:lang w:val="en-AU" w:eastAsia="en-US"/>
    </w:rPr>
  </w:style>
  <w:style w:type="paragraph" w:customStyle="1" w:styleId="TableText">
    <w:name w:val="Table Text"/>
    <w:basedOn w:val="Normal"/>
    <w:link w:val="TableTextChar"/>
    <w:uiPriority w:val="11"/>
    <w:rsid w:val="00786D3E"/>
    <w:pPr>
      <w:spacing w:before="40" w:after="80" w:line="240" w:lineRule="auto"/>
    </w:pPr>
    <w:rPr>
      <w:rFonts w:ascii="Calibri" w:eastAsia="Times New Roman" w:hAnsi="Calibri" w:cs="Times New Roman"/>
      <w:bCs/>
      <w:color w:val="414141"/>
      <w:sz w:val="18"/>
      <w:lang w:val="en-AU" w:eastAsia="en-GB"/>
    </w:rPr>
  </w:style>
  <w:style w:type="character" w:customStyle="1" w:styleId="Textitalic">
    <w:name w:val="Text (italic)"/>
    <w:uiPriority w:val="1"/>
    <w:rsid w:val="00786D3E"/>
    <w:rPr>
      <w:i/>
    </w:rPr>
  </w:style>
  <w:style w:type="character" w:customStyle="1" w:styleId="TableTextChar">
    <w:name w:val="Table Text Char"/>
    <w:basedOn w:val="DefaultParagraphFont"/>
    <w:link w:val="TableText"/>
    <w:uiPriority w:val="11"/>
    <w:locked/>
    <w:rsid w:val="00786D3E"/>
    <w:rPr>
      <w:rFonts w:ascii="Calibri" w:eastAsia="Times New Roman" w:hAnsi="Calibri" w:cs="Times New Roman"/>
      <w:bCs/>
      <w:color w:val="414141"/>
      <w:sz w:val="18"/>
      <w:lang w:val="en-AU" w:eastAsia="en-GB"/>
    </w:rPr>
  </w:style>
  <w:style w:type="character" w:customStyle="1" w:styleId="Textbold">
    <w:name w:val="Text (bold)"/>
    <w:uiPriority w:val="1"/>
    <w:rsid w:val="00786D3E"/>
    <w:rPr>
      <w:b/>
    </w:rPr>
  </w:style>
  <w:style w:type="paragraph" w:styleId="Date">
    <w:name w:val="Date"/>
    <w:basedOn w:val="Subtitle"/>
    <w:next w:val="Normal"/>
    <w:link w:val="DateChar"/>
    <w:uiPriority w:val="19"/>
    <w:rsid w:val="00786D3E"/>
    <w:pPr>
      <w:numPr>
        <w:ilvl w:val="0"/>
      </w:numPr>
      <w:spacing w:after="120" w:line="312" w:lineRule="auto"/>
      <w:jc w:val="right"/>
    </w:pPr>
    <w:rPr>
      <w:rFonts w:ascii="Calibri" w:eastAsia="MS Mincho" w:hAnsi="Calibri" w:cs="Times New Roman"/>
      <w:caps/>
      <w:color w:val="414141"/>
      <w:spacing w:val="0"/>
      <w:lang w:val="en-AU" w:eastAsia="x-none"/>
    </w:rPr>
  </w:style>
  <w:style w:type="character" w:customStyle="1" w:styleId="DateChar">
    <w:name w:val="Date Char"/>
    <w:basedOn w:val="DefaultParagraphFont"/>
    <w:link w:val="Date"/>
    <w:uiPriority w:val="19"/>
    <w:rsid w:val="00786D3E"/>
    <w:rPr>
      <w:rFonts w:ascii="Calibri" w:eastAsia="MS Mincho" w:hAnsi="Calibri" w:cs="Times New Roman"/>
      <w:caps/>
      <w:color w:val="414141"/>
      <w:sz w:val="28"/>
      <w:szCs w:val="28"/>
      <w:lang w:val="en-AU" w:eastAsia="x-none"/>
    </w:rPr>
  </w:style>
  <w:style w:type="paragraph" w:customStyle="1" w:styleId="ListQuestions">
    <w:name w:val="List Questions"/>
    <w:basedOn w:val="Normal"/>
    <w:uiPriority w:val="10"/>
    <w:rsid w:val="00786D3E"/>
    <w:pPr>
      <w:spacing w:after="80" w:line="312" w:lineRule="auto"/>
      <w:ind w:left="714" w:hanging="714"/>
    </w:pPr>
    <w:rPr>
      <w:rFonts w:ascii="Calibri" w:eastAsia="Times New Roman" w:hAnsi="Calibri" w:cs="Times New Roman"/>
      <w:color w:val="414141"/>
      <w:sz w:val="22"/>
      <w:lang w:eastAsia="en-AU"/>
    </w:rPr>
  </w:style>
  <w:style w:type="numbering" w:customStyle="1" w:styleId="ListQuestionsMaster">
    <w:name w:val="List Questions Master"/>
    <w:uiPriority w:val="99"/>
    <w:rsid w:val="00786D3E"/>
    <w:pPr>
      <w:numPr>
        <w:numId w:val="1"/>
      </w:numPr>
    </w:pPr>
  </w:style>
  <w:style w:type="paragraph" w:styleId="EndnoteText">
    <w:name w:val="endnote text"/>
    <w:basedOn w:val="Normal"/>
    <w:link w:val="EndnoteTextChar"/>
    <w:uiPriority w:val="99"/>
    <w:semiHidden/>
    <w:unhideWhenUsed/>
    <w:rsid w:val="00786D3E"/>
    <w:pPr>
      <w:spacing w:after="0" w:line="240" w:lineRule="auto"/>
    </w:pPr>
    <w:rPr>
      <w:rFonts w:ascii="Calibri" w:eastAsiaTheme="minorHAnsi" w:hAnsi="Calibri"/>
      <w:color w:val="auto"/>
      <w:sz w:val="22"/>
      <w:szCs w:val="20"/>
      <w:lang w:val="en-AU" w:eastAsia="en-US"/>
    </w:rPr>
  </w:style>
  <w:style w:type="character" w:customStyle="1" w:styleId="EndnoteTextChar">
    <w:name w:val="Endnote Text Char"/>
    <w:basedOn w:val="DefaultParagraphFont"/>
    <w:link w:val="EndnoteText"/>
    <w:uiPriority w:val="99"/>
    <w:semiHidden/>
    <w:rsid w:val="00786D3E"/>
    <w:rPr>
      <w:rFonts w:ascii="Calibri" w:eastAsiaTheme="minorHAnsi" w:hAnsi="Calibri"/>
      <w:sz w:val="22"/>
      <w:szCs w:val="20"/>
      <w:lang w:val="en-AU" w:eastAsia="en-US"/>
    </w:rPr>
  </w:style>
  <w:style w:type="character" w:styleId="EndnoteReference">
    <w:name w:val="endnote reference"/>
    <w:basedOn w:val="DefaultParagraphFont"/>
    <w:uiPriority w:val="99"/>
    <w:semiHidden/>
    <w:unhideWhenUsed/>
    <w:rsid w:val="00786D3E"/>
    <w:rPr>
      <w:vertAlign w:val="superscript"/>
    </w:rPr>
  </w:style>
  <w:style w:type="paragraph" w:customStyle="1" w:styleId="pf0">
    <w:name w:val="pf0"/>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character" w:customStyle="1" w:styleId="cf11">
    <w:name w:val="cf11"/>
    <w:basedOn w:val="DefaultParagraphFont"/>
    <w:rsid w:val="00786D3E"/>
    <w:rPr>
      <w:rFonts w:ascii="Segoe UI" w:hAnsi="Segoe UI" w:cs="Segoe UI" w:hint="default"/>
      <w:sz w:val="18"/>
      <w:szCs w:val="18"/>
    </w:rPr>
  </w:style>
  <w:style w:type="paragraph" w:customStyle="1" w:styleId="L1ParcelHeading">
    <w:name w:val="L1: Parcel Heading"/>
    <w:basedOn w:val="Heading1"/>
    <w:next w:val="L2Sub-heading"/>
    <w:link w:val="L1ParcelHeadingChar"/>
    <w:rsid w:val="00786D3E"/>
    <w:pPr>
      <w:spacing w:before="120" w:after="0" w:line="240" w:lineRule="auto"/>
      <w:contextualSpacing/>
    </w:pPr>
    <w:rPr>
      <w:rFonts w:ascii="Calibri" w:hAnsi="Calibri"/>
      <w:b/>
      <w:bCs/>
      <w:color w:val="A02B93" w:themeColor="accent5"/>
      <w:sz w:val="48"/>
      <w:szCs w:val="48"/>
      <w:lang w:val="en-AU" w:eastAsia="en-US"/>
    </w:rPr>
  </w:style>
  <w:style w:type="character" w:customStyle="1" w:styleId="L1ParcelHeadingChar">
    <w:name w:val="L1: Parcel Heading Char"/>
    <w:basedOn w:val="DefaultParagraphFont"/>
    <w:link w:val="L1ParcelHeading"/>
    <w:rsid w:val="00786D3E"/>
    <w:rPr>
      <w:rFonts w:ascii="Calibri" w:eastAsiaTheme="majorEastAsia" w:hAnsi="Calibri" w:cstheme="majorBidi"/>
      <w:b/>
      <w:bCs/>
      <w:color w:val="A02B93" w:themeColor="accent5"/>
      <w:sz w:val="48"/>
      <w:szCs w:val="48"/>
      <w:lang w:val="en-AU" w:eastAsia="en-US"/>
    </w:rPr>
  </w:style>
  <w:style w:type="paragraph" w:customStyle="1" w:styleId="CallOut">
    <w:name w:val="Call Out"/>
    <w:basedOn w:val="Normal"/>
    <w:link w:val="CallOutChar"/>
    <w:rsid w:val="00786D3E"/>
    <w:pPr>
      <w:spacing w:after="0" w:line="240" w:lineRule="auto"/>
    </w:pPr>
    <w:rPr>
      <w:rFonts w:ascii="Calibri" w:eastAsiaTheme="minorHAnsi" w:hAnsi="Calibri"/>
      <w:color w:val="10BFE8"/>
      <w:sz w:val="28"/>
      <w:szCs w:val="28"/>
      <w:lang w:val="en-AU" w:eastAsia="en-US"/>
    </w:rPr>
  </w:style>
  <w:style w:type="character" w:customStyle="1" w:styleId="CallOutChar">
    <w:name w:val="Call Out Char"/>
    <w:basedOn w:val="DefaultParagraphFont"/>
    <w:link w:val="CallOut"/>
    <w:rsid w:val="00786D3E"/>
    <w:rPr>
      <w:rFonts w:ascii="Calibri" w:eastAsiaTheme="minorHAnsi" w:hAnsi="Calibri"/>
      <w:color w:val="10BFE8"/>
      <w:sz w:val="28"/>
      <w:szCs w:val="28"/>
      <w:lang w:val="en-AU" w:eastAsia="en-US"/>
    </w:rPr>
  </w:style>
  <w:style w:type="paragraph" w:customStyle="1" w:styleId="Box2Heading">
    <w:name w:val="Box 2 Heading"/>
    <w:basedOn w:val="Normal"/>
    <w:link w:val="Box2HeadingChar"/>
    <w:rsid w:val="00786D3E"/>
    <w:pPr>
      <w:spacing w:line="240" w:lineRule="auto"/>
    </w:pPr>
    <w:rPr>
      <w:rFonts w:ascii="Calibri" w:eastAsiaTheme="minorHAnsi" w:hAnsi="Calibri"/>
      <w:color w:val="9FE1FB"/>
      <w:sz w:val="28"/>
      <w:szCs w:val="32"/>
      <w:lang w:val="en-AU" w:eastAsia="en-US"/>
    </w:rPr>
  </w:style>
  <w:style w:type="character" w:customStyle="1" w:styleId="Box2HeadingChar">
    <w:name w:val="Box 2 Heading Char"/>
    <w:basedOn w:val="DefaultParagraphFont"/>
    <w:link w:val="Box2Heading"/>
    <w:rsid w:val="00786D3E"/>
    <w:rPr>
      <w:rFonts w:ascii="Calibri" w:eastAsiaTheme="minorHAnsi" w:hAnsi="Calibri"/>
      <w:color w:val="9FE1FB"/>
      <w:sz w:val="28"/>
      <w:szCs w:val="32"/>
      <w:lang w:val="en-AU" w:eastAsia="en-US"/>
    </w:rPr>
  </w:style>
  <w:style w:type="paragraph" w:customStyle="1" w:styleId="Quotes">
    <w:name w:val="Quotes"/>
    <w:basedOn w:val="Normal"/>
    <w:link w:val="QuotesChar"/>
    <w:qFormat/>
    <w:rsid w:val="001D10EB"/>
    <w:pPr>
      <w:spacing w:line="240" w:lineRule="auto"/>
      <w:jc w:val="center"/>
    </w:pPr>
    <w:rPr>
      <w:i/>
      <w:iCs/>
    </w:rPr>
  </w:style>
  <w:style w:type="character" w:customStyle="1" w:styleId="QuotesChar">
    <w:name w:val="Quotes Char"/>
    <w:basedOn w:val="DefaultParagraphFont"/>
    <w:link w:val="Quotes"/>
    <w:rsid w:val="001D10EB"/>
    <w:rPr>
      <w:i/>
      <w:iCs/>
      <w:color w:val="4D4D4D"/>
      <w:sz w:val="21"/>
      <w:lang w:val="en-GB"/>
    </w:rPr>
  </w:style>
  <w:style w:type="paragraph" w:customStyle="1" w:styleId="FigureLabel">
    <w:name w:val="Figure Label"/>
    <w:basedOn w:val="Normal"/>
    <w:link w:val="FigureLabelChar"/>
    <w:rsid w:val="00786D3E"/>
    <w:pPr>
      <w:spacing w:after="0" w:line="240" w:lineRule="auto"/>
    </w:pPr>
    <w:rPr>
      <w:rFonts w:ascii="Calibri" w:eastAsiaTheme="minorHAnsi" w:hAnsi="Calibri"/>
      <w:color w:val="0777A3"/>
      <w:sz w:val="22"/>
      <w:szCs w:val="22"/>
      <w:lang w:val="en-AU" w:eastAsia="en-US"/>
    </w:rPr>
  </w:style>
  <w:style w:type="character" w:customStyle="1" w:styleId="FigureLabelChar">
    <w:name w:val="Figure Label Char"/>
    <w:basedOn w:val="DefaultParagraphFont"/>
    <w:link w:val="FigureLabel"/>
    <w:rsid w:val="00786D3E"/>
    <w:rPr>
      <w:rFonts w:ascii="Calibri" w:eastAsiaTheme="minorHAnsi" w:hAnsi="Calibri"/>
      <w:color w:val="0777A3"/>
      <w:sz w:val="22"/>
      <w:szCs w:val="22"/>
      <w:lang w:val="en-AU" w:eastAsia="en-US"/>
    </w:rPr>
  </w:style>
  <w:style w:type="paragraph" w:styleId="TOC4">
    <w:name w:val="toc 4"/>
    <w:basedOn w:val="Normal"/>
    <w:next w:val="Normal"/>
    <w:autoRedefine/>
    <w:uiPriority w:val="39"/>
    <w:unhideWhenUsed/>
    <w:rsid w:val="00786D3E"/>
    <w:pPr>
      <w:spacing w:after="100" w:line="276" w:lineRule="auto"/>
      <w:ind w:left="600"/>
    </w:pPr>
    <w:rPr>
      <w:rFonts w:ascii="Calibri" w:eastAsiaTheme="minorHAnsi" w:hAnsi="Calibri"/>
      <w:color w:val="auto"/>
      <w:sz w:val="22"/>
      <w:szCs w:val="22"/>
      <w:lang w:val="en-AU" w:eastAsia="en-US"/>
    </w:rPr>
  </w:style>
  <w:style w:type="character" w:customStyle="1" w:styleId="normaltextrun">
    <w:name w:val="normaltextrun"/>
    <w:basedOn w:val="DefaultParagraphFont"/>
    <w:rsid w:val="00786D3E"/>
  </w:style>
  <w:style w:type="paragraph" w:styleId="ListBullet">
    <w:name w:val="List Bullet"/>
    <w:basedOn w:val="Normal"/>
    <w:uiPriority w:val="99"/>
    <w:unhideWhenUsed/>
    <w:rsid w:val="00786D3E"/>
    <w:pPr>
      <w:widowControl w:val="0"/>
      <w:tabs>
        <w:tab w:val="left" w:pos="170"/>
      </w:tabs>
      <w:autoSpaceDE w:val="0"/>
      <w:autoSpaceDN w:val="0"/>
      <w:spacing w:line="240" w:lineRule="auto"/>
      <w:ind w:left="714" w:hanging="714"/>
      <w:contextualSpacing/>
    </w:pPr>
    <w:rPr>
      <w:rFonts w:ascii="Calibri" w:eastAsia="Myriad Pro" w:hAnsi="Calibri" w:cs="Myriad Pro"/>
      <w:color w:val="auto"/>
      <w:sz w:val="22"/>
      <w:szCs w:val="22"/>
      <w:lang w:eastAsia="en-US" w:bidi="en-US"/>
    </w:rPr>
  </w:style>
  <w:style w:type="table" w:customStyle="1" w:styleId="GridTable4-Accent11">
    <w:name w:val="Grid Table 4 - Accent 11"/>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2">
    <w:name w:val="Grid Table 4 - Accent 12"/>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3">
    <w:name w:val="Grid Table 4 - Accent 13"/>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4">
    <w:name w:val="Grid Table 4 - Accent 14"/>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5">
    <w:name w:val="Grid Table 4 - Accent 15"/>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6">
    <w:name w:val="Grid Table 4 - Accent 16"/>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paragraph" w:customStyle="1" w:styleId="msonormal0">
    <w:name w:val="msonormal"/>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paragraph" w:customStyle="1" w:styleId="paragraph">
    <w:name w:val="paragraph"/>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character" w:customStyle="1" w:styleId="textrun">
    <w:name w:val="textrun"/>
    <w:basedOn w:val="DefaultParagraphFont"/>
    <w:rsid w:val="00786D3E"/>
  </w:style>
  <w:style w:type="character" w:customStyle="1" w:styleId="eop">
    <w:name w:val="eop"/>
    <w:basedOn w:val="DefaultParagraphFont"/>
    <w:rsid w:val="00786D3E"/>
  </w:style>
  <w:style w:type="character" w:customStyle="1" w:styleId="scxw154138953">
    <w:name w:val="scxw154138953"/>
    <w:basedOn w:val="DefaultParagraphFont"/>
    <w:rsid w:val="00786D3E"/>
  </w:style>
  <w:style w:type="character" w:customStyle="1" w:styleId="wacimagecontainer">
    <w:name w:val="wacimagecontainer"/>
    <w:basedOn w:val="DefaultParagraphFont"/>
    <w:rsid w:val="00786D3E"/>
  </w:style>
  <w:style w:type="character" w:customStyle="1" w:styleId="wacimageborder">
    <w:name w:val="wacimageborder"/>
    <w:basedOn w:val="DefaultParagraphFont"/>
    <w:rsid w:val="00786D3E"/>
  </w:style>
  <w:style w:type="character" w:customStyle="1" w:styleId="fieldrange">
    <w:name w:val="fieldrange"/>
    <w:basedOn w:val="DefaultParagraphFont"/>
    <w:rsid w:val="00786D3E"/>
  </w:style>
  <w:style w:type="paragraph" w:customStyle="1" w:styleId="outlineelement">
    <w:name w:val="outlineelement"/>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character" w:customStyle="1" w:styleId="tabrun">
    <w:name w:val="tabrun"/>
    <w:basedOn w:val="DefaultParagraphFont"/>
    <w:rsid w:val="00786D3E"/>
  </w:style>
  <w:style w:type="character" w:customStyle="1" w:styleId="tabchar">
    <w:name w:val="tabchar"/>
    <w:basedOn w:val="DefaultParagraphFont"/>
    <w:rsid w:val="00786D3E"/>
  </w:style>
  <w:style w:type="character" w:customStyle="1" w:styleId="tableaderchars">
    <w:name w:val="tableaderchars"/>
    <w:basedOn w:val="DefaultParagraphFont"/>
    <w:rsid w:val="00786D3E"/>
  </w:style>
  <w:style w:type="character" w:customStyle="1" w:styleId="pagebreakblob">
    <w:name w:val="pagebreakblob"/>
    <w:basedOn w:val="DefaultParagraphFont"/>
    <w:rsid w:val="00786D3E"/>
  </w:style>
  <w:style w:type="character" w:customStyle="1" w:styleId="pagebreaktextspan">
    <w:name w:val="pagebreaktextspan"/>
    <w:basedOn w:val="DefaultParagraphFont"/>
    <w:rsid w:val="00786D3E"/>
  </w:style>
  <w:style w:type="character" w:customStyle="1" w:styleId="pagebreakborderspan">
    <w:name w:val="pagebreakborderspan"/>
    <w:basedOn w:val="DefaultParagraphFont"/>
    <w:rsid w:val="00786D3E"/>
  </w:style>
  <w:style w:type="character" w:customStyle="1" w:styleId="trackchangetextinsertion">
    <w:name w:val="trackchangetextinsertion"/>
    <w:basedOn w:val="DefaultParagraphFont"/>
    <w:rsid w:val="00786D3E"/>
  </w:style>
  <w:style w:type="character" w:customStyle="1" w:styleId="trackchangetextdeletionmarker">
    <w:name w:val="trackchangetextdeletionmarker"/>
    <w:basedOn w:val="DefaultParagraphFont"/>
    <w:rsid w:val="00786D3E"/>
  </w:style>
  <w:style w:type="character" w:customStyle="1" w:styleId="superscript">
    <w:name w:val="superscript"/>
    <w:basedOn w:val="DefaultParagraphFont"/>
    <w:rsid w:val="00786D3E"/>
  </w:style>
  <w:style w:type="character" w:customStyle="1" w:styleId="wacimageplaceholder">
    <w:name w:val="wacimageplaceholder"/>
    <w:basedOn w:val="DefaultParagraphFont"/>
    <w:rsid w:val="00786D3E"/>
  </w:style>
  <w:style w:type="character" w:customStyle="1" w:styleId="wacprogress">
    <w:name w:val="wacprogress"/>
    <w:basedOn w:val="DefaultParagraphFont"/>
    <w:rsid w:val="00786D3E"/>
  </w:style>
  <w:style w:type="character" w:customStyle="1" w:styleId="wacimageplaceholderfiller">
    <w:name w:val="wacimageplaceholderfiller"/>
    <w:basedOn w:val="DefaultParagraphFont"/>
    <w:rsid w:val="00786D3E"/>
  </w:style>
  <w:style w:type="character" w:customStyle="1" w:styleId="scxw36153968">
    <w:name w:val="scxw36153968"/>
    <w:basedOn w:val="DefaultParagraphFont"/>
    <w:rsid w:val="00786D3E"/>
  </w:style>
  <w:style w:type="character" w:customStyle="1" w:styleId="linebreakblob">
    <w:name w:val="linebreakblob"/>
    <w:basedOn w:val="DefaultParagraphFont"/>
    <w:rsid w:val="00786D3E"/>
  </w:style>
  <w:style w:type="table" w:customStyle="1" w:styleId="CCATable">
    <w:name w:val="CCA Table"/>
    <w:basedOn w:val="TableNormal"/>
    <w:uiPriority w:val="99"/>
    <w:rsid w:val="00786D3E"/>
    <w:pPr>
      <w:spacing w:before="40" w:after="80" w:line="240" w:lineRule="auto"/>
    </w:pPr>
    <w:rPr>
      <w:rFonts w:ascii="Arial" w:eastAsia="MS Mincho" w:hAnsi="Arial" w:cs="Times New Roman"/>
      <w:color w:val="414141"/>
      <w:sz w:val="18"/>
      <w:szCs w:val="20"/>
      <w:lang w:val="en-AU" w:eastAsia="en-AU"/>
    </w:rPr>
    <w:tblPr>
      <w:tblStyleRowBandSize w:val="1"/>
      <w:tblBorders>
        <w:top w:val="single" w:sz="4" w:space="0" w:color="0C9FCD"/>
        <w:left w:val="single" w:sz="4" w:space="0" w:color="0C9FCD"/>
        <w:bottom w:val="single" w:sz="4" w:space="0" w:color="0C9FCD"/>
        <w:right w:val="single" w:sz="4" w:space="0" w:color="0C9FCD"/>
        <w:insideH w:val="single" w:sz="4" w:space="0" w:color="0C9FCD"/>
        <w:insideV w:val="single" w:sz="4" w:space="0" w:color="0C9FCD"/>
      </w:tblBorders>
    </w:tblPr>
    <w:trPr>
      <w:cantSplit/>
    </w:trPr>
    <w:tblStylePr w:type="firstRow">
      <w:pPr>
        <w:wordWrap/>
        <w:spacing w:beforeLines="0" w:before="40" w:beforeAutospacing="0" w:afterLines="0" w:after="0" w:afterAutospacing="0"/>
        <w:contextualSpacing w:val="0"/>
      </w:pPr>
      <w:rPr>
        <w:rFonts w:ascii="Courier New" w:hAnsi="Courier New"/>
        <w:color w:val="FFFFFF"/>
        <w:sz w:val="19"/>
      </w:rPr>
      <w:tblPr/>
      <w:tcPr>
        <w:shd w:val="clear" w:color="auto" w:fill="0C9FCD"/>
      </w:tcPr>
    </w:tblStylePr>
    <w:tblStylePr w:type="band1Horz">
      <w:rPr>
        <w:color w:val="DEECF7"/>
      </w:rPr>
      <w:tblPr/>
      <w:tcPr>
        <w:shd w:val="clear" w:color="auto" w:fill="DEECF7"/>
      </w:tcPr>
    </w:tblStylePr>
  </w:style>
  <w:style w:type="character" w:customStyle="1" w:styleId="findhit">
    <w:name w:val="findhit"/>
    <w:basedOn w:val="DefaultParagraphFont"/>
    <w:rsid w:val="00786D3E"/>
  </w:style>
  <w:style w:type="character" w:customStyle="1" w:styleId="ui-provider">
    <w:name w:val="ui-provider"/>
    <w:basedOn w:val="DefaultParagraphFont"/>
    <w:rsid w:val="00786D3E"/>
  </w:style>
  <w:style w:type="paragraph" w:customStyle="1" w:styleId="paragraphsub">
    <w:name w:val="paragraphsub"/>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paragraph" w:customStyle="1" w:styleId="subsection">
    <w:name w:val="subsection"/>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character" w:styleId="SmartLink">
    <w:name w:val="Smart Link"/>
    <w:basedOn w:val="DefaultParagraphFont"/>
    <w:uiPriority w:val="99"/>
    <w:semiHidden/>
    <w:unhideWhenUsed/>
    <w:rsid w:val="00786D3E"/>
    <w:rPr>
      <w:color w:val="0000FF"/>
      <w:u w:val="single"/>
      <w:shd w:val="clear" w:color="auto" w:fill="F3F2F1"/>
    </w:rPr>
  </w:style>
  <w:style w:type="paragraph" w:customStyle="1" w:styleId="Heading31">
    <w:name w:val="Heading 31"/>
    <w:basedOn w:val="Normal"/>
    <w:uiPriority w:val="1"/>
    <w:rsid w:val="00786D3E"/>
    <w:pPr>
      <w:widowControl w:val="0"/>
      <w:numPr>
        <w:ilvl w:val="2"/>
        <w:numId w:val="4"/>
      </w:numPr>
      <w:autoSpaceDE w:val="0"/>
      <w:autoSpaceDN w:val="0"/>
      <w:spacing w:before="240" w:after="60"/>
      <w:ind w:left="0" w:firstLine="0"/>
    </w:pPr>
    <w:rPr>
      <w:rFonts w:eastAsia="Myriad Pro" w:cstheme="minorHAnsi"/>
      <w:b/>
      <w:bCs/>
      <w:color w:val="007BB7"/>
      <w:sz w:val="22"/>
      <w:lang w:eastAsia="en-US"/>
    </w:rPr>
  </w:style>
  <w:style w:type="table" w:styleId="PlainTable1">
    <w:name w:val="Plain Table 1"/>
    <w:basedOn w:val="TableNormal"/>
    <w:uiPriority w:val="41"/>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SmartHyperlink">
    <w:name w:val="Smart Hyperlink"/>
    <w:basedOn w:val="DefaultParagraphFont"/>
    <w:uiPriority w:val="99"/>
    <w:semiHidden/>
    <w:unhideWhenUsed/>
    <w:rsid w:val="00786D3E"/>
    <w:rPr>
      <w:u w:val="dotted"/>
    </w:rPr>
  </w:style>
  <w:style w:type="paragraph" w:customStyle="1" w:styleId="ToC">
    <w:name w:val="ToC"/>
    <w:basedOn w:val="TableofFigures"/>
    <w:link w:val="ToCChar"/>
    <w:qFormat/>
    <w:rsid w:val="00622D12"/>
    <w:pPr>
      <w:tabs>
        <w:tab w:val="right" w:leader="dot" w:pos="9628"/>
      </w:tabs>
    </w:pPr>
    <w:rPr>
      <w:rFonts w:asciiTheme="minorHAnsi" w:hAnsiTheme="minorHAnsi"/>
      <w:sz w:val="21"/>
      <w:szCs w:val="21"/>
    </w:rPr>
  </w:style>
  <w:style w:type="character" w:customStyle="1" w:styleId="ToCChar">
    <w:name w:val="ToC Char"/>
    <w:basedOn w:val="DefaultParagraphFont"/>
    <w:link w:val="ToC"/>
    <w:rsid w:val="00622D12"/>
    <w:rPr>
      <w:rFonts w:eastAsiaTheme="minorHAnsi"/>
      <w:sz w:val="21"/>
      <w:szCs w:val="21"/>
      <w:lang w:val="en-AU" w:eastAsia="en-US"/>
    </w:rPr>
  </w:style>
  <w:style w:type="paragraph" w:customStyle="1" w:styleId="Bodybullet">
    <w:name w:val="Body bullet"/>
    <w:basedOn w:val="Normal"/>
    <w:link w:val="BodybulletChar"/>
    <w:qFormat/>
    <w:rsid w:val="003329DB"/>
    <w:pPr>
      <w:numPr>
        <w:numId w:val="6"/>
      </w:numPr>
    </w:pPr>
    <w:rPr>
      <w:color w:val="auto"/>
      <w:szCs w:val="21"/>
    </w:rPr>
  </w:style>
  <w:style w:type="character" w:customStyle="1" w:styleId="BodybulletChar">
    <w:name w:val="Body bullet Char"/>
    <w:basedOn w:val="DefaultParagraphFont"/>
    <w:link w:val="Bodybullet"/>
    <w:rsid w:val="00A975E8"/>
    <w:rPr>
      <w:sz w:val="21"/>
      <w:szCs w:val="21"/>
      <w:lang w:val="en-GB"/>
    </w:rPr>
  </w:style>
  <w:style w:type="paragraph" w:customStyle="1" w:styleId="BoxTitle">
    <w:name w:val="Box Title"/>
    <w:basedOn w:val="Heading4"/>
    <w:link w:val="BoxTitleChar"/>
    <w:qFormat/>
    <w:rsid w:val="005D022A"/>
    <w:rPr>
      <w:b/>
      <w:i w:val="0"/>
      <w:color w:val="0777A3"/>
      <w:sz w:val="36"/>
    </w:rPr>
  </w:style>
  <w:style w:type="character" w:customStyle="1" w:styleId="BoxTitleChar">
    <w:name w:val="Box Title Char"/>
    <w:basedOn w:val="L1HeadingChar"/>
    <w:link w:val="BoxTitle"/>
    <w:rsid w:val="005D022A"/>
    <w:rPr>
      <w:rFonts w:ascii="HelveticaNeueLT Std Lt" w:eastAsiaTheme="majorEastAsia" w:hAnsi="HelveticaNeueLT Std Lt" w:cstheme="majorBidi"/>
      <w:b/>
      <w:iCs/>
      <w:color w:val="0777A3"/>
      <w:sz w:val="36"/>
      <w:szCs w:val="40"/>
      <w:lang w:val="en-GB"/>
    </w:rPr>
  </w:style>
  <w:style w:type="paragraph" w:customStyle="1" w:styleId="ReportFigureSubtitle">
    <w:name w:val="Report Figure Subtitle"/>
    <w:basedOn w:val="ReportFigureTitle"/>
    <w:link w:val="ReportFigureSubtitleChar"/>
    <w:qFormat/>
    <w:rsid w:val="003329DB"/>
    <w:rPr>
      <w:b/>
      <w:color w:val="auto"/>
      <w:sz w:val="21"/>
      <w:lang w:val="en-AU"/>
    </w:rPr>
  </w:style>
  <w:style w:type="character" w:customStyle="1" w:styleId="ReportFigureSubtitleChar">
    <w:name w:val="Report Figure Subtitle Char"/>
    <w:basedOn w:val="ReportFigureTitleChar"/>
    <w:link w:val="ReportFigureSubtitle"/>
    <w:rsid w:val="00142922"/>
    <w:rPr>
      <w:b/>
      <w:color w:val="00679F"/>
      <w:sz w:val="21"/>
      <w:szCs w:val="21"/>
      <w:lang w:val="en-AU"/>
    </w:rPr>
  </w:style>
  <w:style w:type="paragraph" w:customStyle="1" w:styleId="ReportTableTitle">
    <w:name w:val="Report Table Title"/>
    <w:basedOn w:val="ReportFigureTitle"/>
    <w:link w:val="ReportTableTitleChar"/>
    <w:qFormat/>
    <w:rsid w:val="00825F87"/>
  </w:style>
  <w:style w:type="character" w:customStyle="1" w:styleId="ReportTableTitleChar">
    <w:name w:val="Report Table Title Char"/>
    <w:basedOn w:val="ReportFigureTitleChar"/>
    <w:link w:val="ReportTableTitle"/>
    <w:rsid w:val="00825F87"/>
    <w:rPr>
      <w:color w:val="00679F"/>
      <w:sz w:val="21"/>
      <w:szCs w:val="21"/>
      <w:lang w:val="en-GB"/>
    </w:rPr>
  </w:style>
  <w:style w:type="paragraph" w:customStyle="1" w:styleId="QuoteLongIn-text">
    <w:name w:val="Quote (Long In-text)"/>
    <w:basedOn w:val="Normal"/>
    <w:link w:val="QuoteLongIn-textChar"/>
    <w:qFormat/>
    <w:rsid w:val="003329DB"/>
    <w:pPr>
      <w:ind w:left="851" w:right="851"/>
    </w:pPr>
    <w:rPr>
      <w:i/>
      <w:iCs/>
      <w:color w:val="auto"/>
    </w:rPr>
  </w:style>
  <w:style w:type="character" w:customStyle="1" w:styleId="QuoteLongIn-textChar">
    <w:name w:val="Quote (Long In-text) Char"/>
    <w:basedOn w:val="DefaultParagraphFont"/>
    <w:link w:val="QuoteLongIn-text"/>
    <w:rsid w:val="00F110D7"/>
    <w:rPr>
      <w:i/>
      <w:iCs/>
      <w:sz w:val="21"/>
      <w:lang w:val="en-GB"/>
    </w:rPr>
  </w:style>
  <w:style w:type="paragraph" w:customStyle="1" w:styleId="ReportReferences">
    <w:name w:val="Report References"/>
    <w:basedOn w:val="Normal"/>
    <w:link w:val="ReportReferencesChar"/>
    <w:qFormat/>
    <w:rsid w:val="003329DB"/>
    <w:pPr>
      <w:autoSpaceDE w:val="0"/>
      <w:autoSpaceDN w:val="0"/>
      <w:ind w:left="720" w:hanging="720"/>
    </w:pPr>
    <w:rPr>
      <w:rFonts w:eastAsia="Times New Roman" w:cs="Calibri"/>
      <w:color w:val="auto"/>
      <w:szCs w:val="22"/>
    </w:rPr>
  </w:style>
  <w:style w:type="character" w:customStyle="1" w:styleId="ReportReferencesChar">
    <w:name w:val="Report References Char"/>
    <w:basedOn w:val="DefaultParagraphFont"/>
    <w:link w:val="ReportReferences"/>
    <w:rsid w:val="00A96C3C"/>
    <w:rPr>
      <w:rFonts w:eastAsia="Times New Roman" w:cs="Calibri"/>
      <w:sz w:val="21"/>
      <w:szCs w:val="22"/>
      <w:lang w:val="en-GB"/>
    </w:rPr>
  </w:style>
  <w:style w:type="paragraph" w:customStyle="1" w:styleId="Quotesource">
    <w:name w:val="Quote source"/>
    <w:basedOn w:val="Normal"/>
    <w:link w:val="QuotesourceChar"/>
    <w:qFormat/>
    <w:rsid w:val="001D10EB"/>
    <w:pPr>
      <w:spacing w:after="400" w:line="240" w:lineRule="exact"/>
      <w:ind w:left="1134" w:right="1134"/>
      <w:jc w:val="right"/>
    </w:pPr>
  </w:style>
  <w:style w:type="character" w:customStyle="1" w:styleId="QuotesourceChar">
    <w:name w:val="Quote source Char"/>
    <w:basedOn w:val="DefaultParagraphFont"/>
    <w:link w:val="Quotesource"/>
    <w:rsid w:val="001D10EB"/>
    <w:rPr>
      <w:color w:val="4D4D4D"/>
      <w:sz w:val="21"/>
      <w:lang w:val="en-GB"/>
    </w:rPr>
  </w:style>
  <w:style w:type="paragraph" w:customStyle="1" w:styleId="CallOuts">
    <w:name w:val="Call Outs"/>
    <w:basedOn w:val="Normal"/>
    <w:link w:val="CallOutsChar"/>
    <w:qFormat/>
    <w:rsid w:val="00E55B7B"/>
    <w:rPr>
      <w:color w:val="0777A3"/>
      <w:sz w:val="48"/>
      <w:szCs w:val="56"/>
    </w:rPr>
  </w:style>
  <w:style w:type="character" w:customStyle="1" w:styleId="CallOutsChar">
    <w:name w:val="Call Outs Char"/>
    <w:basedOn w:val="DefaultParagraphFont"/>
    <w:link w:val="CallOuts"/>
    <w:rsid w:val="00E55B7B"/>
    <w:rPr>
      <w:color w:val="0777A3"/>
      <w:sz w:val="48"/>
      <w:szCs w:val="56"/>
      <w:lang w:val="en-GB"/>
    </w:rPr>
  </w:style>
  <w:style w:type="paragraph" w:customStyle="1" w:styleId="Title1">
    <w:name w:val="Title1"/>
    <w:basedOn w:val="Title"/>
    <w:link w:val="Title1Char"/>
    <w:qFormat/>
    <w:rsid w:val="005926A0"/>
  </w:style>
  <w:style w:type="character" w:customStyle="1" w:styleId="Title1Char">
    <w:name w:val="Title1 Char"/>
    <w:basedOn w:val="TitleChar"/>
    <w:link w:val="Title1"/>
    <w:rsid w:val="005926A0"/>
    <w:rPr>
      <w:rFonts w:asciiTheme="majorHAnsi" w:eastAsiaTheme="majorEastAsia" w:hAnsiTheme="majorHAnsi" w:cstheme="majorBidi"/>
      <w:spacing w:val="-10"/>
      <w:kern w:val="28"/>
      <w:sz w:val="56"/>
      <w:szCs w:val="5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0860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microsoft.com/office/2016/09/relationships/commentsIds" Target="commentsIds.xml"/><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6.jpeg"/><Relationship Id="rId7" Type="http://schemas.openxmlformats.org/officeDocument/2006/relationships/settings" Target="settings.xml"/><Relationship Id="rId12" Type="http://schemas.openxmlformats.org/officeDocument/2006/relationships/image" Target="media/image2.png"/><Relationship Id="rId17" Type="http://schemas.microsoft.com/office/2011/relationships/commentsExtended" Target="commentsExtended.xml"/><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comments" Target="comments.xml"/><Relationship Id="rId20" Type="http://schemas.openxmlformats.org/officeDocument/2006/relationships/image" Target="media/image5.jpeg"/><Relationship Id="rId29"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7.jpeg"/><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hyperlink" Target="https://www.climatechangeauthority.gov.au/sites/default/files/documents/2025-09/2035%20Targets%20Advice%20Report.pdf" TargetMode="External"/><Relationship Id="rId28" Type="http://schemas.openxmlformats.org/officeDocument/2006/relationships/fontTable" Target="fontTable.xml"/><Relationship Id="rId10" Type="http://schemas.openxmlformats.org/officeDocument/2006/relationships/endnotes" Target="endnotes.xml"/><Relationship Id="rId19" Type="http://schemas.microsoft.com/office/2018/08/relationships/commentsExtensible" Target="commentsExtensi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climatechangeauthority.gov.au/2035-emissions-reduction-targets-advice" TargetMode="External"/><Relationship Id="rId22" Type="http://schemas.openxmlformats.org/officeDocument/2006/relationships/hyperlink" Target="https://www.dfat.gov.au/geo/republic-of-korea/republic-of-korea-country-brief" TargetMode="External"/><Relationship Id="rId27" Type="http://schemas.openxmlformats.org/officeDocument/2006/relationships/header" Target="header2.xml"/><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fossilfueltreaty.org/colombia-press-release" TargetMode="External"/><Relationship Id="rId2" Type="http://schemas.openxmlformats.org/officeDocument/2006/relationships/hyperlink" Target="https://poweringpastcoal.org/news/republic-of-korea-and-bahrain-join-the-powering-past-coal-alliance-at-cop30/" TargetMode="External"/><Relationship Id="rId1" Type="http://schemas.openxmlformats.org/officeDocument/2006/relationships/hyperlink" Target="https://www.foreignminister.gov.au/minister/penny-wong/media-release/cop-be-hosted-turkiye-australia-leading-negotiations" TargetMode="External"/><Relationship Id="rId4" Type="http://schemas.openxmlformats.org/officeDocument/2006/relationships/hyperlink" Target="https://www.npr.org/2025/11/11/nx-s1-5582812/climate-colombia-fossil-fuels-renewable-energy-cop3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8D387EC534099041B4A9B5C75A096493" ma:contentTypeVersion="5" ma:contentTypeDescription="Create a new document." ma:contentTypeScope="" ma:versionID="e73e7e017c69e437b2b39bbb13304fd1">
  <xsd:schema xmlns:xsd="http://www.w3.org/2001/XMLSchema" xmlns:xs="http://www.w3.org/2001/XMLSchema" xmlns:p="http://schemas.microsoft.com/office/2006/metadata/properties" xmlns:ns1="http://schemas.microsoft.com/sharepoint/v3" xmlns:ns2="d9916884-dd46-4e0e-9ada-bba3df81f47b" targetNamespace="http://schemas.microsoft.com/office/2006/metadata/properties" ma:root="true" ma:fieldsID="f4d68f71628cc7756569564bf9006811" ns1:_="" ns2:_="">
    <xsd:import namespace="http://schemas.microsoft.com/sharepoint/v3"/>
    <xsd:import namespace="d9916884-dd46-4e0e-9ada-bba3df81f47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1" nillable="true" ma:displayName="Unified Compliance Policy Properties" ma:hidden="true" ma:internalName="_ip_UnifiedCompliancePolicyProperties">
      <xsd:simpleType>
        <xsd:restriction base="dms:Note"/>
      </xsd:simpleType>
    </xsd:element>
    <xsd:element name="_ip_UnifiedCompliancePolicyUIAction" ma:index="1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9916884-dd46-4e0e-9ada-bba3df81f4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FEDEE1C-FC92-4D6F-ADC7-F78E10B24B33}">
  <ds:schemaRefs>
    <ds:schemaRef ds:uri="http://www.w3.org/XML/1998/namespace"/>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d9916884-dd46-4e0e-9ada-bba3df81f47b"/>
    <ds:schemaRef ds:uri="http://schemas.microsoft.com/sharepoint/v3"/>
    <ds:schemaRef ds:uri="http://purl.org/dc/dcmitype/"/>
  </ds:schemaRefs>
</ds:datastoreItem>
</file>

<file path=customXml/itemProps2.xml><?xml version="1.0" encoding="utf-8"?>
<ds:datastoreItem xmlns:ds="http://schemas.openxmlformats.org/officeDocument/2006/customXml" ds:itemID="{97DB1AC5-8BA1-4054-AACA-CC61D5599EEC}">
  <ds:schemaRefs>
    <ds:schemaRef ds:uri="http://schemas.microsoft.com/sharepoint/v3/contenttype/forms"/>
  </ds:schemaRefs>
</ds:datastoreItem>
</file>

<file path=customXml/itemProps3.xml><?xml version="1.0" encoding="utf-8"?>
<ds:datastoreItem xmlns:ds="http://schemas.openxmlformats.org/officeDocument/2006/customXml" ds:itemID="{8D0650E0-8FAD-49FA-9016-46905632FB25}">
  <ds:schemaRefs>
    <ds:schemaRef ds:uri="http://schemas.openxmlformats.org/officeDocument/2006/bibliography"/>
  </ds:schemaRefs>
</ds:datastoreItem>
</file>

<file path=customXml/itemProps4.xml><?xml version="1.0" encoding="utf-8"?>
<ds:datastoreItem xmlns:ds="http://schemas.openxmlformats.org/officeDocument/2006/customXml" ds:itemID="{AA79BB19-B06B-4C0B-983C-133FD5AD9D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9916884-dd46-4e0e-9ada-bba3df81f47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2e6ba7ff-9897-4e65-9803-3be34fd9cf5a}" enabled="1" method="Privileged" siteId="{8c3c81bc-2b3c-44af-b3f7-6f620b3910ee}" removed="0"/>
</clbl:labelList>
</file>

<file path=docProps/app.xml><?xml version="1.0" encoding="utf-8"?>
<Properties xmlns="http://schemas.openxmlformats.org/officeDocument/2006/extended-properties" xmlns:vt="http://schemas.openxmlformats.org/officeDocument/2006/docPropsVTypes">
  <Template>Normal</Template>
  <TotalTime>1</TotalTime>
  <Pages>17</Pages>
  <Words>4480</Words>
  <Characters>25179</Characters>
  <Application>Microsoft Office Word</Application>
  <DocSecurity>0</DocSecurity>
  <Lines>786</Lines>
  <Paragraphs>353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29306</CharactersWithSpaces>
  <SharedDoc>false</SharedDoc>
  <HLinks>
    <vt:vector size="1026" baseType="variant">
      <vt:variant>
        <vt:i4>1900624</vt:i4>
      </vt:variant>
      <vt:variant>
        <vt:i4>639</vt:i4>
      </vt:variant>
      <vt:variant>
        <vt:i4>0</vt:i4>
      </vt:variant>
      <vt:variant>
        <vt:i4>5</vt:i4>
      </vt:variant>
      <vt:variant>
        <vt:lpwstr>https://www.csiro.au/en/work-with-us/international/aslet</vt:lpwstr>
      </vt:variant>
      <vt:variant>
        <vt:lpwstr/>
      </vt:variant>
      <vt:variant>
        <vt:i4>7274538</vt:i4>
      </vt:variant>
      <vt:variant>
        <vt:i4>636</vt:i4>
      </vt:variant>
      <vt:variant>
        <vt:i4>0</vt:i4>
      </vt:variant>
      <vt:variant>
        <vt:i4>5</vt:i4>
      </vt:variant>
      <vt:variant>
        <vt:lpwstr>https://unfccc.int/sites/default/files/english_paris_agreement.pdf</vt:lpwstr>
      </vt:variant>
      <vt:variant>
        <vt:lpwstr/>
      </vt:variant>
      <vt:variant>
        <vt:i4>720900</vt:i4>
      </vt:variant>
      <vt:variant>
        <vt:i4>633</vt:i4>
      </vt:variant>
      <vt:variant>
        <vt:i4>0</vt:i4>
      </vt:variant>
      <vt:variant>
        <vt:i4>5</vt:i4>
      </vt:variant>
      <vt:variant>
        <vt:lpwstr>https://www.industry.gov.au/publications/resources-and-energy-quarterly-june-2025</vt:lpwstr>
      </vt:variant>
      <vt:variant>
        <vt:lpwstr/>
      </vt:variant>
      <vt:variant>
        <vt:i4>5046286</vt:i4>
      </vt:variant>
      <vt:variant>
        <vt:i4>573</vt:i4>
      </vt:variant>
      <vt:variant>
        <vt:i4>0</vt:i4>
      </vt:variant>
      <vt:variant>
        <vt:i4>5</vt:i4>
      </vt:variant>
      <vt:variant>
        <vt:lpwstr>https://www.csiro.au/en/work-with-us/services/consultancy-strategic-advice-services/csiro-futures/energy/co2-utilisation-roadmap</vt:lpwstr>
      </vt:variant>
      <vt:variant>
        <vt:lpwstr/>
      </vt:variant>
      <vt:variant>
        <vt:i4>4653068</vt:i4>
      </vt:variant>
      <vt:variant>
        <vt:i4>525</vt:i4>
      </vt:variant>
      <vt:variant>
        <vt:i4>0</vt:i4>
      </vt:variant>
      <vt:variant>
        <vt:i4>5</vt:i4>
      </vt:variant>
      <vt:variant>
        <vt:lpwstr>https://www.climatechangeauthority.gov.au/about-authority/who-we-are</vt:lpwstr>
      </vt:variant>
      <vt:variant>
        <vt:lpwstr/>
      </vt:variant>
      <vt:variant>
        <vt:i4>1376367</vt:i4>
      </vt:variant>
      <vt:variant>
        <vt:i4>501</vt:i4>
      </vt:variant>
      <vt:variant>
        <vt:i4>0</vt:i4>
      </vt:variant>
      <vt:variant>
        <vt:i4>5</vt:i4>
      </vt:variant>
      <vt:variant>
        <vt:lpwstr>https://www.griffith.edu.au/__data/assets/pdf_file/0022/2174413/No.2025-07-The-Counterfactual-Scenario-v2.pdf</vt:lpwstr>
      </vt:variant>
      <vt:variant>
        <vt:lpwstr/>
      </vt:variant>
      <vt:variant>
        <vt:i4>1048634</vt:i4>
      </vt:variant>
      <vt:variant>
        <vt:i4>482</vt:i4>
      </vt:variant>
      <vt:variant>
        <vt:i4>0</vt:i4>
      </vt:variant>
      <vt:variant>
        <vt:i4>5</vt:i4>
      </vt:variant>
      <vt:variant>
        <vt:lpwstr/>
      </vt:variant>
      <vt:variant>
        <vt:lpwstr>_Toc205240950</vt:lpwstr>
      </vt:variant>
      <vt:variant>
        <vt:i4>1114170</vt:i4>
      </vt:variant>
      <vt:variant>
        <vt:i4>476</vt:i4>
      </vt:variant>
      <vt:variant>
        <vt:i4>0</vt:i4>
      </vt:variant>
      <vt:variant>
        <vt:i4>5</vt:i4>
      </vt:variant>
      <vt:variant>
        <vt:lpwstr/>
      </vt:variant>
      <vt:variant>
        <vt:lpwstr>_Toc205240949</vt:lpwstr>
      </vt:variant>
      <vt:variant>
        <vt:i4>1114170</vt:i4>
      </vt:variant>
      <vt:variant>
        <vt:i4>470</vt:i4>
      </vt:variant>
      <vt:variant>
        <vt:i4>0</vt:i4>
      </vt:variant>
      <vt:variant>
        <vt:i4>5</vt:i4>
      </vt:variant>
      <vt:variant>
        <vt:lpwstr/>
      </vt:variant>
      <vt:variant>
        <vt:lpwstr>_Toc205240948</vt:lpwstr>
      </vt:variant>
      <vt:variant>
        <vt:i4>1245241</vt:i4>
      </vt:variant>
      <vt:variant>
        <vt:i4>461</vt:i4>
      </vt:variant>
      <vt:variant>
        <vt:i4>0</vt:i4>
      </vt:variant>
      <vt:variant>
        <vt:i4>5</vt:i4>
      </vt:variant>
      <vt:variant>
        <vt:lpwstr/>
      </vt:variant>
      <vt:variant>
        <vt:lpwstr>_Toc205391761</vt:lpwstr>
      </vt:variant>
      <vt:variant>
        <vt:i4>1245241</vt:i4>
      </vt:variant>
      <vt:variant>
        <vt:i4>455</vt:i4>
      </vt:variant>
      <vt:variant>
        <vt:i4>0</vt:i4>
      </vt:variant>
      <vt:variant>
        <vt:i4>5</vt:i4>
      </vt:variant>
      <vt:variant>
        <vt:lpwstr/>
      </vt:variant>
      <vt:variant>
        <vt:lpwstr>_Toc205391760</vt:lpwstr>
      </vt:variant>
      <vt:variant>
        <vt:i4>1048633</vt:i4>
      </vt:variant>
      <vt:variant>
        <vt:i4>449</vt:i4>
      </vt:variant>
      <vt:variant>
        <vt:i4>0</vt:i4>
      </vt:variant>
      <vt:variant>
        <vt:i4>5</vt:i4>
      </vt:variant>
      <vt:variant>
        <vt:lpwstr/>
      </vt:variant>
      <vt:variant>
        <vt:lpwstr>_Toc205391759</vt:lpwstr>
      </vt:variant>
      <vt:variant>
        <vt:i4>1048633</vt:i4>
      </vt:variant>
      <vt:variant>
        <vt:i4>443</vt:i4>
      </vt:variant>
      <vt:variant>
        <vt:i4>0</vt:i4>
      </vt:variant>
      <vt:variant>
        <vt:i4>5</vt:i4>
      </vt:variant>
      <vt:variant>
        <vt:lpwstr/>
      </vt:variant>
      <vt:variant>
        <vt:lpwstr>_Toc205391758</vt:lpwstr>
      </vt:variant>
      <vt:variant>
        <vt:i4>1048633</vt:i4>
      </vt:variant>
      <vt:variant>
        <vt:i4>437</vt:i4>
      </vt:variant>
      <vt:variant>
        <vt:i4>0</vt:i4>
      </vt:variant>
      <vt:variant>
        <vt:i4>5</vt:i4>
      </vt:variant>
      <vt:variant>
        <vt:lpwstr/>
      </vt:variant>
      <vt:variant>
        <vt:lpwstr>_Toc205391757</vt:lpwstr>
      </vt:variant>
      <vt:variant>
        <vt:i4>1048633</vt:i4>
      </vt:variant>
      <vt:variant>
        <vt:i4>431</vt:i4>
      </vt:variant>
      <vt:variant>
        <vt:i4>0</vt:i4>
      </vt:variant>
      <vt:variant>
        <vt:i4>5</vt:i4>
      </vt:variant>
      <vt:variant>
        <vt:lpwstr/>
      </vt:variant>
      <vt:variant>
        <vt:lpwstr>_Toc205391756</vt:lpwstr>
      </vt:variant>
      <vt:variant>
        <vt:i4>1048633</vt:i4>
      </vt:variant>
      <vt:variant>
        <vt:i4>425</vt:i4>
      </vt:variant>
      <vt:variant>
        <vt:i4>0</vt:i4>
      </vt:variant>
      <vt:variant>
        <vt:i4>5</vt:i4>
      </vt:variant>
      <vt:variant>
        <vt:lpwstr/>
      </vt:variant>
      <vt:variant>
        <vt:lpwstr>_Toc205391755</vt:lpwstr>
      </vt:variant>
      <vt:variant>
        <vt:i4>1048633</vt:i4>
      </vt:variant>
      <vt:variant>
        <vt:i4>419</vt:i4>
      </vt:variant>
      <vt:variant>
        <vt:i4>0</vt:i4>
      </vt:variant>
      <vt:variant>
        <vt:i4>5</vt:i4>
      </vt:variant>
      <vt:variant>
        <vt:lpwstr/>
      </vt:variant>
      <vt:variant>
        <vt:lpwstr>_Toc205391754</vt:lpwstr>
      </vt:variant>
      <vt:variant>
        <vt:i4>1048633</vt:i4>
      </vt:variant>
      <vt:variant>
        <vt:i4>413</vt:i4>
      </vt:variant>
      <vt:variant>
        <vt:i4>0</vt:i4>
      </vt:variant>
      <vt:variant>
        <vt:i4>5</vt:i4>
      </vt:variant>
      <vt:variant>
        <vt:lpwstr/>
      </vt:variant>
      <vt:variant>
        <vt:lpwstr>_Toc205391753</vt:lpwstr>
      </vt:variant>
      <vt:variant>
        <vt:i4>1048633</vt:i4>
      </vt:variant>
      <vt:variant>
        <vt:i4>407</vt:i4>
      </vt:variant>
      <vt:variant>
        <vt:i4>0</vt:i4>
      </vt:variant>
      <vt:variant>
        <vt:i4>5</vt:i4>
      </vt:variant>
      <vt:variant>
        <vt:lpwstr/>
      </vt:variant>
      <vt:variant>
        <vt:lpwstr>_Toc205391752</vt:lpwstr>
      </vt:variant>
      <vt:variant>
        <vt:i4>1048633</vt:i4>
      </vt:variant>
      <vt:variant>
        <vt:i4>401</vt:i4>
      </vt:variant>
      <vt:variant>
        <vt:i4>0</vt:i4>
      </vt:variant>
      <vt:variant>
        <vt:i4>5</vt:i4>
      </vt:variant>
      <vt:variant>
        <vt:lpwstr/>
      </vt:variant>
      <vt:variant>
        <vt:lpwstr>_Toc205391751</vt:lpwstr>
      </vt:variant>
      <vt:variant>
        <vt:i4>1048633</vt:i4>
      </vt:variant>
      <vt:variant>
        <vt:i4>395</vt:i4>
      </vt:variant>
      <vt:variant>
        <vt:i4>0</vt:i4>
      </vt:variant>
      <vt:variant>
        <vt:i4>5</vt:i4>
      </vt:variant>
      <vt:variant>
        <vt:lpwstr/>
      </vt:variant>
      <vt:variant>
        <vt:lpwstr>_Toc205391750</vt:lpwstr>
      </vt:variant>
      <vt:variant>
        <vt:i4>1114169</vt:i4>
      </vt:variant>
      <vt:variant>
        <vt:i4>389</vt:i4>
      </vt:variant>
      <vt:variant>
        <vt:i4>0</vt:i4>
      </vt:variant>
      <vt:variant>
        <vt:i4>5</vt:i4>
      </vt:variant>
      <vt:variant>
        <vt:lpwstr/>
      </vt:variant>
      <vt:variant>
        <vt:lpwstr>_Toc205391749</vt:lpwstr>
      </vt:variant>
      <vt:variant>
        <vt:i4>1114169</vt:i4>
      </vt:variant>
      <vt:variant>
        <vt:i4>383</vt:i4>
      </vt:variant>
      <vt:variant>
        <vt:i4>0</vt:i4>
      </vt:variant>
      <vt:variant>
        <vt:i4>5</vt:i4>
      </vt:variant>
      <vt:variant>
        <vt:lpwstr/>
      </vt:variant>
      <vt:variant>
        <vt:lpwstr>_Toc205391748</vt:lpwstr>
      </vt:variant>
      <vt:variant>
        <vt:i4>1114169</vt:i4>
      </vt:variant>
      <vt:variant>
        <vt:i4>377</vt:i4>
      </vt:variant>
      <vt:variant>
        <vt:i4>0</vt:i4>
      </vt:variant>
      <vt:variant>
        <vt:i4>5</vt:i4>
      </vt:variant>
      <vt:variant>
        <vt:lpwstr/>
      </vt:variant>
      <vt:variant>
        <vt:lpwstr>_Toc205391747</vt:lpwstr>
      </vt:variant>
      <vt:variant>
        <vt:i4>1114169</vt:i4>
      </vt:variant>
      <vt:variant>
        <vt:i4>368</vt:i4>
      </vt:variant>
      <vt:variant>
        <vt:i4>0</vt:i4>
      </vt:variant>
      <vt:variant>
        <vt:i4>5</vt:i4>
      </vt:variant>
      <vt:variant>
        <vt:lpwstr/>
      </vt:variant>
      <vt:variant>
        <vt:lpwstr>_Toc205391746</vt:lpwstr>
      </vt:variant>
      <vt:variant>
        <vt:i4>1114169</vt:i4>
      </vt:variant>
      <vt:variant>
        <vt:i4>362</vt:i4>
      </vt:variant>
      <vt:variant>
        <vt:i4>0</vt:i4>
      </vt:variant>
      <vt:variant>
        <vt:i4>5</vt:i4>
      </vt:variant>
      <vt:variant>
        <vt:lpwstr/>
      </vt:variant>
      <vt:variant>
        <vt:lpwstr>_Toc205391745</vt:lpwstr>
      </vt:variant>
      <vt:variant>
        <vt:i4>1114169</vt:i4>
      </vt:variant>
      <vt:variant>
        <vt:i4>356</vt:i4>
      </vt:variant>
      <vt:variant>
        <vt:i4>0</vt:i4>
      </vt:variant>
      <vt:variant>
        <vt:i4>5</vt:i4>
      </vt:variant>
      <vt:variant>
        <vt:lpwstr/>
      </vt:variant>
      <vt:variant>
        <vt:lpwstr>_Toc205391744</vt:lpwstr>
      </vt:variant>
      <vt:variant>
        <vt:i4>1114169</vt:i4>
      </vt:variant>
      <vt:variant>
        <vt:i4>350</vt:i4>
      </vt:variant>
      <vt:variant>
        <vt:i4>0</vt:i4>
      </vt:variant>
      <vt:variant>
        <vt:i4>5</vt:i4>
      </vt:variant>
      <vt:variant>
        <vt:lpwstr/>
      </vt:variant>
      <vt:variant>
        <vt:lpwstr>_Toc205391743</vt:lpwstr>
      </vt:variant>
      <vt:variant>
        <vt:i4>1114169</vt:i4>
      </vt:variant>
      <vt:variant>
        <vt:i4>344</vt:i4>
      </vt:variant>
      <vt:variant>
        <vt:i4>0</vt:i4>
      </vt:variant>
      <vt:variant>
        <vt:i4>5</vt:i4>
      </vt:variant>
      <vt:variant>
        <vt:lpwstr/>
      </vt:variant>
      <vt:variant>
        <vt:lpwstr>_Toc205391742</vt:lpwstr>
      </vt:variant>
      <vt:variant>
        <vt:i4>1114169</vt:i4>
      </vt:variant>
      <vt:variant>
        <vt:i4>338</vt:i4>
      </vt:variant>
      <vt:variant>
        <vt:i4>0</vt:i4>
      </vt:variant>
      <vt:variant>
        <vt:i4>5</vt:i4>
      </vt:variant>
      <vt:variant>
        <vt:lpwstr/>
      </vt:variant>
      <vt:variant>
        <vt:lpwstr>_Toc205391741</vt:lpwstr>
      </vt:variant>
      <vt:variant>
        <vt:i4>1114169</vt:i4>
      </vt:variant>
      <vt:variant>
        <vt:i4>332</vt:i4>
      </vt:variant>
      <vt:variant>
        <vt:i4>0</vt:i4>
      </vt:variant>
      <vt:variant>
        <vt:i4>5</vt:i4>
      </vt:variant>
      <vt:variant>
        <vt:lpwstr/>
      </vt:variant>
      <vt:variant>
        <vt:lpwstr>_Toc205391740</vt:lpwstr>
      </vt:variant>
      <vt:variant>
        <vt:i4>1441849</vt:i4>
      </vt:variant>
      <vt:variant>
        <vt:i4>326</vt:i4>
      </vt:variant>
      <vt:variant>
        <vt:i4>0</vt:i4>
      </vt:variant>
      <vt:variant>
        <vt:i4>5</vt:i4>
      </vt:variant>
      <vt:variant>
        <vt:lpwstr/>
      </vt:variant>
      <vt:variant>
        <vt:lpwstr>_Toc205391739</vt:lpwstr>
      </vt:variant>
      <vt:variant>
        <vt:i4>1441849</vt:i4>
      </vt:variant>
      <vt:variant>
        <vt:i4>320</vt:i4>
      </vt:variant>
      <vt:variant>
        <vt:i4>0</vt:i4>
      </vt:variant>
      <vt:variant>
        <vt:i4>5</vt:i4>
      </vt:variant>
      <vt:variant>
        <vt:lpwstr/>
      </vt:variant>
      <vt:variant>
        <vt:lpwstr>_Toc205391738</vt:lpwstr>
      </vt:variant>
      <vt:variant>
        <vt:i4>1441849</vt:i4>
      </vt:variant>
      <vt:variant>
        <vt:i4>314</vt:i4>
      </vt:variant>
      <vt:variant>
        <vt:i4>0</vt:i4>
      </vt:variant>
      <vt:variant>
        <vt:i4>5</vt:i4>
      </vt:variant>
      <vt:variant>
        <vt:lpwstr/>
      </vt:variant>
      <vt:variant>
        <vt:lpwstr>_Toc205391737</vt:lpwstr>
      </vt:variant>
      <vt:variant>
        <vt:i4>1441849</vt:i4>
      </vt:variant>
      <vt:variant>
        <vt:i4>308</vt:i4>
      </vt:variant>
      <vt:variant>
        <vt:i4>0</vt:i4>
      </vt:variant>
      <vt:variant>
        <vt:i4>5</vt:i4>
      </vt:variant>
      <vt:variant>
        <vt:lpwstr/>
      </vt:variant>
      <vt:variant>
        <vt:lpwstr>_Toc205391736</vt:lpwstr>
      </vt:variant>
      <vt:variant>
        <vt:i4>1441849</vt:i4>
      </vt:variant>
      <vt:variant>
        <vt:i4>302</vt:i4>
      </vt:variant>
      <vt:variant>
        <vt:i4>0</vt:i4>
      </vt:variant>
      <vt:variant>
        <vt:i4>5</vt:i4>
      </vt:variant>
      <vt:variant>
        <vt:lpwstr/>
      </vt:variant>
      <vt:variant>
        <vt:lpwstr>_Toc205391735</vt:lpwstr>
      </vt:variant>
      <vt:variant>
        <vt:i4>1441849</vt:i4>
      </vt:variant>
      <vt:variant>
        <vt:i4>296</vt:i4>
      </vt:variant>
      <vt:variant>
        <vt:i4>0</vt:i4>
      </vt:variant>
      <vt:variant>
        <vt:i4>5</vt:i4>
      </vt:variant>
      <vt:variant>
        <vt:lpwstr/>
      </vt:variant>
      <vt:variant>
        <vt:lpwstr>_Toc205391734</vt:lpwstr>
      </vt:variant>
      <vt:variant>
        <vt:i4>1441849</vt:i4>
      </vt:variant>
      <vt:variant>
        <vt:i4>290</vt:i4>
      </vt:variant>
      <vt:variant>
        <vt:i4>0</vt:i4>
      </vt:variant>
      <vt:variant>
        <vt:i4>5</vt:i4>
      </vt:variant>
      <vt:variant>
        <vt:lpwstr/>
      </vt:variant>
      <vt:variant>
        <vt:lpwstr>_Toc205391733</vt:lpwstr>
      </vt:variant>
      <vt:variant>
        <vt:i4>1441849</vt:i4>
      </vt:variant>
      <vt:variant>
        <vt:i4>284</vt:i4>
      </vt:variant>
      <vt:variant>
        <vt:i4>0</vt:i4>
      </vt:variant>
      <vt:variant>
        <vt:i4>5</vt:i4>
      </vt:variant>
      <vt:variant>
        <vt:lpwstr/>
      </vt:variant>
      <vt:variant>
        <vt:lpwstr>_Toc205391732</vt:lpwstr>
      </vt:variant>
      <vt:variant>
        <vt:i4>1441849</vt:i4>
      </vt:variant>
      <vt:variant>
        <vt:i4>278</vt:i4>
      </vt:variant>
      <vt:variant>
        <vt:i4>0</vt:i4>
      </vt:variant>
      <vt:variant>
        <vt:i4>5</vt:i4>
      </vt:variant>
      <vt:variant>
        <vt:lpwstr/>
      </vt:variant>
      <vt:variant>
        <vt:lpwstr>_Toc205391731</vt:lpwstr>
      </vt:variant>
      <vt:variant>
        <vt:i4>1441849</vt:i4>
      </vt:variant>
      <vt:variant>
        <vt:i4>272</vt:i4>
      </vt:variant>
      <vt:variant>
        <vt:i4>0</vt:i4>
      </vt:variant>
      <vt:variant>
        <vt:i4>5</vt:i4>
      </vt:variant>
      <vt:variant>
        <vt:lpwstr/>
      </vt:variant>
      <vt:variant>
        <vt:lpwstr>_Toc205391730</vt:lpwstr>
      </vt:variant>
      <vt:variant>
        <vt:i4>1507385</vt:i4>
      </vt:variant>
      <vt:variant>
        <vt:i4>266</vt:i4>
      </vt:variant>
      <vt:variant>
        <vt:i4>0</vt:i4>
      </vt:variant>
      <vt:variant>
        <vt:i4>5</vt:i4>
      </vt:variant>
      <vt:variant>
        <vt:lpwstr/>
      </vt:variant>
      <vt:variant>
        <vt:lpwstr>_Toc205391729</vt:lpwstr>
      </vt:variant>
      <vt:variant>
        <vt:i4>1507385</vt:i4>
      </vt:variant>
      <vt:variant>
        <vt:i4>260</vt:i4>
      </vt:variant>
      <vt:variant>
        <vt:i4>0</vt:i4>
      </vt:variant>
      <vt:variant>
        <vt:i4>5</vt:i4>
      </vt:variant>
      <vt:variant>
        <vt:lpwstr/>
      </vt:variant>
      <vt:variant>
        <vt:lpwstr>_Toc205391728</vt:lpwstr>
      </vt:variant>
      <vt:variant>
        <vt:i4>1507385</vt:i4>
      </vt:variant>
      <vt:variant>
        <vt:i4>254</vt:i4>
      </vt:variant>
      <vt:variant>
        <vt:i4>0</vt:i4>
      </vt:variant>
      <vt:variant>
        <vt:i4>5</vt:i4>
      </vt:variant>
      <vt:variant>
        <vt:lpwstr/>
      </vt:variant>
      <vt:variant>
        <vt:lpwstr>_Toc205391727</vt:lpwstr>
      </vt:variant>
      <vt:variant>
        <vt:i4>1507385</vt:i4>
      </vt:variant>
      <vt:variant>
        <vt:i4>248</vt:i4>
      </vt:variant>
      <vt:variant>
        <vt:i4>0</vt:i4>
      </vt:variant>
      <vt:variant>
        <vt:i4>5</vt:i4>
      </vt:variant>
      <vt:variant>
        <vt:lpwstr/>
      </vt:variant>
      <vt:variant>
        <vt:lpwstr>_Toc205391726</vt:lpwstr>
      </vt:variant>
      <vt:variant>
        <vt:i4>1507385</vt:i4>
      </vt:variant>
      <vt:variant>
        <vt:i4>242</vt:i4>
      </vt:variant>
      <vt:variant>
        <vt:i4>0</vt:i4>
      </vt:variant>
      <vt:variant>
        <vt:i4>5</vt:i4>
      </vt:variant>
      <vt:variant>
        <vt:lpwstr/>
      </vt:variant>
      <vt:variant>
        <vt:lpwstr>_Toc205391725</vt:lpwstr>
      </vt:variant>
      <vt:variant>
        <vt:i4>1507385</vt:i4>
      </vt:variant>
      <vt:variant>
        <vt:i4>236</vt:i4>
      </vt:variant>
      <vt:variant>
        <vt:i4>0</vt:i4>
      </vt:variant>
      <vt:variant>
        <vt:i4>5</vt:i4>
      </vt:variant>
      <vt:variant>
        <vt:lpwstr/>
      </vt:variant>
      <vt:variant>
        <vt:lpwstr>_Toc205391724</vt:lpwstr>
      </vt:variant>
      <vt:variant>
        <vt:i4>1507385</vt:i4>
      </vt:variant>
      <vt:variant>
        <vt:i4>230</vt:i4>
      </vt:variant>
      <vt:variant>
        <vt:i4>0</vt:i4>
      </vt:variant>
      <vt:variant>
        <vt:i4>5</vt:i4>
      </vt:variant>
      <vt:variant>
        <vt:lpwstr/>
      </vt:variant>
      <vt:variant>
        <vt:lpwstr>_Toc205391723</vt:lpwstr>
      </vt:variant>
      <vt:variant>
        <vt:i4>1507385</vt:i4>
      </vt:variant>
      <vt:variant>
        <vt:i4>224</vt:i4>
      </vt:variant>
      <vt:variant>
        <vt:i4>0</vt:i4>
      </vt:variant>
      <vt:variant>
        <vt:i4>5</vt:i4>
      </vt:variant>
      <vt:variant>
        <vt:lpwstr/>
      </vt:variant>
      <vt:variant>
        <vt:lpwstr>_Toc205391722</vt:lpwstr>
      </vt:variant>
      <vt:variant>
        <vt:i4>1507385</vt:i4>
      </vt:variant>
      <vt:variant>
        <vt:i4>218</vt:i4>
      </vt:variant>
      <vt:variant>
        <vt:i4>0</vt:i4>
      </vt:variant>
      <vt:variant>
        <vt:i4>5</vt:i4>
      </vt:variant>
      <vt:variant>
        <vt:lpwstr/>
      </vt:variant>
      <vt:variant>
        <vt:lpwstr>_Toc205391721</vt:lpwstr>
      </vt:variant>
      <vt:variant>
        <vt:i4>1507385</vt:i4>
      </vt:variant>
      <vt:variant>
        <vt:i4>212</vt:i4>
      </vt:variant>
      <vt:variant>
        <vt:i4>0</vt:i4>
      </vt:variant>
      <vt:variant>
        <vt:i4>5</vt:i4>
      </vt:variant>
      <vt:variant>
        <vt:lpwstr/>
      </vt:variant>
      <vt:variant>
        <vt:lpwstr>_Toc205391720</vt:lpwstr>
      </vt:variant>
      <vt:variant>
        <vt:i4>1507383</vt:i4>
      </vt:variant>
      <vt:variant>
        <vt:i4>203</vt:i4>
      </vt:variant>
      <vt:variant>
        <vt:i4>0</vt:i4>
      </vt:variant>
      <vt:variant>
        <vt:i4>5</vt:i4>
      </vt:variant>
      <vt:variant>
        <vt:lpwstr/>
      </vt:variant>
      <vt:variant>
        <vt:lpwstr>_Toc205391920</vt:lpwstr>
      </vt:variant>
      <vt:variant>
        <vt:i4>1310775</vt:i4>
      </vt:variant>
      <vt:variant>
        <vt:i4>197</vt:i4>
      </vt:variant>
      <vt:variant>
        <vt:i4>0</vt:i4>
      </vt:variant>
      <vt:variant>
        <vt:i4>5</vt:i4>
      </vt:variant>
      <vt:variant>
        <vt:lpwstr/>
      </vt:variant>
      <vt:variant>
        <vt:lpwstr>_Toc205391919</vt:lpwstr>
      </vt:variant>
      <vt:variant>
        <vt:i4>1310775</vt:i4>
      </vt:variant>
      <vt:variant>
        <vt:i4>191</vt:i4>
      </vt:variant>
      <vt:variant>
        <vt:i4>0</vt:i4>
      </vt:variant>
      <vt:variant>
        <vt:i4>5</vt:i4>
      </vt:variant>
      <vt:variant>
        <vt:lpwstr/>
      </vt:variant>
      <vt:variant>
        <vt:lpwstr>_Toc205391918</vt:lpwstr>
      </vt:variant>
      <vt:variant>
        <vt:i4>1310775</vt:i4>
      </vt:variant>
      <vt:variant>
        <vt:i4>185</vt:i4>
      </vt:variant>
      <vt:variant>
        <vt:i4>0</vt:i4>
      </vt:variant>
      <vt:variant>
        <vt:i4>5</vt:i4>
      </vt:variant>
      <vt:variant>
        <vt:lpwstr/>
      </vt:variant>
      <vt:variant>
        <vt:lpwstr>_Toc205391917</vt:lpwstr>
      </vt:variant>
      <vt:variant>
        <vt:i4>1310775</vt:i4>
      </vt:variant>
      <vt:variant>
        <vt:i4>179</vt:i4>
      </vt:variant>
      <vt:variant>
        <vt:i4>0</vt:i4>
      </vt:variant>
      <vt:variant>
        <vt:i4>5</vt:i4>
      </vt:variant>
      <vt:variant>
        <vt:lpwstr/>
      </vt:variant>
      <vt:variant>
        <vt:lpwstr>_Toc205391916</vt:lpwstr>
      </vt:variant>
      <vt:variant>
        <vt:i4>1310775</vt:i4>
      </vt:variant>
      <vt:variant>
        <vt:i4>173</vt:i4>
      </vt:variant>
      <vt:variant>
        <vt:i4>0</vt:i4>
      </vt:variant>
      <vt:variant>
        <vt:i4>5</vt:i4>
      </vt:variant>
      <vt:variant>
        <vt:lpwstr/>
      </vt:variant>
      <vt:variant>
        <vt:lpwstr>_Toc205391915</vt:lpwstr>
      </vt:variant>
      <vt:variant>
        <vt:i4>1310775</vt:i4>
      </vt:variant>
      <vt:variant>
        <vt:i4>167</vt:i4>
      </vt:variant>
      <vt:variant>
        <vt:i4>0</vt:i4>
      </vt:variant>
      <vt:variant>
        <vt:i4>5</vt:i4>
      </vt:variant>
      <vt:variant>
        <vt:lpwstr/>
      </vt:variant>
      <vt:variant>
        <vt:lpwstr>_Toc205391914</vt:lpwstr>
      </vt:variant>
      <vt:variant>
        <vt:i4>1310775</vt:i4>
      </vt:variant>
      <vt:variant>
        <vt:i4>161</vt:i4>
      </vt:variant>
      <vt:variant>
        <vt:i4>0</vt:i4>
      </vt:variant>
      <vt:variant>
        <vt:i4>5</vt:i4>
      </vt:variant>
      <vt:variant>
        <vt:lpwstr/>
      </vt:variant>
      <vt:variant>
        <vt:lpwstr>_Toc205391913</vt:lpwstr>
      </vt:variant>
      <vt:variant>
        <vt:i4>1310775</vt:i4>
      </vt:variant>
      <vt:variant>
        <vt:i4>155</vt:i4>
      </vt:variant>
      <vt:variant>
        <vt:i4>0</vt:i4>
      </vt:variant>
      <vt:variant>
        <vt:i4>5</vt:i4>
      </vt:variant>
      <vt:variant>
        <vt:lpwstr/>
      </vt:variant>
      <vt:variant>
        <vt:lpwstr>_Toc205391912</vt:lpwstr>
      </vt:variant>
      <vt:variant>
        <vt:i4>1310775</vt:i4>
      </vt:variant>
      <vt:variant>
        <vt:i4>149</vt:i4>
      </vt:variant>
      <vt:variant>
        <vt:i4>0</vt:i4>
      </vt:variant>
      <vt:variant>
        <vt:i4>5</vt:i4>
      </vt:variant>
      <vt:variant>
        <vt:lpwstr/>
      </vt:variant>
      <vt:variant>
        <vt:lpwstr>_Toc205391911</vt:lpwstr>
      </vt:variant>
      <vt:variant>
        <vt:i4>1310775</vt:i4>
      </vt:variant>
      <vt:variant>
        <vt:i4>143</vt:i4>
      </vt:variant>
      <vt:variant>
        <vt:i4>0</vt:i4>
      </vt:variant>
      <vt:variant>
        <vt:i4>5</vt:i4>
      </vt:variant>
      <vt:variant>
        <vt:lpwstr/>
      </vt:variant>
      <vt:variant>
        <vt:lpwstr>_Toc205391910</vt:lpwstr>
      </vt:variant>
      <vt:variant>
        <vt:i4>1376311</vt:i4>
      </vt:variant>
      <vt:variant>
        <vt:i4>137</vt:i4>
      </vt:variant>
      <vt:variant>
        <vt:i4>0</vt:i4>
      </vt:variant>
      <vt:variant>
        <vt:i4>5</vt:i4>
      </vt:variant>
      <vt:variant>
        <vt:lpwstr/>
      </vt:variant>
      <vt:variant>
        <vt:lpwstr>_Toc205391909</vt:lpwstr>
      </vt:variant>
      <vt:variant>
        <vt:i4>1376311</vt:i4>
      </vt:variant>
      <vt:variant>
        <vt:i4>131</vt:i4>
      </vt:variant>
      <vt:variant>
        <vt:i4>0</vt:i4>
      </vt:variant>
      <vt:variant>
        <vt:i4>5</vt:i4>
      </vt:variant>
      <vt:variant>
        <vt:lpwstr/>
      </vt:variant>
      <vt:variant>
        <vt:lpwstr>_Toc205391908</vt:lpwstr>
      </vt:variant>
      <vt:variant>
        <vt:i4>1376311</vt:i4>
      </vt:variant>
      <vt:variant>
        <vt:i4>125</vt:i4>
      </vt:variant>
      <vt:variant>
        <vt:i4>0</vt:i4>
      </vt:variant>
      <vt:variant>
        <vt:i4>5</vt:i4>
      </vt:variant>
      <vt:variant>
        <vt:lpwstr/>
      </vt:variant>
      <vt:variant>
        <vt:lpwstr>_Toc205391907</vt:lpwstr>
      </vt:variant>
      <vt:variant>
        <vt:i4>1376311</vt:i4>
      </vt:variant>
      <vt:variant>
        <vt:i4>119</vt:i4>
      </vt:variant>
      <vt:variant>
        <vt:i4>0</vt:i4>
      </vt:variant>
      <vt:variant>
        <vt:i4>5</vt:i4>
      </vt:variant>
      <vt:variant>
        <vt:lpwstr/>
      </vt:variant>
      <vt:variant>
        <vt:lpwstr>_Toc205391906</vt:lpwstr>
      </vt:variant>
      <vt:variant>
        <vt:i4>1376311</vt:i4>
      </vt:variant>
      <vt:variant>
        <vt:i4>113</vt:i4>
      </vt:variant>
      <vt:variant>
        <vt:i4>0</vt:i4>
      </vt:variant>
      <vt:variant>
        <vt:i4>5</vt:i4>
      </vt:variant>
      <vt:variant>
        <vt:lpwstr/>
      </vt:variant>
      <vt:variant>
        <vt:lpwstr>_Toc205391905</vt:lpwstr>
      </vt:variant>
      <vt:variant>
        <vt:i4>1376311</vt:i4>
      </vt:variant>
      <vt:variant>
        <vt:i4>107</vt:i4>
      </vt:variant>
      <vt:variant>
        <vt:i4>0</vt:i4>
      </vt:variant>
      <vt:variant>
        <vt:i4>5</vt:i4>
      </vt:variant>
      <vt:variant>
        <vt:lpwstr/>
      </vt:variant>
      <vt:variant>
        <vt:lpwstr>_Toc205391904</vt:lpwstr>
      </vt:variant>
      <vt:variant>
        <vt:i4>1376311</vt:i4>
      </vt:variant>
      <vt:variant>
        <vt:i4>101</vt:i4>
      </vt:variant>
      <vt:variant>
        <vt:i4>0</vt:i4>
      </vt:variant>
      <vt:variant>
        <vt:i4>5</vt:i4>
      </vt:variant>
      <vt:variant>
        <vt:lpwstr/>
      </vt:variant>
      <vt:variant>
        <vt:lpwstr>_Toc205391903</vt:lpwstr>
      </vt:variant>
      <vt:variant>
        <vt:i4>1376311</vt:i4>
      </vt:variant>
      <vt:variant>
        <vt:i4>95</vt:i4>
      </vt:variant>
      <vt:variant>
        <vt:i4>0</vt:i4>
      </vt:variant>
      <vt:variant>
        <vt:i4>5</vt:i4>
      </vt:variant>
      <vt:variant>
        <vt:lpwstr/>
      </vt:variant>
      <vt:variant>
        <vt:lpwstr>_Toc205391902</vt:lpwstr>
      </vt:variant>
      <vt:variant>
        <vt:i4>1376311</vt:i4>
      </vt:variant>
      <vt:variant>
        <vt:i4>89</vt:i4>
      </vt:variant>
      <vt:variant>
        <vt:i4>0</vt:i4>
      </vt:variant>
      <vt:variant>
        <vt:i4>5</vt:i4>
      </vt:variant>
      <vt:variant>
        <vt:lpwstr/>
      </vt:variant>
      <vt:variant>
        <vt:lpwstr>_Toc205391901</vt:lpwstr>
      </vt:variant>
      <vt:variant>
        <vt:i4>1376311</vt:i4>
      </vt:variant>
      <vt:variant>
        <vt:i4>83</vt:i4>
      </vt:variant>
      <vt:variant>
        <vt:i4>0</vt:i4>
      </vt:variant>
      <vt:variant>
        <vt:i4>5</vt:i4>
      </vt:variant>
      <vt:variant>
        <vt:lpwstr/>
      </vt:variant>
      <vt:variant>
        <vt:lpwstr>_Toc205391900</vt:lpwstr>
      </vt:variant>
      <vt:variant>
        <vt:i4>1835062</vt:i4>
      </vt:variant>
      <vt:variant>
        <vt:i4>77</vt:i4>
      </vt:variant>
      <vt:variant>
        <vt:i4>0</vt:i4>
      </vt:variant>
      <vt:variant>
        <vt:i4>5</vt:i4>
      </vt:variant>
      <vt:variant>
        <vt:lpwstr/>
      </vt:variant>
      <vt:variant>
        <vt:lpwstr>_Toc205391899</vt:lpwstr>
      </vt:variant>
      <vt:variant>
        <vt:i4>1835062</vt:i4>
      </vt:variant>
      <vt:variant>
        <vt:i4>71</vt:i4>
      </vt:variant>
      <vt:variant>
        <vt:i4>0</vt:i4>
      </vt:variant>
      <vt:variant>
        <vt:i4>5</vt:i4>
      </vt:variant>
      <vt:variant>
        <vt:lpwstr/>
      </vt:variant>
      <vt:variant>
        <vt:lpwstr>_Toc205391898</vt:lpwstr>
      </vt:variant>
      <vt:variant>
        <vt:i4>1835062</vt:i4>
      </vt:variant>
      <vt:variant>
        <vt:i4>65</vt:i4>
      </vt:variant>
      <vt:variant>
        <vt:i4>0</vt:i4>
      </vt:variant>
      <vt:variant>
        <vt:i4>5</vt:i4>
      </vt:variant>
      <vt:variant>
        <vt:lpwstr/>
      </vt:variant>
      <vt:variant>
        <vt:lpwstr>_Toc205391897</vt:lpwstr>
      </vt:variant>
      <vt:variant>
        <vt:i4>1835062</vt:i4>
      </vt:variant>
      <vt:variant>
        <vt:i4>59</vt:i4>
      </vt:variant>
      <vt:variant>
        <vt:i4>0</vt:i4>
      </vt:variant>
      <vt:variant>
        <vt:i4>5</vt:i4>
      </vt:variant>
      <vt:variant>
        <vt:lpwstr/>
      </vt:variant>
      <vt:variant>
        <vt:lpwstr>_Toc205391896</vt:lpwstr>
      </vt:variant>
      <vt:variant>
        <vt:i4>1835062</vt:i4>
      </vt:variant>
      <vt:variant>
        <vt:i4>53</vt:i4>
      </vt:variant>
      <vt:variant>
        <vt:i4>0</vt:i4>
      </vt:variant>
      <vt:variant>
        <vt:i4>5</vt:i4>
      </vt:variant>
      <vt:variant>
        <vt:lpwstr/>
      </vt:variant>
      <vt:variant>
        <vt:lpwstr>_Toc205391895</vt:lpwstr>
      </vt:variant>
      <vt:variant>
        <vt:i4>1835062</vt:i4>
      </vt:variant>
      <vt:variant>
        <vt:i4>47</vt:i4>
      </vt:variant>
      <vt:variant>
        <vt:i4>0</vt:i4>
      </vt:variant>
      <vt:variant>
        <vt:i4>5</vt:i4>
      </vt:variant>
      <vt:variant>
        <vt:lpwstr/>
      </vt:variant>
      <vt:variant>
        <vt:lpwstr>_Toc205391894</vt:lpwstr>
      </vt:variant>
      <vt:variant>
        <vt:i4>1835062</vt:i4>
      </vt:variant>
      <vt:variant>
        <vt:i4>41</vt:i4>
      </vt:variant>
      <vt:variant>
        <vt:i4>0</vt:i4>
      </vt:variant>
      <vt:variant>
        <vt:i4>5</vt:i4>
      </vt:variant>
      <vt:variant>
        <vt:lpwstr/>
      </vt:variant>
      <vt:variant>
        <vt:lpwstr>_Toc205391893</vt:lpwstr>
      </vt:variant>
      <vt:variant>
        <vt:i4>1835062</vt:i4>
      </vt:variant>
      <vt:variant>
        <vt:i4>35</vt:i4>
      </vt:variant>
      <vt:variant>
        <vt:i4>0</vt:i4>
      </vt:variant>
      <vt:variant>
        <vt:i4>5</vt:i4>
      </vt:variant>
      <vt:variant>
        <vt:lpwstr/>
      </vt:variant>
      <vt:variant>
        <vt:lpwstr>_Toc205391892</vt:lpwstr>
      </vt:variant>
      <vt:variant>
        <vt:i4>1835062</vt:i4>
      </vt:variant>
      <vt:variant>
        <vt:i4>29</vt:i4>
      </vt:variant>
      <vt:variant>
        <vt:i4>0</vt:i4>
      </vt:variant>
      <vt:variant>
        <vt:i4>5</vt:i4>
      </vt:variant>
      <vt:variant>
        <vt:lpwstr/>
      </vt:variant>
      <vt:variant>
        <vt:lpwstr>_Toc205391891</vt:lpwstr>
      </vt:variant>
      <vt:variant>
        <vt:i4>1835062</vt:i4>
      </vt:variant>
      <vt:variant>
        <vt:i4>23</vt:i4>
      </vt:variant>
      <vt:variant>
        <vt:i4>0</vt:i4>
      </vt:variant>
      <vt:variant>
        <vt:i4>5</vt:i4>
      </vt:variant>
      <vt:variant>
        <vt:lpwstr/>
      </vt:variant>
      <vt:variant>
        <vt:lpwstr>_Toc205391890</vt:lpwstr>
      </vt:variant>
      <vt:variant>
        <vt:i4>1900598</vt:i4>
      </vt:variant>
      <vt:variant>
        <vt:i4>17</vt:i4>
      </vt:variant>
      <vt:variant>
        <vt:i4>0</vt:i4>
      </vt:variant>
      <vt:variant>
        <vt:i4>5</vt:i4>
      </vt:variant>
      <vt:variant>
        <vt:lpwstr/>
      </vt:variant>
      <vt:variant>
        <vt:lpwstr>_Toc205391889</vt:lpwstr>
      </vt:variant>
      <vt:variant>
        <vt:i4>1900598</vt:i4>
      </vt:variant>
      <vt:variant>
        <vt:i4>11</vt:i4>
      </vt:variant>
      <vt:variant>
        <vt:i4>0</vt:i4>
      </vt:variant>
      <vt:variant>
        <vt:i4>5</vt:i4>
      </vt:variant>
      <vt:variant>
        <vt:lpwstr/>
      </vt:variant>
      <vt:variant>
        <vt:lpwstr>_Toc205391888</vt:lpwstr>
      </vt:variant>
      <vt:variant>
        <vt:i4>2949189</vt:i4>
      </vt:variant>
      <vt:variant>
        <vt:i4>6</vt:i4>
      </vt:variant>
      <vt:variant>
        <vt:i4>0</vt:i4>
      </vt:variant>
      <vt:variant>
        <vt:i4>5</vt:i4>
      </vt:variant>
      <vt:variant>
        <vt:lpwstr>https://dcceew2.sharepoint.com/:w:/r/sites/dochub-climateauthority/businessfunctions/communications/_layouts/15/Doc.aspx?sourcedoc=%7B7D310E91-8EEE-4622-B7D8-14951FC28054%7D&amp;file=Chair%20targets%20foreword.docx&amp;wdLOR=c8859B156-48F6-466C-9524-D9C869409B59&amp;fromShare=true&amp;action=default&amp;mobileredirect=true</vt:lpwstr>
      </vt:variant>
      <vt:variant>
        <vt:lpwstr/>
      </vt:variant>
      <vt:variant>
        <vt:i4>393267</vt:i4>
      </vt:variant>
      <vt:variant>
        <vt:i4>3</vt:i4>
      </vt:variant>
      <vt:variant>
        <vt:i4>0</vt:i4>
      </vt:variant>
      <vt:variant>
        <vt:i4>5</vt:i4>
      </vt:variant>
      <vt:variant>
        <vt:lpwstr>https://dcceew2.sharepoint.com/:w:/r/sites/dochub-climateauthority/businessfunctions/researchreports/_layouts/15/Doc.aspx?sourcedoc=%7BBDE57DF7-FEC9-42AB-A146-088B77E280E3%7D&amp;file=2025%20-%20Targets%20-%20letter%20of%20transmittal.docx&amp;wdLOR=cECF69A55-A22A-49DF-9086-7C67547A1E2A&amp;action=default&amp;mobileredirect=true</vt:lpwstr>
      </vt:variant>
      <vt:variant>
        <vt:lpwstr/>
      </vt:variant>
      <vt:variant>
        <vt:i4>4915265</vt:i4>
      </vt:variant>
      <vt:variant>
        <vt:i4>0</vt:i4>
      </vt:variant>
      <vt:variant>
        <vt:i4>0</vt:i4>
      </vt:variant>
      <vt:variant>
        <vt:i4>5</vt:i4>
      </vt:variant>
      <vt:variant>
        <vt:lpwstr>https://www.climatechangeauthority.gov.au/contact-us</vt:lpwstr>
      </vt:variant>
      <vt:variant>
        <vt:lpwstr/>
      </vt:variant>
      <vt:variant>
        <vt:i4>524392</vt:i4>
      </vt:variant>
      <vt:variant>
        <vt:i4>249</vt:i4>
      </vt:variant>
      <vt:variant>
        <vt:i4>0</vt:i4>
      </vt:variant>
      <vt:variant>
        <vt:i4>5</vt:i4>
      </vt:variant>
      <vt:variant>
        <vt:lpwstr>mailto:Nevena.Kosarac1@climatechangeauthority.gov.au</vt:lpwstr>
      </vt:variant>
      <vt:variant>
        <vt:lpwstr/>
      </vt:variant>
      <vt:variant>
        <vt:i4>2949166</vt:i4>
      </vt:variant>
      <vt:variant>
        <vt:i4>246</vt:i4>
      </vt:variant>
      <vt:variant>
        <vt:i4>0</vt:i4>
      </vt:variant>
      <vt:variant>
        <vt:i4>5</vt:i4>
      </vt:variant>
      <vt:variant>
        <vt:lpwstr>https://www.dfat.gov.au/trade/organisations/wto-g20-oecd-apec/indo-pacific-economic-framework/ipef-clean-economy-agreement</vt:lpwstr>
      </vt:variant>
      <vt:variant>
        <vt:lpwstr>:~:text=Australia%27s%20renewable%20energy%20superpower%20ambition,decent%20work%20for%20affected%20communities.</vt:lpwstr>
      </vt:variant>
      <vt:variant>
        <vt:i4>524392</vt:i4>
      </vt:variant>
      <vt:variant>
        <vt:i4>243</vt:i4>
      </vt:variant>
      <vt:variant>
        <vt:i4>0</vt:i4>
      </vt:variant>
      <vt:variant>
        <vt:i4>5</vt:i4>
      </vt:variant>
      <vt:variant>
        <vt:lpwstr>mailto:Nevena.Kosarac1@climatechangeauthority.gov.au</vt:lpwstr>
      </vt:variant>
      <vt:variant>
        <vt:lpwstr/>
      </vt:variant>
      <vt:variant>
        <vt:i4>589933</vt:i4>
      </vt:variant>
      <vt:variant>
        <vt:i4>240</vt:i4>
      </vt:variant>
      <vt:variant>
        <vt:i4>0</vt:i4>
      </vt:variant>
      <vt:variant>
        <vt:i4>5</vt:i4>
      </vt:variant>
      <vt:variant>
        <vt:lpwstr>mailto:George.Sagris1@climatechangeauthority.gov.au</vt:lpwstr>
      </vt:variant>
      <vt:variant>
        <vt:lpwstr/>
      </vt:variant>
      <vt:variant>
        <vt:i4>524392</vt:i4>
      </vt:variant>
      <vt:variant>
        <vt:i4>237</vt:i4>
      </vt:variant>
      <vt:variant>
        <vt:i4>0</vt:i4>
      </vt:variant>
      <vt:variant>
        <vt:i4>5</vt:i4>
      </vt:variant>
      <vt:variant>
        <vt:lpwstr>mailto:Nevena.Kosarac1@climatechangeauthority.gov.au</vt:lpwstr>
      </vt:variant>
      <vt:variant>
        <vt:lpwstr/>
      </vt:variant>
      <vt:variant>
        <vt:i4>589933</vt:i4>
      </vt:variant>
      <vt:variant>
        <vt:i4>234</vt:i4>
      </vt:variant>
      <vt:variant>
        <vt:i4>0</vt:i4>
      </vt:variant>
      <vt:variant>
        <vt:i4>5</vt:i4>
      </vt:variant>
      <vt:variant>
        <vt:lpwstr>mailto:George.Sagris1@climatechangeauthority.gov.au</vt:lpwstr>
      </vt:variant>
      <vt:variant>
        <vt:lpwstr/>
      </vt:variant>
      <vt:variant>
        <vt:i4>589933</vt:i4>
      </vt:variant>
      <vt:variant>
        <vt:i4>231</vt:i4>
      </vt:variant>
      <vt:variant>
        <vt:i4>0</vt:i4>
      </vt:variant>
      <vt:variant>
        <vt:i4>5</vt:i4>
      </vt:variant>
      <vt:variant>
        <vt:lpwstr>mailto:George.Sagris1@climatechangeauthority.gov.au</vt:lpwstr>
      </vt:variant>
      <vt:variant>
        <vt:lpwstr/>
      </vt:variant>
      <vt:variant>
        <vt:i4>524392</vt:i4>
      </vt:variant>
      <vt:variant>
        <vt:i4>228</vt:i4>
      </vt:variant>
      <vt:variant>
        <vt:i4>0</vt:i4>
      </vt:variant>
      <vt:variant>
        <vt:i4>5</vt:i4>
      </vt:variant>
      <vt:variant>
        <vt:lpwstr>mailto:Nevena.Kosarac1@climatechangeauthority.gov.au</vt:lpwstr>
      </vt:variant>
      <vt:variant>
        <vt:lpwstr/>
      </vt:variant>
      <vt:variant>
        <vt:i4>589933</vt:i4>
      </vt:variant>
      <vt:variant>
        <vt:i4>225</vt:i4>
      </vt:variant>
      <vt:variant>
        <vt:i4>0</vt:i4>
      </vt:variant>
      <vt:variant>
        <vt:i4>5</vt:i4>
      </vt:variant>
      <vt:variant>
        <vt:lpwstr>mailto:George.Sagris1@climatechangeauthority.gov.au</vt:lpwstr>
      </vt:variant>
      <vt:variant>
        <vt:lpwstr/>
      </vt:variant>
      <vt:variant>
        <vt:i4>327742</vt:i4>
      </vt:variant>
      <vt:variant>
        <vt:i4>222</vt:i4>
      </vt:variant>
      <vt:variant>
        <vt:i4>0</vt:i4>
      </vt:variant>
      <vt:variant>
        <vt:i4>5</vt:i4>
      </vt:variant>
      <vt:variant>
        <vt:lpwstr>mailto:sarah.fumei@climatechangeauthority.gov.au</vt:lpwstr>
      </vt:variant>
      <vt:variant>
        <vt:lpwstr/>
      </vt:variant>
      <vt:variant>
        <vt:i4>1835062</vt:i4>
      </vt:variant>
      <vt:variant>
        <vt:i4>219</vt:i4>
      </vt:variant>
      <vt:variant>
        <vt:i4>0</vt:i4>
      </vt:variant>
      <vt:variant>
        <vt:i4>5</vt:i4>
      </vt:variant>
      <vt:variant>
        <vt:lpwstr>mailto:Toomas.Mirlieb@climatechangeauthority.gov.au</vt:lpwstr>
      </vt:variant>
      <vt:variant>
        <vt:lpwstr/>
      </vt:variant>
      <vt:variant>
        <vt:i4>7077903</vt:i4>
      </vt:variant>
      <vt:variant>
        <vt:i4>216</vt:i4>
      </vt:variant>
      <vt:variant>
        <vt:i4>0</vt:i4>
      </vt:variant>
      <vt:variant>
        <vt:i4>5</vt:i4>
      </vt:variant>
      <vt:variant>
        <vt:lpwstr>mailto:Weilin.Chiu1@climatechangeauthority.gov.au</vt:lpwstr>
      </vt:variant>
      <vt:variant>
        <vt:lpwstr/>
      </vt:variant>
      <vt:variant>
        <vt:i4>7733348</vt:i4>
      </vt:variant>
      <vt:variant>
        <vt:i4>213</vt:i4>
      </vt:variant>
      <vt:variant>
        <vt:i4>0</vt:i4>
      </vt:variant>
      <vt:variant>
        <vt:i4>5</vt:i4>
      </vt:variant>
      <vt:variant>
        <vt:lpwstr>https://www.dcceew.gov.au/sites/default/files/documents/nggi-quarterly-update-december-2024.pdf</vt:lpwstr>
      </vt:variant>
      <vt:variant>
        <vt:lpwstr/>
      </vt:variant>
      <vt:variant>
        <vt:i4>7077903</vt:i4>
      </vt:variant>
      <vt:variant>
        <vt:i4>210</vt:i4>
      </vt:variant>
      <vt:variant>
        <vt:i4>0</vt:i4>
      </vt:variant>
      <vt:variant>
        <vt:i4>5</vt:i4>
      </vt:variant>
      <vt:variant>
        <vt:lpwstr>mailto:Weilin.Chiu1@climatechangeauthority.gov.au</vt:lpwstr>
      </vt:variant>
      <vt:variant>
        <vt:lpwstr/>
      </vt:variant>
      <vt:variant>
        <vt:i4>589933</vt:i4>
      </vt:variant>
      <vt:variant>
        <vt:i4>207</vt:i4>
      </vt:variant>
      <vt:variant>
        <vt:i4>0</vt:i4>
      </vt:variant>
      <vt:variant>
        <vt:i4>5</vt:i4>
      </vt:variant>
      <vt:variant>
        <vt:lpwstr>mailto:George.Sagris1@climatechangeauthority.gov.au</vt:lpwstr>
      </vt:variant>
      <vt:variant>
        <vt:lpwstr/>
      </vt:variant>
      <vt:variant>
        <vt:i4>327742</vt:i4>
      </vt:variant>
      <vt:variant>
        <vt:i4>204</vt:i4>
      </vt:variant>
      <vt:variant>
        <vt:i4>0</vt:i4>
      </vt:variant>
      <vt:variant>
        <vt:i4>5</vt:i4>
      </vt:variant>
      <vt:variant>
        <vt:lpwstr>mailto:sarah.fumei@climatechangeauthority.gov.au</vt:lpwstr>
      </vt:variant>
      <vt:variant>
        <vt:lpwstr/>
      </vt:variant>
      <vt:variant>
        <vt:i4>7077903</vt:i4>
      </vt:variant>
      <vt:variant>
        <vt:i4>201</vt:i4>
      </vt:variant>
      <vt:variant>
        <vt:i4>0</vt:i4>
      </vt:variant>
      <vt:variant>
        <vt:i4>5</vt:i4>
      </vt:variant>
      <vt:variant>
        <vt:lpwstr>mailto:Weilin.Chiu1@climatechangeauthority.gov.au</vt:lpwstr>
      </vt:variant>
      <vt:variant>
        <vt:lpwstr/>
      </vt:variant>
      <vt:variant>
        <vt:i4>7602271</vt:i4>
      </vt:variant>
      <vt:variant>
        <vt:i4>198</vt:i4>
      </vt:variant>
      <vt:variant>
        <vt:i4>0</vt:i4>
      </vt:variant>
      <vt:variant>
        <vt:i4>5</vt:i4>
      </vt:variant>
      <vt:variant>
        <vt:lpwstr>mailto:claudia.papandrea@climatechangeauthority.gov.au</vt:lpwstr>
      </vt:variant>
      <vt:variant>
        <vt:lpwstr/>
      </vt:variant>
      <vt:variant>
        <vt:i4>7077903</vt:i4>
      </vt:variant>
      <vt:variant>
        <vt:i4>195</vt:i4>
      </vt:variant>
      <vt:variant>
        <vt:i4>0</vt:i4>
      </vt:variant>
      <vt:variant>
        <vt:i4>5</vt:i4>
      </vt:variant>
      <vt:variant>
        <vt:lpwstr>mailto:Weilin.Chiu1@climatechangeauthority.gov.au</vt:lpwstr>
      </vt:variant>
      <vt:variant>
        <vt:lpwstr/>
      </vt:variant>
      <vt:variant>
        <vt:i4>5767295</vt:i4>
      </vt:variant>
      <vt:variant>
        <vt:i4>192</vt:i4>
      </vt:variant>
      <vt:variant>
        <vt:i4>0</vt:i4>
      </vt:variant>
      <vt:variant>
        <vt:i4>5</vt:i4>
      </vt:variant>
      <vt:variant>
        <vt:lpwstr>mailto:ethan.ryan@climatechangeauthority.gov.au</vt:lpwstr>
      </vt:variant>
      <vt:variant>
        <vt:lpwstr/>
      </vt:variant>
      <vt:variant>
        <vt:i4>524334</vt:i4>
      </vt:variant>
      <vt:variant>
        <vt:i4>189</vt:i4>
      </vt:variant>
      <vt:variant>
        <vt:i4>0</vt:i4>
      </vt:variant>
      <vt:variant>
        <vt:i4>5</vt:i4>
      </vt:variant>
      <vt:variant>
        <vt:lpwstr>mailto:Terrence.Hogan@climatechangeauthority.gov.au</vt:lpwstr>
      </vt:variant>
      <vt:variant>
        <vt:lpwstr/>
      </vt:variant>
      <vt:variant>
        <vt:i4>5767295</vt:i4>
      </vt:variant>
      <vt:variant>
        <vt:i4>186</vt:i4>
      </vt:variant>
      <vt:variant>
        <vt:i4>0</vt:i4>
      </vt:variant>
      <vt:variant>
        <vt:i4>5</vt:i4>
      </vt:variant>
      <vt:variant>
        <vt:lpwstr>mailto:ethan.ryan@climatechangeauthority.gov.au</vt:lpwstr>
      </vt:variant>
      <vt:variant>
        <vt:lpwstr/>
      </vt:variant>
      <vt:variant>
        <vt:i4>2031677</vt:i4>
      </vt:variant>
      <vt:variant>
        <vt:i4>183</vt:i4>
      </vt:variant>
      <vt:variant>
        <vt:i4>0</vt:i4>
      </vt:variant>
      <vt:variant>
        <vt:i4>5</vt:i4>
      </vt:variant>
      <vt:variant>
        <vt:lpwstr>mailto:Jed.Buffier@climatechangeauthority.gov.au</vt:lpwstr>
      </vt:variant>
      <vt:variant>
        <vt:lpwstr/>
      </vt:variant>
      <vt:variant>
        <vt:i4>7077903</vt:i4>
      </vt:variant>
      <vt:variant>
        <vt:i4>180</vt:i4>
      </vt:variant>
      <vt:variant>
        <vt:i4>0</vt:i4>
      </vt:variant>
      <vt:variant>
        <vt:i4>5</vt:i4>
      </vt:variant>
      <vt:variant>
        <vt:lpwstr>mailto:Weilin.Chiu1@climatechangeauthority.gov.au</vt:lpwstr>
      </vt:variant>
      <vt:variant>
        <vt:lpwstr/>
      </vt:variant>
      <vt:variant>
        <vt:i4>524392</vt:i4>
      </vt:variant>
      <vt:variant>
        <vt:i4>177</vt:i4>
      </vt:variant>
      <vt:variant>
        <vt:i4>0</vt:i4>
      </vt:variant>
      <vt:variant>
        <vt:i4>5</vt:i4>
      </vt:variant>
      <vt:variant>
        <vt:lpwstr>mailto:Nevena.Kosarac1@climatechangeauthority.gov.au</vt:lpwstr>
      </vt:variant>
      <vt:variant>
        <vt:lpwstr/>
      </vt:variant>
      <vt:variant>
        <vt:i4>589933</vt:i4>
      </vt:variant>
      <vt:variant>
        <vt:i4>174</vt:i4>
      </vt:variant>
      <vt:variant>
        <vt:i4>0</vt:i4>
      </vt:variant>
      <vt:variant>
        <vt:i4>5</vt:i4>
      </vt:variant>
      <vt:variant>
        <vt:lpwstr>mailto:George.Sagris1@climatechangeauthority.gov.au</vt:lpwstr>
      </vt:variant>
      <vt:variant>
        <vt:lpwstr/>
      </vt:variant>
      <vt:variant>
        <vt:i4>524392</vt:i4>
      </vt:variant>
      <vt:variant>
        <vt:i4>171</vt:i4>
      </vt:variant>
      <vt:variant>
        <vt:i4>0</vt:i4>
      </vt:variant>
      <vt:variant>
        <vt:i4>5</vt:i4>
      </vt:variant>
      <vt:variant>
        <vt:lpwstr>mailto:Nevena.Kosarac1@climatechangeauthority.gov.au</vt:lpwstr>
      </vt:variant>
      <vt:variant>
        <vt:lpwstr/>
      </vt:variant>
      <vt:variant>
        <vt:i4>589933</vt:i4>
      </vt:variant>
      <vt:variant>
        <vt:i4>168</vt:i4>
      </vt:variant>
      <vt:variant>
        <vt:i4>0</vt:i4>
      </vt:variant>
      <vt:variant>
        <vt:i4>5</vt:i4>
      </vt:variant>
      <vt:variant>
        <vt:lpwstr>mailto:George.Sagris1@climatechangeauthority.gov.au</vt:lpwstr>
      </vt:variant>
      <vt:variant>
        <vt:lpwstr/>
      </vt:variant>
      <vt:variant>
        <vt:i4>1835062</vt:i4>
      </vt:variant>
      <vt:variant>
        <vt:i4>165</vt:i4>
      </vt:variant>
      <vt:variant>
        <vt:i4>0</vt:i4>
      </vt:variant>
      <vt:variant>
        <vt:i4>5</vt:i4>
      </vt:variant>
      <vt:variant>
        <vt:lpwstr>mailto:Toomas.Mirlieb@climatechangeauthority.gov.au</vt:lpwstr>
      </vt:variant>
      <vt:variant>
        <vt:lpwstr/>
      </vt:variant>
      <vt:variant>
        <vt:i4>589933</vt:i4>
      </vt:variant>
      <vt:variant>
        <vt:i4>162</vt:i4>
      </vt:variant>
      <vt:variant>
        <vt:i4>0</vt:i4>
      </vt:variant>
      <vt:variant>
        <vt:i4>5</vt:i4>
      </vt:variant>
      <vt:variant>
        <vt:lpwstr>mailto:George.Sagris1@climatechangeauthority.gov.au</vt:lpwstr>
      </vt:variant>
      <vt:variant>
        <vt:lpwstr/>
      </vt:variant>
      <vt:variant>
        <vt:i4>524392</vt:i4>
      </vt:variant>
      <vt:variant>
        <vt:i4>159</vt:i4>
      </vt:variant>
      <vt:variant>
        <vt:i4>0</vt:i4>
      </vt:variant>
      <vt:variant>
        <vt:i4>5</vt:i4>
      </vt:variant>
      <vt:variant>
        <vt:lpwstr>mailto:Nevena.Kosarac1@climatechangeauthority.gov.au</vt:lpwstr>
      </vt:variant>
      <vt:variant>
        <vt:lpwstr/>
      </vt:variant>
      <vt:variant>
        <vt:i4>589933</vt:i4>
      </vt:variant>
      <vt:variant>
        <vt:i4>156</vt:i4>
      </vt:variant>
      <vt:variant>
        <vt:i4>0</vt:i4>
      </vt:variant>
      <vt:variant>
        <vt:i4>5</vt:i4>
      </vt:variant>
      <vt:variant>
        <vt:lpwstr>mailto:George.Sagris1@climatechangeauthority.gov.au</vt:lpwstr>
      </vt:variant>
      <vt:variant>
        <vt:lpwstr/>
      </vt:variant>
      <vt:variant>
        <vt:i4>1704014</vt:i4>
      </vt:variant>
      <vt:variant>
        <vt:i4>153</vt:i4>
      </vt:variant>
      <vt:variant>
        <vt:i4>0</vt:i4>
      </vt:variant>
      <vt:variant>
        <vt:i4>5</vt:i4>
      </vt:variant>
      <vt:variant>
        <vt:lpwstr>https://www.deloitte.com/au/en/services/economics/perspectives/new-choice-climate-growth.html</vt:lpwstr>
      </vt:variant>
      <vt:variant>
        <vt:lpwstr/>
      </vt:variant>
      <vt:variant>
        <vt:i4>524392</vt:i4>
      </vt:variant>
      <vt:variant>
        <vt:i4>150</vt:i4>
      </vt:variant>
      <vt:variant>
        <vt:i4>0</vt:i4>
      </vt:variant>
      <vt:variant>
        <vt:i4>5</vt:i4>
      </vt:variant>
      <vt:variant>
        <vt:lpwstr>mailto:Nevena.Kosarac1@climatechangeauthority.gov.au</vt:lpwstr>
      </vt:variant>
      <vt:variant>
        <vt:lpwstr/>
      </vt:variant>
      <vt:variant>
        <vt:i4>589933</vt:i4>
      </vt:variant>
      <vt:variant>
        <vt:i4>147</vt:i4>
      </vt:variant>
      <vt:variant>
        <vt:i4>0</vt:i4>
      </vt:variant>
      <vt:variant>
        <vt:i4>5</vt:i4>
      </vt:variant>
      <vt:variant>
        <vt:lpwstr>mailto:George.Sagris1@climatechangeauthority.gov.au</vt:lpwstr>
      </vt:variant>
      <vt:variant>
        <vt:lpwstr/>
      </vt:variant>
      <vt:variant>
        <vt:i4>7143497</vt:i4>
      </vt:variant>
      <vt:variant>
        <vt:i4>144</vt:i4>
      </vt:variant>
      <vt:variant>
        <vt:i4>0</vt:i4>
      </vt:variant>
      <vt:variant>
        <vt:i4>5</vt:i4>
      </vt:variant>
      <vt:variant>
        <vt:lpwstr>https://www.ey.com/en_au/insights/sustainability/2035-climate-target-cost-saving-action-for-business</vt:lpwstr>
      </vt:variant>
      <vt:variant>
        <vt:lpwstr/>
      </vt:variant>
      <vt:variant>
        <vt:i4>524392</vt:i4>
      </vt:variant>
      <vt:variant>
        <vt:i4>141</vt:i4>
      </vt:variant>
      <vt:variant>
        <vt:i4>0</vt:i4>
      </vt:variant>
      <vt:variant>
        <vt:i4>5</vt:i4>
      </vt:variant>
      <vt:variant>
        <vt:lpwstr>mailto:Nevena.Kosarac1@climatechangeauthority.gov.au</vt:lpwstr>
      </vt:variant>
      <vt:variant>
        <vt:lpwstr/>
      </vt:variant>
      <vt:variant>
        <vt:i4>589933</vt:i4>
      </vt:variant>
      <vt:variant>
        <vt:i4>138</vt:i4>
      </vt:variant>
      <vt:variant>
        <vt:i4>0</vt:i4>
      </vt:variant>
      <vt:variant>
        <vt:i4>5</vt:i4>
      </vt:variant>
      <vt:variant>
        <vt:lpwstr>mailto:George.Sagris1@climatechangeauthority.gov.au</vt:lpwstr>
      </vt:variant>
      <vt:variant>
        <vt:lpwstr/>
      </vt:variant>
      <vt:variant>
        <vt:i4>589933</vt:i4>
      </vt:variant>
      <vt:variant>
        <vt:i4>135</vt:i4>
      </vt:variant>
      <vt:variant>
        <vt:i4>0</vt:i4>
      </vt:variant>
      <vt:variant>
        <vt:i4>5</vt:i4>
      </vt:variant>
      <vt:variant>
        <vt:lpwstr>mailto:George.Sagris1@climatechangeauthority.gov.au</vt:lpwstr>
      </vt:variant>
      <vt:variant>
        <vt:lpwstr/>
      </vt:variant>
      <vt:variant>
        <vt:i4>1835062</vt:i4>
      </vt:variant>
      <vt:variant>
        <vt:i4>132</vt:i4>
      </vt:variant>
      <vt:variant>
        <vt:i4>0</vt:i4>
      </vt:variant>
      <vt:variant>
        <vt:i4>5</vt:i4>
      </vt:variant>
      <vt:variant>
        <vt:lpwstr>mailto:Toomas.Mirlieb@climatechangeauthority.gov.au</vt:lpwstr>
      </vt:variant>
      <vt:variant>
        <vt:lpwstr/>
      </vt:variant>
      <vt:variant>
        <vt:i4>1179705</vt:i4>
      </vt:variant>
      <vt:variant>
        <vt:i4>129</vt:i4>
      </vt:variant>
      <vt:variant>
        <vt:i4>0</vt:i4>
      </vt:variant>
      <vt:variant>
        <vt:i4>5</vt:i4>
      </vt:variant>
      <vt:variant>
        <vt:lpwstr>mailto:Louisa.Esdaile@climatechangeauthority.gov.au</vt:lpwstr>
      </vt:variant>
      <vt:variant>
        <vt:lpwstr/>
      </vt:variant>
      <vt:variant>
        <vt:i4>524334</vt:i4>
      </vt:variant>
      <vt:variant>
        <vt:i4>126</vt:i4>
      </vt:variant>
      <vt:variant>
        <vt:i4>0</vt:i4>
      </vt:variant>
      <vt:variant>
        <vt:i4>5</vt:i4>
      </vt:variant>
      <vt:variant>
        <vt:lpwstr>mailto:Terrence.Hogan@climatechangeauthority.gov.au</vt:lpwstr>
      </vt:variant>
      <vt:variant>
        <vt:lpwstr/>
      </vt:variant>
      <vt:variant>
        <vt:i4>1835062</vt:i4>
      </vt:variant>
      <vt:variant>
        <vt:i4>123</vt:i4>
      </vt:variant>
      <vt:variant>
        <vt:i4>0</vt:i4>
      </vt:variant>
      <vt:variant>
        <vt:i4>5</vt:i4>
      </vt:variant>
      <vt:variant>
        <vt:lpwstr>mailto:Toomas.Mirlieb@climatechangeauthority.gov.au</vt:lpwstr>
      </vt:variant>
      <vt:variant>
        <vt:lpwstr/>
      </vt:variant>
      <vt:variant>
        <vt:i4>589933</vt:i4>
      </vt:variant>
      <vt:variant>
        <vt:i4>120</vt:i4>
      </vt:variant>
      <vt:variant>
        <vt:i4>0</vt:i4>
      </vt:variant>
      <vt:variant>
        <vt:i4>5</vt:i4>
      </vt:variant>
      <vt:variant>
        <vt:lpwstr>mailto:George.Sagris1@climatechangeauthority.gov.au</vt:lpwstr>
      </vt:variant>
      <vt:variant>
        <vt:lpwstr/>
      </vt:variant>
      <vt:variant>
        <vt:i4>524392</vt:i4>
      </vt:variant>
      <vt:variant>
        <vt:i4>117</vt:i4>
      </vt:variant>
      <vt:variant>
        <vt:i4>0</vt:i4>
      </vt:variant>
      <vt:variant>
        <vt:i4>5</vt:i4>
      </vt:variant>
      <vt:variant>
        <vt:lpwstr>mailto:Nevena.Kosarac1@climatechangeauthority.gov.au</vt:lpwstr>
      </vt:variant>
      <vt:variant>
        <vt:lpwstr/>
      </vt:variant>
      <vt:variant>
        <vt:i4>524334</vt:i4>
      </vt:variant>
      <vt:variant>
        <vt:i4>114</vt:i4>
      </vt:variant>
      <vt:variant>
        <vt:i4>0</vt:i4>
      </vt:variant>
      <vt:variant>
        <vt:i4>5</vt:i4>
      </vt:variant>
      <vt:variant>
        <vt:lpwstr>mailto:Terrence.Hogan@climatechangeauthority.gov.au</vt:lpwstr>
      </vt:variant>
      <vt:variant>
        <vt:lpwstr/>
      </vt:variant>
      <vt:variant>
        <vt:i4>7209046</vt:i4>
      </vt:variant>
      <vt:variant>
        <vt:i4>111</vt:i4>
      </vt:variant>
      <vt:variant>
        <vt:i4>0</vt:i4>
      </vt:variant>
      <vt:variant>
        <vt:i4>5</vt:i4>
      </vt:variant>
      <vt:variant>
        <vt:lpwstr>mailto:William.Pritchard@climatechangeauthority.gov.au</vt:lpwstr>
      </vt:variant>
      <vt:variant>
        <vt:lpwstr/>
      </vt:variant>
      <vt:variant>
        <vt:i4>3276806</vt:i4>
      </vt:variant>
      <vt:variant>
        <vt:i4>108</vt:i4>
      </vt:variant>
      <vt:variant>
        <vt:i4>0</vt:i4>
      </vt:variant>
      <vt:variant>
        <vt:i4>5</vt:i4>
      </vt:variant>
      <vt:variant>
        <vt:lpwstr>mailto:nicola.bilton@climatechangeauthority.gov.au</vt:lpwstr>
      </vt:variant>
      <vt:variant>
        <vt:lpwstr/>
      </vt:variant>
      <vt:variant>
        <vt:i4>7077962</vt:i4>
      </vt:variant>
      <vt:variant>
        <vt:i4>105</vt:i4>
      </vt:variant>
      <vt:variant>
        <vt:i4>0</vt:i4>
      </vt:variant>
      <vt:variant>
        <vt:i4>5</vt:i4>
      </vt:variant>
      <vt:variant>
        <vt:lpwstr>mailto:Young.Lee@climatechangeauthority.gov.au</vt:lpwstr>
      </vt:variant>
      <vt:variant>
        <vt:lpwstr/>
      </vt:variant>
      <vt:variant>
        <vt:i4>524392</vt:i4>
      </vt:variant>
      <vt:variant>
        <vt:i4>102</vt:i4>
      </vt:variant>
      <vt:variant>
        <vt:i4>0</vt:i4>
      </vt:variant>
      <vt:variant>
        <vt:i4>5</vt:i4>
      </vt:variant>
      <vt:variant>
        <vt:lpwstr>mailto:Nevena.Kosarac1@climatechangeauthority.gov.au</vt:lpwstr>
      </vt:variant>
      <vt:variant>
        <vt:lpwstr/>
      </vt:variant>
      <vt:variant>
        <vt:i4>1835062</vt:i4>
      </vt:variant>
      <vt:variant>
        <vt:i4>99</vt:i4>
      </vt:variant>
      <vt:variant>
        <vt:i4>0</vt:i4>
      </vt:variant>
      <vt:variant>
        <vt:i4>5</vt:i4>
      </vt:variant>
      <vt:variant>
        <vt:lpwstr>mailto:Toomas.Mirlieb@climatechangeauthority.gov.au</vt:lpwstr>
      </vt:variant>
      <vt:variant>
        <vt:lpwstr/>
      </vt:variant>
      <vt:variant>
        <vt:i4>3735583</vt:i4>
      </vt:variant>
      <vt:variant>
        <vt:i4>96</vt:i4>
      </vt:variant>
      <vt:variant>
        <vt:i4>0</vt:i4>
      </vt:variant>
      <vt:variant>
        <vt:i4>5</vt:i4>
      </vt:variant>
      <vt:variant>
        <vt:lpwstr>mailto:Peter.HANNAM@climatechangeauthority.gov.au</vt:lpwstr>
      </vt:variant>
      <vt:variant>
        <vt:lpwstr/>
      </vt:variant>
      <vt:variant>
        <vt:i4>524334</vt:i4>
      </vt:variant>
      <vt:variant>
        <vt:i4>93</vt:i4>
      </vt:variant>
      <vt:variant>
        <vt:i4>0</vt:i4>
      </vt:variant>
      <vt:variant>
        <vt:i4>5</vt:i4>
      </vt:variant>
      <vt:variant>
        <vt:lpwstr>mailto:Terrence.Hogan@climatechangeauthority.gov.au</vt:lpwstr>
      </vt:variant>
      <vt:variant>
        <vt:lpwstr/>
      </vt:variant>
      <vt:variant>
        <vt:i4>720936</vt:i4>
      </vt:variant>
      <vt:variant>
        <vt:i4>90</vt:i4>
      </vt:variant>
      <vt:variant>
        <vt:i4>0</vt:i4>
      </vt:variant>
      <vt:variant>
        <vt:i4>5</vt:i4>
      </vt:variant>
      <vt:variant>
        <vt:lpwstr>mailto:geoffrey.brett@climatechangeauthority.gov.au</vt:lpwstr>
      </vt:variant>
      <vt:variant>
        <vt:lpwstr/>
      </vt:variant>
      <vt:variant>
        <vt:i4>7077962</vt:i4>
      </vt:variant>
      <vt:variant>
        <vt:i4>87</vt:i4>
      </vt:variant>
      <vt:variant>
        <vt:i4>0</vt:i4>
      </vt:variant>
      <vt:variant>
        <vt:i4>5</vt:i4>
      </vt:variant>
      <vt:variant>
        <vt:lpwstr>mailto:Young.Lee@climatechangeauthority.gov.au</vt:lpwstr>
      </vt:variant>
      <vt:variant>
        <vt:lpwstr/>
      </vt:variant>
      <vt:variant>
        <vt:i4>7077962</vt:i4>
      </vt:variant>
      <vt:variant>
        <vt:i4>84</vt:i4>
      </vt:variant>
      <vt:variant>
        <vt:i4>0</vt:i4>
      </vt:variant>
      <vt:variant>
        <vt:i4>5</vt:i4>
      </vt:variant>
      <vt:variant>
        <vt:lpwstr>mailto:Young.Lee@climatechangeauthority.gov.au</vt:lpwstr>
      </vt:variant>
      <vt:variant>
        <vt:lpwstr/>
      </vt:variant>
      <vt:variant>
        <vt:i4>2031677</vt:i4>
      </vt:variant>
      <vt:variant>
        <vt:i4>81</vt:i4>
      </vt:variant>
      <vt:variant>
        <vt:i4>0</vt:i4>
      </vt:variant>
      <vt:variant>
        <vt:i4>5</vt:i4>
      </vt:variant>
      <vt:variant>
        <vt:lpwstr>mailto:Jed.Buffier@climatechangeauthority.gov.au</vt:lpwstr>
      </vt:variant>
      <vt:variant>
        <vt:lpwstr/>
      </vt:variant>
      <vt:variant>
        <vt:i4>524334</vt:i4>
      </vt:variant>
      <vt:variant>
        <vt:i4>78</vt:i4>
      </vt:variant>
      <vt:variant>
        <vt:i4>0</vt:i4>
      </vt:variant>
      <vt:variant>
        <vt:i4>5</vt:i4>
      </vt:variant>
      <vt:variant>
        <vt:lpwstr>mailto:Terrence.Hogan@climatechangeauthority.gov.au</vt:lpwstr>
      </vt:variant>
      <vt:variant>
        <vt:lpwstr/>
      </vt:variant>
      <vt:variant>
        <vt:i4>720936</vt:i4>
      </vt:variant>
      <vt:variant>
        <vt:i4>75</vt:i4>
      </vt:variant>
      <vt:variant>
        <vt:i4>0</vt:i4>
      </vt:variant>
      <vt:variant>
        <vt:i4>5</vt:i4>
      </vt:variant>
      <vt:variant>
        <vt:lpwstr>mailto:geoffrey.brett@climatechangeauthority.gov.au</vt:lpwstr>
      </vt:variant>
      <vt:variant>
        <vt:lpwstr/>
      </vt:variant>
      <vt:variant>
        <vt:i4>6488170</vt:i4>
      </vt:variant>
      <vt:variant>
        <vt:i4>72</vt:i4>
      </vt:variant>
      <vt:variant>
        <vt:i4>0</vt:i4>
      </vt:variant>
      <vt:variant>
        <vt:i4>5</vt:i4>
      </vt:variant>
      <vt:variant>
        <vt:lpwstr>https://www.reuters.com/business/autos-transportation/norway-nearly-all-new-cars-sold-2024-were-fully-electric-2025-01-02/</vt:lpwstr>
      </vt:variant>
      <vt:variant>
        <vt:lpwstr/>
      </vt:variant>
      <vt:variant>
        <vt:i4>720936</vt:i4>
      </vt:variant>
      <vt:variant>
        <vt:i4>69</vt:i4>
      </vt:variant>
      <vt:variant>
        <vt:i4>0</vt:i4>
      </vt:variant>
      <vt:variant>
        <vt:i4>5</vt:i4>
      </vt:variant>
      <vt:variant>
        <vt:lpwstr>mailto:geoffrey.brett@climatechangeauthority.gov.au</vt:lpwstr>
      </vt:variant>
      <vt:variant>
        <vt:lpwstr/>
      </vt:variant>
      <vt:variant>
        <vt:i4>524334</vt:i4>
      </vt:variant>
      <vt:variant>
        <vt:i4>66</vt:i4>
      </vt:variant>
      <vt:variant>
        <vt:i4>0</vt:i4>
      </vt:variant>
      <vt:variant>
        <vt:i4>5</vt:i4>
      </vt:variant>
      <vt:variant>
        <vt:lpwstr>mailto:Terrence.Hogan@climatechangeauthority.gov.au</vt:lpwstr>
      </vt:variant>
      <vt:variant>
        <vt:lpwstr/>
      </vt:variant>
      <vt:variant>
        <vt:i4>720936</vt:i4>
      </vt:variant>
      <vt:variant>
        <vt:i4>63</vt:i4>
      </vt:variant>
      <vt:variant>
        <vt:i4>0</vt:i4>
      </vt:variant>
      <vt:variant>
        <vt:i4>5</vt:i4>
      </vt:variant>
      <vt:variant>
        <vt:lpwstr>mailto:geoffrey.brett@climatechangeauthority.gov.au</vt:lpwstr>
      </vt:variant>
      <vt:variant>
        <vt:lpwstr/>
      </vt:variant>
      <vt:variant>
        <vt:i4>524334</vt:i4>
      </vt:variant>
      <vt:variant>
        <vt:i4>60</vt:i4>
      </vt:variant>
      <vt:variant>
        <vt:i4>0</vt:i4>
      </vt:variant>
      <vt:variant>
        <vt:i4>5</vt:i4>
      </vt:variant>
      <vt:variant>
        <vt:lpwstr>mailto:Terrence.Hogan@climatechangeauthority.gov.au</vt:lpwstr>
      </vt:variant>
      <vt:variant>
        <vt:lpwstr/>
      </vt:variant>
      <vt:variant>
        <vt:i4>720936</vt:i4>
      </vt:variant>
      <vt:variant>
        <vt:i4>57</vt:i4>
      </vt:variant>
      <vt:variant>
        <vt:i4>0</vt:i4>
      </vt:variant>
      <vt:variant>
        <vt:i4>5</vt:i4>
      </vt:variant>
      <vt:variant>
        <vt:lpwstr>mailto:geoffrey.brett@climatechangeauthority.gov.au</vt:lpwstr>
      </vt:variant>
      <vt:variant>
        <vt:lpwstr/>
      </vt:variant>
      <vt:variant>
        <vt:i4>1179705</vt:i4>
      </vt:variant>
      <vt:variant>
        <vt:i4>54</vt:i4>
      </vt:variant>
      <vt:variant>
        <vt:i4>0</vt:i4>
      </vt:variant>
      <vt:variant>
        <vt:i4>5</vt:i4>
      </vt:variant>
      <vt:variant>
        <vt:lpwstr>mailto:Louisa.Esdaile@climatechangeauthority.gov.au</vt:lpwstr>
      </vt:variant>
      <vt:variant>
        <vt:lpwstr/>
      </vt:variant>
      <vt:variant>
        <vt:i4>1179705</vt:i4>
      </vt:variant>
      <vt:variant>
        <vt:i4>51</vt:i4>
      </vt:variant>
      <vt:variant>
        <vt:i4>0</vt:i4>
      </vt:variant>
      <vt:variant>
        <vt:i4>5</vt:i4>
      </vt:variant>
      <vt:variant>
        <vt:lpwstr>mailto:Louisa.Esdaile@climatechangeauthority.gov.au</vt:lpwstr>
      </vt:variant>
      <vt:variant>
        <vt:lpwstr/>
      </vt:variant>
      <vt:variant>
        <vt:i4>1179705</vt:i4>
      </vt:variant>
      <vt:variant>
        <vt:i4>48</vt:i4>
      </vt:variant>
      <vt:variant>
        <vt:i4>0</vt:i4>
      </vt:variant>
      <vt:variant>
        <vt:i4>5</vt:i4>
      </vt:variant>
      <vt:variant>
        <vt:lpwstr>mailto:Louisa.Esdaile@climatechangeauthority.gov.au</vt:lpwstr>
      </vt:variant>
      <vt:variant>
        <vt:lpwstr/>
      </vt:variant>
      <vt:variant>
        <vt:i4>1179705</vt:i4>
      </vt:variant>
      <vt:variant>
        <vt:i4>45</vt:i4>
      </vt:variant>
      <vt:variant>
        <vt:i4>0</vt:i4>
      </vt:variant>
      <vt:variant>
        <vt:i4>5</vt:i4>
      </vt:variant>
      <vt:variant>
        <vt:lpwstr>mailto:Louisa.Esdaile@climatechangeauthority.gov.au</vt:lpwstr>
      </vt:variant>
      <vt:variant>
        <vt:lpwstr/>
      </vt:variant>
      <vt:variant>
        <vt:i4>1179705</vt:i4>
      </vt:variant>
      <vt:variant>
        <vt:i4>42</vt:i4>
      </vt:variant>
      <vt:variant>
        <vt:i4>0</vt:i4>
      </vt:variant>
      <vt:variant>
        <vt:i4>5</vt:i4>
      </vt:variant>
      <vt:variant>
        <vt:lpwstr>mailto:Louisa.Esdaile@climatechangeauthority.gov.au</vt:lpwstr>
      </vt:variant>
      <vt:variant>
        <vt:lpwstr/>
      </vt:variant>
      <vt:variant>
        <vt:i4>524334</vt:i4>
      </vt:variant>
      <vt:variant>
        <vt:i4>39</vt:i4>
      </vt:variant>
      <vt:variant>
        <vt:i4>0</vt:i4>
      </vt:variant>
      <vt:variant>
        <vt:i4>5</vt:i4>
      </vt:variant>
      <vt:variant>
        <vt:lpwstr>mailto:Terrence.Hogan@climatechangeauthority.gov.au</vt:lpwstr>
      </vt:variant>
      <vt:variant>
        <vt:lpwstr/>
      </vt:variant>
      <vt:variant>
        <vt:i4>720936</vt:i4>
      </vt:variant>
      <vt:variant>
        <vt:i4>36</vt:i4>
      </vt:variant>
      <vt:variant>
        <vt:i4>0</vt:i4>
      </vt:variant>
      <vt:variant>
        <vt:i4>5</vt:i4>
      </vt:variant>
      <vt:variant>
        <vt:lpwstr>mailto:geoffrey.brett@climatechangeauthority.gov.au</vt:lpwstr>
      </vt:variant>
      <vt:variant>
        <vt:lpwstr/>
      </vt:variant>
      <vt:variant>
        <vt:i4>3276806</vt:i4>
      </vt:variant>
      <vt:variant>
        <vt:i4>33</vt:i4>
      </vt:variant>
      <vt:variant>
        <vt:i4>0</vt:i4>
      </vt:variant>
      <vt:variant>
        <vt:i4>5</vt:i4>
      </vt:variant>
      <vt:variant>
        <vt:lpwstr>mailto:nicola.bilton@climatechangeauthority.gov.au</vt:lpwstr>
      </vt:variant>
      <vt:variant>
        <vt:lpwstr/>
      </vt:variant>
      <vt:variant>
        <vt:i4>7077962</vt:i4>
      </vt:variant>
      <vt:variant>
        <vt:i4>30</vt:i4>
      </vt:variant>
      <vt:variant>
        <vt:i4>0</vt:i4>
      </vt:variant>
      <vt:variant>
        <vt:i4>5</vt:i4>
      </vt:variant>
      <vt:variant>
        <vt:lpwstr>mailto:Young.Lee@climatechangeauthority.gov.au</vt:lpwstr>
      </vt:variant>
      <vt:variant>
        <vt:lpwstr/>
      </vt:variant>
      <vt:variant>
        <vt:i4>1179705</vt:i4>
      </vt:variant>
      <vt:variant>
        <vt:i4>27</vt:i4>
      </vt:variant>
      <vt:variant>
        <vt:i4>0</vt:i4>
      </vt:variant>
      <vt:variant>
        <vt:i4>5</vt:i4>
      </vt:variant>
      <vt:variant>
        <vt:lpwstr>mailto:Louisa.Esdaile@climatechangeauthority.gov.au</vt:lpwstr>
      </vt:variant>
      <vt:variant>
        <vt:lpwstr/>
      </vt:variant>
      <vt:variant>
        <vt:i4>7077903</vt:i4>
      </vt:variant>
      <vt:variant>
        <vt:i4>24</vt:i4>
      </vt:variant>
      <vt:variant>
        <vt:i4>0</vt:i4>
      </vt:variant>
      <vt:variant>
        <vt:i4>5</vt:i4>
      </vt:variant>
      <vt:variant>
        <vt:lpwstr>mailto:Weilin.Chiu1@climatechangeauthority.gov.au</vt:lpwstr>
      </vt:variant>
      <vt:variant>
        <vt:lpwstr/>
      </vt:variant>
      <vt:variant>
        <vt:i4>7077903</vt:i4>
      </vt:variant>
      <vt:variant>
        <vt:i4>21</vt:i4>
      </vt:variant>
      <vt:variant>
        <vt:i4>0</vt:i4>
      </vt:variant>
      <vt:variant>
        <vt:i4>5</vt:i4>
      </vt:variant>
      <vt:variant>
        <vt:lpwstr>mailto:Weilin.Chiu1@climatechangeauthority.gov.au</vt:lpwstr>
      </vt:variant>
      <vt:variant>
        <vt:lpwstr/>
      </vt:variant>
      <vt:variant>
        <vt:i4>7077903</vt:i4>
      </vt:variant>
      <vt:variant>
        <vt:i4>18</vt:i4>
      </vt:variant>
      <vt:variant>
        <vt:i4>0</vt:i4>
      </vt:variant>
      <vt:variant>
        <vt:i4>5</vt:i4>
      </vt:variant>
      <vt:variant>
        <vt:lpwstr>mailto:Weilin.Chiu1@climatechangeauthority.gov.au</vt:lpwstr>
      </vt:variant>
      <vt:variant>
        <vt:lpwstr/>
      </vt:variant>
      <vt:variant>
        <vt:i4>7077903</vt:i4>
      </vt:variant>
      <vt:variant>
        <vt:i4>15</vt:i4>
      </vt:variant>
      <vt:variant>
        <vt:i4>0</vt:i4>
      </vt:variant>
      <vt:variant>
        <vt:i4>5</vt:i4>
      </vt:variant>
      <vt:variant>
        <vt:lpwstr>mailto:Weilin.Chiu1@climatechangeauthority.gov.au</vt:lpwstr>
      </vt:variant>
      <vt:variant>
        <vt:lpwstr/>
      </vt:variant>
      <vt:variant>
        <vt:i4>589933</vt:i4>
      </vt:variant>
      <vt:variant>
        <vt:i4>12</vt:i4>
      </vt:variant>
      <vt:variant>
        <vt:i4>0</vt:i4>
      </vt:variant>
      <vt:variant>
        <vt:i4>5</vt:i4>
      </vt:variant>
      <vt:variant>
        <vt:lpwstr>mailto:George.Sagris1@climatechangeauthority.gov.au</vt:lpwstr>
      </vt:variant>
      <vt:variant>
        <vt:lpwstr/>
      </vt:variant>
      <vt:variant>
        <vt:i4>1835062</vt:i4>
      </vt:variant>
      <vt:variant>
        <vt:i4>9</vt:i4>
      </vt:variant>
      <vt:variant>
        <vt:i4>0</vt:i4>
      </vt:variant>
      <vt:variant>
        <vt:i4>5</vt:i4>
      </vt:variant>
      <vt:variant>
        <vt:lpwstr>mailto:Toomas.Mirlieb@climatechangeauthority.gov.au</vt:lpwstr>
      </vt:variant>
      <vt:variant>
        <vt:lpwstr/>
      </vt:variant>
      <vt:variant>
        <vt:i4>2424847</vt:i4>
      </vt:variant>
      <vt:variant>
        <vt:i4>6</vt:i4>
      </vt:variant>
      <vt:variant>
        <vt:i4>0</vt:i4>
      </vt:variant>
      <vt:variant>
        <vt:i4>5</vt:i4>
      </vt:variant>
      <vt:variant>
        <vt:lpwstr>mailto:Charmaine.Ng@climatechangeauthority.gov.au</vt:lpwstr>
      </vt:variant>
      <vt:variant>
        <vt:lpwstr/>
      </vt:variant>
      <vt:variant>
        <vt:i4>3866645</vt:i4>
      </vt:variant>
      <vt:variant>
        <vt:i4>3</vt:i4>
      </vt:variant>
      <vt:variant>
        <vt:i4>0</vt:i4>
      </vt:variant>
      <vt:variant>
        <vt:i4>5</vt:i4>
      </vt:variant>
      <vt:variant>
        <vt:lpwstr>mailto:eliza.murray@climatechangeauthority.gov.au</vt:lpwstr>
      </vt:variant>
      <vt:variant>
        <vt:lpwstr/>
      </vt:variant>
      <vt:variant>
        <vt:i4>7077903</vt:i4>
      </vt:variant>
      <vt:variant>
        <vt:i4>0</vt:i4>
      </vt:variant>
      <vt:variant>
        <vt:i4>0</vt:i4>
      </vt:variant>
      <vt:variant>
        <vt:i4>5</vt:i4>
      </vt:variant>
      <vt:variant>
        <vt:lpwstr>mailto:Weilin.Chiu1@climatechangeauthority.gov.au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Charmaine NG</dc:creator>
  <cp:keywords/>
  <dc:description/>
  <cp:lastModifiedBy>Rebecca BERRYMAN</cp:lastModifiedBy>
  <cp:revision>2</cp:revision>
  <dcterms:created xsi:type="dcterms:W3CDTF">2026-03-23T04:03:00Z</dcterms:created>
  <dcterms:modified xsi:type="dcterms:W3CDTF">2026-03-23T04:03:00Z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0x0101008D387EC534099041B4A9B5C75A096493</vt:lpwstr>
  </property>
  <property fmtid="{D5CDD505-2E9C-101B-9397-08002B2CF9AE}" pid="3" name="ClassificationContentMarkingHeaderShapeIds">
    <vt:lpwstr>6cccfcae,30b82d2a,799b3637</vt:lpwstr>
  </property>
  <property fmtid="{D5CDD505-2E9C-101B-9397-08002B2CF9AE}" pid="4" name="ClassificationContentMarkingHeaderFontProps">
    <vt:lpwstr>#ff0000,12,Calibri</vt:lpwstr>
  </property>
  <property fmtid="{D5CDD505-2E9C-101B-9397-08002B2CF9AE}" pid="5" name="ClassificationContentMarkingHeaderText">
    <vt:lpwstr>OFFICIAL</vt:lpwstr>
  </property>
  <property fmtid="{D5CDD505-2E9C-101B-9397-08002B2CF9AE}" pid="6" name="ClassificationContentMarkingFooterShapeIds">
    <vt:lpwstr>1c2a1694,3f11aac3,3c7db218</vt:lpwstr>
  </property>
  <property fmtid="{D5CDD505-2E9C-101B-9397-08002B2CF9AE}" pid="7" name="ClassificationContentMarkingFooterFontProps">
    <vt:lpwstr>#ff0000,12,Calibri</vt:lpwstr>
  </property>
  <property fmtid="{D5CDD505-2E9C-101B-9397-08002B2CF9AE}" pid="8" name="ClassificationContentMarkingFooterText">
    <vt:lpwstr>OFFICIAL</vt:lpwstr>
  </property>
  <property fmtid="{D5CDD505-2E9C-101B-9397-08002B2CF9AE}" pid="9" name="MediaServiceImageTags">
    <vt:lpwstr/>
  </property>
</Properties>
</file>