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A08447" w14:textId="77777777" w:rsidR="001A6597" w:rsidRDefault="001A6597" w:rsidP="001A6597">
      <w:pPr>
        <w:pStyle w:val="L1Heading"/>
      </w:pPr>
      <w:bookmarkStart w:id="0" w:name="_Toc224657081"/>
      <w:bookmarkStart w:id="1" w:name="_Toc224740965"/>
      <w:bookmarkStart w:id="2" w:name="_Toc231557396"/>
      <w:bookmarkStart w:id="3" w:name="_Toc231557630"/>
      <w:bookmarkStart w:id="4" w:name="_Toc231895700"/>
      <w:bookmarkStart w:id="5" w:name="_Toc232079056"/>
      <w:bookmarkStart w:id="6" w:name="_Toc232079476"/>
      <w:r>
        <w:rPr>
          <w:noProof/>
        </w:rPr>
        <mc:AlternateContent>
          <mc:Choice Requires="wps">
            <w:drawing>
              <wp:anchor distT="0" distB="0" distL="114300" distR="114300" simplePos="0" relativeHeight="251658246" behindDoc="1" locked="0" layoutInCell="1" allowOverlap="1" wp14:anchorId="06B3EEA3" wp14:editId="3FD695B8">
                <wp:simplePos x="0" y="0"/>
                <wp:positionH relativeFrom="column">
                  <wp:posOffset>-564070</wp:posOffset>
                </wp:positionH>
                <wp:positionV relativeFrom="paragraph">
                  <wp:posOffset>-708850</wp:posOffset>
                </wp:positionV>
                <wp:extent cx="7588333" cy="10782795"/>
                <wp:effectExtent l="0" t="0" r="12700" b="19050"/>
                <wp:wrapNone/>
                <wp:docPr id="2085830711" name="Rectangle 1"/>
                <wp:cNvGraphicFramePr/>
                <a:graphic xmlns:a="http://schemas.openxmlformats.org/drawingml/2006/main">
                  <a:graphicData uri="http://schemas.microsoft.com/office/word/2010/wordprocessingShape">
                    <wps:wsp>
                      <wps:cNvSpPr/>
                      <wps:spPr>
                        <a:xfrm>
                          <a:off x="0" y="0"/>
                          <a:ext cx="7588333" cy="10782795"/>
                        </a:xfrm>
                        <a:prstGeom prst="rect">
                          <a:avLst/>
                        </a:prstGeom>
                        <a:solidFill>
                          <a:srgbClr val="123E54"/>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EBA395" id="Rectangle 1" o:spid="_x0000_s1026" style="position:absolute;margin-left:-44.4pt;margin-top:-55.8pt;width:597.5pt;height:849.05pt;z-index:-2516582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" fillcolor="#123e54" strokecolor="#030e13 [484]" strokeweight="1pt"/>
            </w:pict>
          </mc:Fallback>
        </mc:AlternateContent>
      </w:r>
      <w:bookmarkEnd w:id="0"/>
      <w:bookmarkEnd w:id="1"/>
      <w:bookmarkEnd w:id="2"/>
      <w:bookmarkEnd w:id="3"/>
      <w:bookmarkEnd w:id="4"/>
      <w:bookmarkEnd w:id="5"/>
      <w:bookmarkEnd w:id="6"/>
    </w:p>
    <w:p w14:paraId="1739918C" w14:textId="1C0AFBD8" w:rsidR="001D10EB" w:rsidRPr="00E2581F" w:rsidRDefault="00EE1371" w:rsidP="00E2581F">
      <w:pPr>
        <w:spacing w:before="0" w:after="160" w:line="279" w:lineRule="auto"/>
        <w:rPr>
          <w:rFonts w:eastAsiaTheme="majorEastAsia" w:cstheme="majorBidi"/>
          <w:b/>
          <w:color w:val="00679F"/>
          <w:sz w:val="76"/>
          <w:szCs w:val="40"/>
        </w:rPr>
      </w:pPr>
      <w:r>
        <w:rPr>
          <w:noProof/>
        </w:rPr>
        <w:drawing>
          <wp:anchor distT="0" distB="0" distL="114300" distR="114300" simplePos="0" relativeHeight="251658261" behindDoc="0" locked="0" layoutInCell="1" allowOverlap="1" wp14:anchorId="6F6CD209" wp14:editId="1D7DC797">
            <wp:simplePos x="0" y="0"/>
            <wp:positionH relativeFrom="column">
              <wp:posOffset>-1051420</wp:posOffset>
            </wp:positionH>
            <wp:positionV relativeFrom="paragraph">
              <wp:posOffset>5801797</wp:posOffset>
            </wp:positionV>
            <wp:extent cx="4488873" cy="4427342"/>
            <wp:effectExtent l="0" t="0" r="6985" b="0"/>
            <wp:wrapNone/>
            <wp:docPr id="1637698720"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698720" name="Picture 35">
                      <a:extLst>
                        <a:ext uri="{C183D7F6-B498-43B3-948B-1728B52AA6E4}">
                          <adec:decorative xmlns:adec="http://schemas.microsoft.com/office/drawing/2017/decorative" val="1"/>
                        </a:ext>
                      </a:extLst>
                    </pic:cNvPr>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9879" r="12420"/>
                    <a:stretch>
                      <a:fillRect/>
                    </a:stretch>
                  </pic:blipFill>
                  <pic:spPr bwMode="auto">
                    <a:xfrm>
                      <a:off x="0" y="0"/>
                      <a:ext cx="4488873" cy="4427342"/>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6597">
        <w:rPr>
          <w:noProof/>
        </w:rPr>
        <mc:AlternateContent>
          <mc:Choice Requires="wps">
            <w:drawing>
              <wp:anchor distT="45720" distB="45720" distL="114300" distR="114300" simplePos="0" relativeHeight="251658247" behindDoc="0" locked="0" layoutInCell="1" allowOverlap="1" wp14:anchorId="3DCC0D16" wp14:editId="22640528">
                <wp:simplePos x="0" y="0"/>
                <wp:positionH relativeFrom="column">
                  <wp:posOffset>1500505</wp:posOffset>
                </wp:positionH>
                <wp:positionV relativeFrom="paragraph">
                  <wp:posOffset>381000</wp:posOffset>
                </wp:positionV>
                <wp:extent cx="4552950" cy="1404620"/>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1404620"/>
                        </a:xfrm>
                        <a:prstGeom prst="rect">
                          <a:avLst/>
                        </a:prstGeom>
                        <a:noFill/>
                        <a:ln w="9525">
                          <a:noFill/>
                          <a:miter lim="800000"/>
                          <a:headEnd/>
                          <a:tailEnd/>
                        </a:ln>
                      </wps:spPr>
                      <wps:txbx>
                        <w:txbxContent>
                          <w:p w14:paraId="103A1001" w14:textId="77777777" w:rsidR="001A6597" w:rsidRDefault="001A6597" w:rsidP="001A6597">
                            <w:pPr>
                              <w:pStyle w:val="Title1"/>
                              <w:rPr>
                                <w:b/>
                                <w:bCs/>
                                <w:color w:val="FFFFFF" w:themeColor="background1"/>
                                <w:sz w:val="72"/>
                                <w:szCs w:val="72"/>
                              </w:rPr>
                            </w:pPr>
                            <w:r w:rsidRPr="001A6597">
                              <w:rPr>
                                <w:b/>
                                <w:bCs/>
                                <w:color w:val="FFFFFF" w:themeColor="background1"/>
                                <w:sz w:val="72"/>
                                <w:szCs w:val="72"/>
                              </w:rPr>
                              <w:t xml:space="preserve">Fossil methane: </w:t>
                            </w:r>
                          </w:p>
                          <w:p w14:paraId="0F0C5906" w14:textId="720DA32E" w:rsidR="001A6597" w:rsidRPr="005926A0" w:rsidRDefault="001A6597" w:rsidP="001A6597">
                            <w:pPr>
                              <w:pStyle w:val="Title1"/>
                              <w:rPr>
                                <w:b/>
                                <w:bCs/>
                                <w:color w:val="FFFFFF" w:themeColor="background1"/>
                                <w:sz w:val="72"/>
                                <w:szCs w:val="72"/>
                              </w:rPr>
                            </w:pPr>
                            <w:r>
                              <w:rPr>
                                <w:b/>
                                <w:bCs/>
                                <w:color w:val="FFFFFF" w:themeColor="background1"/>
                                <w:sz w:val="72"/>
                                <w:szCs w:val="72"/>
                              </w:rPr>
                              <w:t>A</w:t>
                            </w:r>
                            <w:r w:rsidRPr="001A6597">
                              <w:rPr>
                                <w:b/>
                                <w:bCs/>
                                <w:color w:val="FFFFFF" w:themeColor="background1"/>
                                <w:sz w:val="72"/>
                                <w:szCs w:val="72"/>
                              </w:rPr>
                              <w:t xml:space="preserve"> near-term abatement opportunity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DCC0D16" id="_x0000_t202" coordsize="21600,21600" o:spt="202" path="m,l,21600r21600,l21600,xe">
                <v:stroke joinstyle="miter"/>
                <v:path gradientshapeok="t" o:connecttype="rect"/>
              </v:shapetype>
              <v:shape id="Text Box 2" o:spid="_x0000_s1026" type="#_x0000_t202" style="position:absolute;margin-left:118.15pt;margin-top:30pt;width:358.5pt;height:110.6pt;z-index:25165824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" filled="f" stroked="f">
                <v:textbox style="mso-fit-shape-to-text:t">
                  <w:txbxContent>
                    <w:p w14:paraId="103A1001" w14:textId="77777777" w:rsidR="001A6597" w:rsidRDefault="001A6597" w:rsidP="001A6597">
                      <w:pPr>
                        <w:pStyle w:val="Title1"/>
                        <w:rPr>
                          <w:b/>
                          <w:bCs/>
                          <w:color w:val="FFFFFF" w:themeColor="background1"/>
                          <w:sz w:val="72"/>
                          <w:szCs w:val="72"/>
                        </w:rPr>
                      </w:pPr>
                      <w:r w:rsidRPr="001A6597">
                        <w:rPr>
                          <w:b/>
                          <w:bCs/>
                          <w:color w:val="FFFFFF" w:themeColor="background1"/>
                          <w:sz w:val="72"/>
                          <w:szCs w:val="72"/>
                        </w:rPr>
                        <w:t xml:space="preserve">Fossil methane: </w:t>
                      </w:r>
                    </w:p>
                    <w:p w14:paraId="0F0C5906" w14:textId="720DA32E" w:rsidR="001A6597" w:rsidRPr="005926A0" w:rsidRDefault="001A6597" w:rsidP="001A6597">
                      <w:pPr>
                        <w:pStyle w:val="Title1"/>
                        <w:rPr>
                          <w:b/>
                          <w:bCs/>
                          <w:color w:val="FFFFFF" w:themeColor="background1"/>
                          <w:sz w:val="72"/>
                          <w:szCs w:val="72"/>
                        </w:rPr>
                      </w:pPr>
                      <w:r>
                        <w:rPr>
                          <w:b/>
                          <w:bCs/>
                          <w:color w:val="FFFFFF" w:themeColor="background1"/>
                          <w:sz w:val="72"/>
                          <w:szCs w:val="72"/>
                        </w:rPr>
                        <w:t>A</w:t>
                      </w:r>
                      <w:r w:rsidRPr="001A6597">
                        <w:rPr>
                          <w:b/>
                          <w:bCs/>
                          <w:color w:val="FFFFFF" w:themeColor="background1"/>
                          <w:sz w:val="72"/>
                          <w:szCs w:val="72"/>
                        </w:rPr>
                        <w:t xml:space="preserve"> near-term abatement opportunity</w:t>
                      </w:r>
                    </w:p>
                  </w:txbxContent>
                </v:textbox>
                <w10:wrap type="square"/>
              </v:shape>
            </w:pict>
          </mc:Fallback>
        </mc:AlternateContent>
      </w:r>
      <w:r w:rsidR="001A6597">
        <w:rPr>
          <w:noProof/>
        </w:rPr>
        <mc:AlternateContent>
          <mc:Choice Requires="wps">
            <w:drawing>
              <wp:anchor distT="45720" distB="45720" distL="114300" distR="114300" simplePos="0" relativeHeight="251658248" behindDoc="0" locked="0" layoutInCell="1" allowOverlap="1" wp14:anchorId="263A77A8" wp14:editId="2C0D2A45">
                <wp:simplePos x="0" y="0"/>
                <wp:positionH relativeFrom="column">
                  <wp:posOffset>1536809</wp:posOffset>
                </wp:positionH>
                <wp:positionV relativeFrom="paragraph">
                  <wp:posOffset>2524760</wp:posOffset>
                </wp:positionV>
                <wp:extent cx="4980940" cy="1404620"/>
                <wp:effectExtent l="0" t="0" r="0" b="0"/>
                <wp:wrapSquare wrapText="bothSides"/>
                <wp:docPr id="7246765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940" cy="1404620"/>
                        </a:xfrm>
                        <a:prstGeom prst="rect">
                          <a:avLst/>
                        </a:prstGeom>
                        <a:noFill/>
                        <a:ln w="9525">
                          <a:noFill/>
                          <a:miter lim="800000"/>
                          <a:headEnd/>
                          <a:tailEnd/>
                        </a:ln>
                      </wps:spPr>
                      <wps:txbx>
                        <w:txbxContent>
                          <w:p w14:paraId="1A11F12C" w14:textId="2234476E" w:rsidR="001A6597" w:rsidRDefault="001A6597" w:rsidP="001A6597">
                            <w:pPr>
                              <w:pStyle w:val="Heading4"/>
                              <w:rPr>
                                <w:rFonts w:ascii="Aptos" w:eastAsia="Times New Roman" w:hAnsi="Aptos"/>
                                <w:i w:val="0"/>
                                <w:iCs w:val="0"/>
                                <w:color w:val="FFFFFF" w:themeColor="background1"/>
                                <w:sz w:val="40"/>
                                <w:szCs w:val="40"/>
                              </w:rPr>
                            </w:pPr>
                            <w:r>
                              <w:rPr>
                                <w:rFonts w:ascii="Aptos" w:eastAsia="Times New Roman" w:hAnsi="Aptos"/>
                                <w:i w:val="0"/>
                                <w:iCs w:val="0"/>
                                <w:color w:val="FFFFFF" w:themeColor="background1"/>
                                <w:sz w:val="40"/>
                                <w:szCs w:val="40"/>
                              </w:rPr>
                              <w:t xml:space="preserve">Consultation </w:t>
                            </w:r>
                            <w:r w:rsidR="00557AEB">
                              <w:rPr>
                                <w:rFonts w:ascii="Aptos" w:eastAsia="Times New Roman" w:hAnsi="Aptos"/>
                                <w:i w:val="0"/>
                                <w:iCs w:val="0"/>
                                <w:color w:val="FFFFFF" w:themeColor="background1"/>
                                <w:sz w:val="40"/>
                                <w:szCs w:val="40"/>
                              </w:rPr>
                              <w:t>p</w:t>
                            </w:r>
                            <w:r>
                              <w:rPr>
                                <w:rFonts w:ascii="Aptos" w:eastAsia="Times New Roman" w:hAnsi="Aptos"/>
                                <w:i w:val="0"/>
                                <w:iCs w:val="0"/>
                                <w:color w:val="FFFFFF" w:themeColor="background1"/>
                                <w:sz w:val="40"/>
                                <w:szCs w:val="40"/>
                              </w:rPr>
                              <w:t>aper</w:t>
                            </w:r>
                          </w:p>
                          <w:p w14:paraId="38E0814E" w14:textId="6BEF8E48" w:rsidR="001A6597" w:rsidRPr="001A6597" w:rsidRDefault="001A6597" w:rsidP="001A6597">
                            <w:pPr>
                              <w:rPr>
                                <w:rFonts w:ascii="Aptos" w:eastAsia="Times New Roman" w:hAnsi="Aptos" w:cstheme="majorBidi"/>
                                <w:color w:val="FFFFFF" w:themeColor="background1"/>
                                <w:sz w:val="24"/>
                              </w:rPr>
                            </w:pPr>
                            <w:r w:rsidRPr="001A6597">
                              <w:rPr>
                                <w:rFonts w:ascii="Aptos" w:eastAsia="Times New Roman" w:hAnsi="Aptos" w:cstheme="majorBidi"/>
                                <w:color w:val="FFFFFF" w:themeColor="background1"/>
                                <w:sz w:val="24"/>
                              </w:rPr>
                              <w:t>June 2026</w:t>
                            </w:r>
                          </w:p>
                          <w:p w14:paraId="3D5DF143" w14:textId="77777777" w:rsidR="001A6597" w:rsidRPr="005926A0" w:rsidRDefault="001A6597" w:rsidP="001A6597">
                            <w:pPr>
                              <w:pStyle w:val="Title1"/>
                              <w:rPr>
                                <w:b/>
                                <w:bCs/>
                                <w:color w:val="FFFFFF" w:themeColor="background1"/>
                                <w:sz w:val="72"/>
                                <w:szCs w:val="72"/>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3A77A8" id="_x0000_s1027" type="#_x0000_t202" style="position:absolute;margin-left:121pt;margin-top:198.8pt;width:392.2pt;height:110.6pt;z-index:251658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" filled="f" stroked="f">
                <v:textbox style="mso-fit-shape-to-text:t">
                  <w:txbxContent>
                    <w:p w14:paraId="1A11F12C" w14:textId="2234476E" w:rsidR="001A6597" w:rsidRDefault="001A6597" w:rsidP="001A6597">
                      <w:pPr>
                        <w:pStyle w:val="Heading4"/>
                        <w:rPr>
                          <w:rFonts w:ascii="Aptos" w:eastAsia="Times New Roman" w:hAnsi="Aptos"/>
                          <w:i w:val="0"/>
                          <w:iCs w:val="0"/>
                          <w:color w:val="FFFFFF" w:themeColor="background1"/>
                          <w:sz w:val="40"/>
                          <w:szCs w:val="40"/>
                        </w:rPr>
                      </w:pPr>
                      <w:r>
                        <w:rPr>
                          <w:rFonts w:ascii="Aptos" w:eastAsia="Times New Roman" w:hAnsi="Aptos"/>
                          <w:i w:val="0"/>
                          <w:iCs w:val="0"/>
                          <w:color w:val="FFFFFF" w:themeColor="background1"/>
                          <w:sz w:val="40"/>
                          <w:szCs w:val="40"/>
                        </w:rPr>
                        <w:t xml:space="preserve">Consultation </w:t>
                      </w:r>
                      <w:r w:rsidR="00557AEB">
                        <w:rPr>
                          <w:rFonts w:ascii="Aptos" w:eastAsia="Times New Roman" w:hAnsi="Aptos"/>
                          <w:i w:val="0"/>
                          <w:iCs w:val="0"/>
                          <w:color w:val="FFFFFF" w:themeColor="background1"/>
                          <w:sz w:val="40"/>
                          <w:szCs w:val="40"/>
                        </w:rPr>
                        <w:t>p</w:t>
                      </w:r>
                      <w:r>
                        <w:rPr>
                          <w:rFonts w:ascii="Aptos" w:eastAsia="Times New Roman" w:hAnsi="Aptos"/>
                          <w:i w:val="0"/>
                          <w:iCs w:val="0"/>
                          <w:color w:val="FFFFFF" w:themeColor="background1"/>
                          <w:sz w:val="40"/>
                          <w:szCs w:val="40"/>
                        </w:rPr>
                        <w:t>aper</w:t>
                      </w:r>
                    </w:p>
                    <w:p w14:paraId="38E0814E" w14:textId="6BEF8E48" w:rsidR="001A6597" w:rsidRPr="001A6597" w:rsidRDefault="001A6597" w:rsidP="001A6597">
                      <w:pPr>
                        <w:rPr>
                          <w:rFonts w:ascii="Aptos" w:eastAsia="Times New Roman" w:hAnsi="Aptos" w:cstheme="majorBidi"/>
                          <w:color w:val="FFFFFF" w:themeColor="background1"/>
                          <w:sz w:val="24"/>
                        </w:rPr>
                      </w:pPr>
                      <w:r w:rsidRPr="001A6597">
                        <w:rPr>
                          <w:rFonts w:ascii="Aptos" w:eastAsia="Times New Roman" w:hAnsi="Aptos" w:cstheme="majorBidi"/>
                          <w:color w:val="FFFFFF" w:themeColor="background1"/>
                          <w:sz w:val="24"/>
                        </w:rPr>
                        <w:t>June 2026</w:t>
                      </w:r>
                    </w:p>
                    <w:p w14:paraId="3D5DF143" w14:textId="77777777" w:rsidR="001A6597" w:rsidRPr="005926A0" w:rsidRDefault="001A6597" w:rsidP="001A6597">
                      <w:pPr>
                        <w:pStyle w:val="Title1"/>
                        <w:rPr>
                          <w:b/>
                          <w:bCs/>
                          <w:color w:val="FFFFFF" w:themeColor="background1"/>
                          <w:sz w:val="72"/>
                          <w:szCs w:val="72"/>
                        </w:rPr>
                      </w:pPr>
                    </w:p>
                  </w:txbxContent>
                </v:textbox>
                <w10:wrap type="square"/>
              </v:shape>
            </w:pict>
          </mc:Fallback>
        </mc:AlternateContent>
      </w:r>
      <w:r w:rsidR="001A6597" w:rsidRPr="00152215">
        <w:rPr>
          <w:noProof/>
          <w:color w:val="FD904D"/>
        </w:rPr>
        <mc:AlternateContent>
          <mc:Choice Requires="wps">
            <w:drawing>
              <wp:anchor distT="0" distB="0" distL="114300" distR="114300" simplePos="0" relativeHeight="251658250" behindDoc="0" locked="0" layoutInCell="1" allowOverlap="1" wp14:anchorId="101B626D" wp14:editId="1B787207">
                <wp:simplePos x="0" y="0"/>
                <wp:positionH relativeFrom="column">
                  <wp:posOffset>1566721</wp:posOffset>
                </wp:positionH>
                <wp:positionV relativeFrom="paragraph">
                  <wp:posOffset>2514884</wp:posOffset>
                </wp:positionV>
                <wp:extent cx="5459105" cy="0"/>
                <wp:effectExtent l="0" t="0" r="0" b="0"/>
                <wp:wrapNone/>
                <wp:docPr id="1275931640" name="Straight Connector 2"/>
                <wp:cNvGraphicFramePr/>
                <a:graphic xmlns:a="http://schemas.openxmlformats.org/drawingml/2006/main">
                  <a:graphicData uri="http://schemas.microsoft.com/office/word/2010/wordprocessingShape">
                    <wps:wsp>
                      <wps:cNvCnPr/>
                      <wps:spPr>
                        <a:xfrm>
                          <a:off x="0" y="0"/>
                          <a:ext cx="5459105" cy="0"/>
                        </a:xfrm>
                        <a:prstGeom prst="line">
                          <a:avLst/>
                        </a:prstGeom>
                        <a:ln>
                          <a:solidFill>
                            <a:srgbClr val="FD904D"/>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w14:anchorId="4F55964C" id="Straight Connector 2" o:spid="_x0000_s1026" style="position:absolute;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35pt,198pt" to="553.2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" strokecolor="#fd904d" strokeweight="1.5pt">
                <v:stroke joinstyle="miter"/>
              </v:line>
            </w:pict>
          </mc:Fallback>
        </mc:AlternateContent>
      </w:r>
      <w:r w:rsidR="001A6597">
        <w:rPr>
          <w:noProof/>
        </w:rPr>
        <mc:AlternateContent>
          <mc:Choice Requires="wps">
            <w:drawing>
              <wp:anchor distT="0" distB="0" distL="114300" distR="114300" simplePos="0" relativeHeight="251658252" behindDoc="0" locked="0" layoutInCell="1" allowOverlap="1" wp14:anchorId="30BF60ED" wp14:editId="1E581D8D">
                <wp:simplePos x="0" y="0"/>
                <wp:positionH relativeFrom="column">
                  <wp:posOffset>-1458447</wp:posOffset>
                </wp:positionH>
                <wp:positionV relativeFrom="paragraph">
                  <wp:posOffset>5515861</wp:posOffset>
                </wp:positionV>
                <wp:extent cx="5199321" cy="5145435"/>
                <wp:effectExtent l="0" t="0" r="20955" b="17145"/>
                <wp:wrapNone/>
                <wp:docPr id="840424812" name="Circle: Hollow 8"/>
                <wp:cNvGraphicFramePr/>
                <a:graphic xmlns:a="http://schemas.openxmlformats.org/drawingml/2006/main">
                  <a:graphicData uri="http://schemas.microsoft.com/office/word/2010/wordprocessingShape">
                    <wps:wsp>
                      <wps:cNvSpPr/>
                      <wps:spPr>
                        <a:xfrm>
                          <a:off x="0" y="0"/>
                          <a:ext cx="5199321" cy="5145435"/>
                        </a:xfrm>
                        <a:prstGeom prst="donut">
                          <a:avLst/>
                        </a:prstGeom>
                        <a:solidFill>
                          <a:srgbClr val="FD904D"/>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BDA9F9"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8" o:spid="_x0000_s1026" type="#_x0000_t23" style="position:absolute;margin-left:-114.85pt;margin-top:434.3pt;width:409.4pt;height:405.1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" adj="5344" fillcolor="#fd904d" strokecolor="#030e13 [484]" strokeweight="1pt">
                <v:stroke joinstyle="miter"/>
              </v:shape>
            </w:pict>
          </mc:Fallback>
        </mc:AlternateContent>
      </w:r>
      <w:r w:rsidR="001A6597" w:rsidRPr="005926A0">
        <w:rPr>
          <w:noProof/>
        </w:rPr>
        <w:drawing>
          <wp:anchor distT="0" distB="0" distL="114300" distR="114300" simplePos="0" relativeHeight="251658249" behindDoc="0" locked="0" layoutInCell="1" allowOverlap="1" wp14:anchorId="53144CCF" wp14:editId="4CD3775E">
            <wp:simplePos x="0" y="0"/>
            <wp:positionH relativeFrom="column">
              <wp:posOffset>4664757</wp:posOffset>
            </wp:positionH>
            <wp:positionV relativeFrom="paragraph">
              <wp:posOffset>7882843</wp:posOffset>
            </wp:positionV>
            <wp:extent cx="1942466" cy="822403"/>
            <wp:effectExtent l="0" t="0" r="635" b="0"/>
            <wp:wrapNone/>
            <wp:docPr id="6" name="Picture 5">
              <a:extLst xmlns:a="http://schemas.openxmlformats.org/drawingml/2006/main">
                <a:ext uri="{FF2B5EF4-FFF2-40B4-BE49-F238E27FC236}">
                  <a16:creationId xmlns:a16="http://schemas.microsoft.com/office/drawing/2014/main" id="{63A27A08-C676-0A6D-2167-763A8253DA9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3A27A08-C676-0A6D-2167-763A8253DA9E}"/>
                        </a:ext>
                        <a:ext uri="{C183D7F6-B498-43B3-948B-1728B52AA6E4}">
                          <adec:decorative xmlns:adec="http://schemas.microsoft.com/office/drawing/2017/decorative" val="1"/>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42466" cy="822403"/>
                    </a:xfrm>
                    <a:prstGeom prst="rect">
                      <a:avLst/>
                    </a:prstGeom>
                  </pic:spPr>
                </pic:pic>
              </a:graphicData>
            </a:graphic>
          </wp:anchor>
        </w:drawing>
      </w:r>
      <w:r w:rsidR="001A6597">
        <w:br w:type="page"/>
      </w:r>
    </w:p>
    <w:p w14:paraId="16915FAF" w14:textId="7FBF02B7" w:rsidR="001A6597" w:rsidRDefault="00E2581F" w:rsidP="001D10EB">
      <w:pPr>
        <w:spacing w:after="160" w:line="279" w:lineRule="auto"/>
        <w:rPr>
          <w:b/>
          <w:bCs/>
          <w:noProof/>
        </w:rPr>
      </w:pPr>
      <w:r>
        <w:rPr>
          <w:b/>
          <w:noProof/>
        </w:rPr>
        <w:lastRenderedPageBreak/>
        <w:drawing>
          <wp:anchor distT="0" distB="0" distL="114300" distR="114300" simplePos="0" relativeHeight="251658253" behindDoc="1" locked="0" layoutInCell="1" allowOverlap="1" wp14:anchorId="5BB7C020" wp14:editId="59970FA9">
            <wp:simplePos x="0" y="0"/>
            <wp:positionH relativeFrom="column">
              <wp:posOffset>-1209559</wp:posOffset>
            </wp:positionH>
            <wp:positionV relativeFrom="paragraph">
              <wp:posOffset>-748030</wp:posOffset>
            </wp:positionV>
            <wp:extent cx="16160091" cy="10720552"/>
            <wp:effectExtent l="0" t="0" r="0" b="5080"/>
            <wp:wrapNone/>
            <wp:docPr id="34492902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929027" name="Picture 3">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160091" cy="10720552"/>
                    </a:xfrm>
                    <a:prstGeom prst="rect">
                      <a:avLst/>
                    </a:prstGeom>
                  </pic:spPr>
                </pic:pic>
              </a:graphicData>
            </a:graphic>
            <wp14:sizeRelH relativeFrom="margin">
              <wp14:pctWidth>0</wp14:pctWidth>
            </wp14:sizeRelH>
            <wp14:sizeRelV relativeFrom="margin">
              <wp14:pctHeight>0</wp14:pctHeight>
            </wp14:sizeRelV>
          </wp:anchor>
        </w:drawing>
      </w:r>
    </w:p>
    <w:p w14:paraId="763D8586" w14:textId="52E03E33" w:rsidR="001A6597" w:rsidRDefault="001A6597">
      <w:pPr>
        <w:spacing w:before="0" w:after="160" w:line="279" w:lineRule="auto"/>
        <w:rPr>
          <w:b/>
          <w:bCs/>
          <w:noProof/>
        </w:rPr>
      </w:pPr>
      <w:bookmarkStart w:id="7" w:name="_Toc224740967"/>
      <w:r>
        <w:rPr>
          <w:noProof/>
        </w:rPr>
        <mc:AlternateContent>
          <mc:Choice Requires="wps">
            <w:drawing>
              <wp:anchor distT="45720" distB="45720" distL="114300" distR="114300" simplePos="0" relativeHeight="251658254" behindDoc="0" locked="0" layoutInCell="1" allowOverlap="1" wp14:anchorId="0893F077" wp14:editId="3CDD1600">
                <wp:simplePos x="0" y="0"/>
                <wp:positionH relativeFrom="column">
                  <wp:posOffset>966252</wp:posOffset>
                </wp:positionH>
                <wp:positionV relativeFrom="paragraph">
                  <wp:posOffset>2442949</wp:posOffset>
                </wp:positionV>
                <wp:extent cx="4660900" cy="1404620"/>
                <wp:effectExtent l="0" t="0" r="6350" b="0"/>
                <wp:wrapSquare wrapText="bothSides"/>
                <wp:docPr id="5376888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0" cy="1404620"/>
                        </a:xfrm>
                        <a:prstGeom prst="rect">
                          <a:avLst/>
                        </a:prstGeom>
                        <a:solidFill>
                          <a:srgbClr val="156082">
                            <a:alpha val="80000"/>
                          </a:srgbClr>
                        </a:solidFill>
                        <a:ln w="9525">
                          <a:noFill/>
                          <a:miter lim="800000"/>
                          <a:headEnd/>
                          <a:tailEnd/>
                        </a:ln>
                      </wps:spPr>
                      <wps:txbx>
                        <w:txbxContent>
                          <w:p w14:paraId="70A799DD" w14:textId="77777777" w:rsidR="001A6597" w:rsidRPr="007B314B" w:rsidRDefault="001A6597" w:rsidP="001A6597">
                            <w:pPr>
                              <w:jc w:val="center"/>
                              <w:rPr>
                                <w:b/>
                                <w:bCs/>
                                <w:color w:val="FFFFFF" w:themeColor="background1"/>
                                <w:sz w:val="40"/>
                                <w:szCs w:val="48"/>
                              </w:rPr>
                            </w:pPr>
                            <w:r w:rsidRPr="007B314B">
                              <w:rPr>
                                <w:b/>
                                <w:bCs/>
                                <w:color w:val="FFFFFF" w:themeColor="background1"/>
                                <w:sz w:val="40"/>
                                <w:szCs w:val="48"/>
                              </w:rPr>
                              <w:t>The Authority recognises the First Nations people of this land and their ongoing connection to culture and country. We acknowledge First Nations people as the Traditional Owners, Custodians and Lore Keepers of the world’s oldest living cultures, and pay our respects to their Elders.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93F077" id="_x0000_s1028" type="#_x0000_t202" style="position:absolute;margin-left:76.1pt;margin-top:192.35pt;width:367pt;height:110.6pt;z-index:25165825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" fillcolor="#156082" stroked="f">
                <v:fill opacity="52428f"/>
                <v:textbox style="mso-fit-shape-to-text:t">
                  <w:txbxContent>
                    <w:p w14:paraId="70A799DD" w14:textId="77777777" w:rsidR="001A6597" w:rsidRPr="007B314B" w:rsidRDefault="001A6597" w:rsidP="001A6597">
                      <w:pPr>
                        <w:jc w:val="center"/>
                        <w:rPr>
                          <w:b/>
                          <w:bCs/>
                          <w:color w:val="FFFFFF" w:themeColor="background1"/>
                          <w:sz w:val="40"/>
                          <w:szCs w:val="48"/>
                        </w:rPr>
                      </w:pPr>
                      <w:r w:rsidRPr="007B314B">
                        <w:rPr>
                          <w:b/>
                          <w:bCs/>
                          <w:color w:val="FFFFFF" w:themeColor="background1"/>
                          <w:sz w:val="40"/>
                          <w:szCs w:val="48"/>
                        </w:rPr>
                        <w:t>The Authority recognises the First Nations people of this land and their ongoing connection to culture and country. We acknowledge First Nations people as the Traditional Owners, Custodians and Lore Keepers of the world’s oldest living cultures, and pay our respects to their Elders.</w:t>
                      </w:r>
                    </w:p>
                  </w:txbxContent>
                </v:textbox>
                <w10:wrap type="square"/>
              </v:shape>
            </w:pict>
          </mc:Fallback>
        </mc:AlternateContent>
      </w:r>
      <w:bookmarkEnd w:id="7"/>
      <w:r>
        <w:rPr>
          <w:b/>
          <w:bCs/>
          <w:noProof/>
        </w:rPr>
        <w:br w:type="page"/>
      </w:r>
    </w:p>
    <w:p w14:paraId="573DE381" w14:textId="78AE10DC" w:rsidR="001A6597" w:rsidRDefault="001A6597" w:rsidP="00F65EBA">
      <w:pPr>
        <w:pStyle w:val="L3SectionHeading"/>
      </w:pPr>
      <w:bookmarkStart w:id="8" w:name="_Toc227942631"/>
      <w:r>
        <w:lastRenderedPageBreak/>
        <w:t>About consultation papers</w:t>
      </w:r>
      <w:r w:rsidRPr="007F3F62">
        <w:t xml:space="preserve"> </w:t>
      </w:r>
      <w:r>
        <w:t>from the Climate Change Authority</w:t>
      </w:r>
      <w:bookmarkEnd w:id="8"/>
    </w:p>
    <w:p w14:paraId="7C4DA2DA" w14:textId="77777777" w:rsidR="001A6597" w:rsidRDefault="001A6597" w:rsidP="001A6597">
      <w:pPr>
        <w:rPr>
          <w:rFonts w:eastAsia="MS Mincho" w:cs="Arial"/>
        </w:rPr>
      </w:pPr>
      <w:r>
        <w:t xml:space="preserve">The Climate Change Authority (the Authority) provides independent, expert advice to the Australian Government and Parliament on the response to climate change. </w:t>
      </w:r>
    </w:p>
    <w:p w14:paraId="496D80FA" w14:textId="77777777" w:rsidR="001A6597" w:rsidRDefault="001A6597" w:rsidP="001A6597">
      <w:pPr>
        <w:rPr>
          <w:rFonts w:eastAsia="MS Mincho" w:cs="Arial"/>
        </w:rPr>
      </w:pPr>
      <w:r w:rsidRPr="74EC08C8">
        <w:t xml:space="preserve">We </w:t>
      </w:r>
      <w:r>
        <w:t>engage stakeholders because better conversations lead to better climate policy.</w:t>
      </w:r>
      <w:r w:rsidRPr="74EC08C8">
        <w:t xml:space="preserve"> We </w:t>
      </w:r>
      <w:r>
        <w:t>see</w:t>
      </w:r>
      <w:r w:rsidRPr="74EC08C8" w:rsidDel="00523DBF">
        <w:t xml:space="preserve"> </w:t>
      </w:r>
      <w:r w:rsidRPr="74EC08C8">
        <w:t xml:space="preserve">consultation as an opportunity to </w:t>
      </w:r>
      <w:r>
        <w:t>bring different perspectives into the preparation of our expert advice</w:t>
      </w:r>
      <w:r w:rsidRPr="74EC08C8">
        <w:t>.</w:t>
      </w:r>
      <w:r w:rsidRPr="36167EB5">
        <w:t xml:space="preserve"> </w:t>
      </w:r>
    </w:p>
    <w:p w14:paraId="08F9D35C" w14:textId="77777777" w:rsidR="001A6597" w:rsidRPr="007D4859" w:rsidRDefault="001A6597" w:rsidP="00F65EBA">
      <w:pPr>
        <w:pStyle w:val="L4Sub-sectionHeading"/>
      </w:pPr>
      <w:bookmarkStart w:id="9" w:name="_Toc227942632"/>
      <w:r w:rsidRPr="007D4859">
        <w:t>We want to hear from you</w:t>
      </w:r>
      <w:bookmarkEnd w:id="9"/>
      <w:r w:rsidRPr="007D4859">
        <w:t xml:space="preserve"> </w:t>
      </w:r>
    </w:p>
    <w:p w14:paraId="732E3068" w14:textId="77777777" w:rsidR="001A6597" w:rsidRPr="00917590" w:rsidRDefault="001A6597" w:rsidP="001A6597">
      <w:r w:rsidRPr="7BD8DC2A">
        <w:t xml:space="preserve">We welcome submissions responding to questions in this paper. </w:t>
      </w:r>
      <w:r>
        <w:t>You can a</w:t>
      </w:r>
      <w:r w:rsidRPr="00917590">
        <w:t>nswer as many of these questions as you wish</w:t>
      </w:r>
      <w:r w:rsidRPr="54A62A72">
        <w:t>.</w:t>
      </w:r>
      <w:r w:rsidRPr="00917590">
        <w:t xml:space="preserve"> </w:t>
      </w:r>
      <w:r>
        <w:t xml:space="preserve">You can </w:t>
      </w:r>
      <w:r w:rsidRPr="00917590">
        <w:t xml:space="preserve">refer us to </w:t>
      </w:r>
      <w:r>
        <w:t xml:space="preserve">related research or data, or </w:t>
      </w:r>
      <w:r w:rsidRPr="00917590">
        <w:t>relevant submissions to other consultation processes.</w:t>
      </w:r>
    </w:p>
    <w:p w14:paraId="4E040AA1" w14:textId="7B5C0278" w:rsidR="001A6597" w:rsidRPr="00917590" w:rsidRDefault="001A6597" w:rsidP="001A6597">
      <w:pPr>
        <w:rPr>
          <w:rFonts w:cs="GATLAK+Calibri"/>
          <w:color w:val="221E1F"/>
        </w:rPr>
      </w:pPr>
      <w:r w:rsidRPr="00917590">
        <w:t xml:space="preserve">You can make a submission </w:t>
      </w:r>
      <w:r>
        <w:t xml:space="preserve">through </w:t>
      </w:r>
      <w:r w:rsidRPr="00917590">
        <w:t xml:space="preserve">our </w:t>
      </w:r>
      <w:r w:rsidRPr="008F7C5C">
        <w:rPr>
          <w:b/>
          <w:u w:val="single"/>
        </w:rPr>
        <w:t>Consultation Hub</w:t>
      </w:r>
      <w:r w:rsidRPr="007411E7">
        <w:rPr>
          <w:b/>
        </w:rPr>
        <w:t xml:space="preserve"> until </w:t>
      </w:r>
      <w:r w:rsidR="00F42145">
        <w:rPr>
          <w:b/>
        </w:rPr>
        <w:t xml:space="preserve">5 pm </w:t>
      </w:r>
      <w:r w:rsidR="006C05BE">
        <w:rPr>
          <w:b/>
        </w:rPr>
        <w:t>Friday</w:t>
      </w:r>
      <w:r w:rsidRPr="007411E7">
        <w:rPr>
          <w:b/>
        </w:rPr>
        <w:t xml:space="preserve"> </w:t>
      </w:r>
      <w:r w:rsidR="00F674DD">
        <w:rPr>
          <w:b/>
        </w:rPr>
        <w:t xml:space="preserve">7 </w:t>
      </w:r>
      <w:r w:rsidR="00234A72">
        <w:rPr>
          <w:b/>
        </w:rPr>
        <w:t>August</w:t>
      </w:r>
      <w:r w:rsidR="00F674DD">
        <w:rPr>
          <w:b/>
        </w:rPr>
        <w:t xml:space="preserve"> 2</w:t>
      </w:r>
      <w:r w:rsidR="006C05BE">
        <w:rPr>
          <w:b/>
        </w:rPr>
        <w:t>026</w:t>
      </w:r>
    </w:p>
    <w:p w14:paraId="0C189E47" w14:textId="77777777" w:rsidR="001A6597" w:rsidRPr="00917590" w:rsidRDefault="001A6597" w:rsidP="00F65EBA">
      <w:pPr>
        <w:pStyle w:val="L4Sub-sectionHeading"/>
      </w:pPr>
      <w:bookmarkStart w:id="10" w:name="_Toc227942633"/>
      <w:r w:rsidRPr="00917590">
        <w:t>Contacts</w:t>
      </w:r>
      <w:bookmarkEnd w:id="10"/>
    </w:p>
    <w:p w14:paraId="277CD0D4" w14:textId="21B1BBB9" w:rsidR="001A6597" w:rsidRDefault="001A6597" w:rsidP="001A6597">
      <w:pPr>
        <w:rPr>
          <w:rFonts w:cs="GATLAK+Calibri-Bold"/>
          <w:b/>
          <w:color w:val="00BFEA"/>
          <w:sz w:val="29"/>
          <w:szCs w:val="29"/>
        </w:rPr>
      </w:pPr>
      <w:r>
        <w:t xml:space="preserve">For more </w:t>
      </w:r>
      <w:r w:rsidRPr="00917590">
        <w:t xml:space="preserve">information about making </w:t>
      </w:r>
      <w:r>
        <w:t>your</w:t>
      </w:r>
      <w:r w:rsidRPr="00917590">
        <w:t xml:space="preserve"> submission, please contact the Authority </w:t>
      </w:r>
      <w:r w:rsidR="005E63A5" w:rsidRPr="00917590">
        <w:t>on free</w:t>
      </w:r>
      <w:r w:rsidRPr="00917590">
        <w:t xml:space="preserve"> call </w:t>
      </w:r>
      <w:r w:rsidRPr="00917590">
        <w:rPr>
          <w:rFonts w:cs="GATLAK+Calibri-Bold"/>
          <w:b/>
        </w:rPr>
        <w:t xml:space="preserve">1800 475 869 </w:t>
      </w:r>
      <w:r w:rsidRPr="00917590">
        <w:t xml:space="preserve">or via email at </w:t>
      </w:r>
      <w:hyperlink r:id="rId14" w:history="1">
        <w:r w:rsidRPr="00AC5DE8">
          <w:rPr>
            <w:rStyle w:val="Hyperlink"/>
            <w:rFonts w:cs="GATLAK+Calibri-Bold"/>
            <w:b/>
            <w:bCs/>
          </w:rPr>
          <w:t>consultation@cca.gov.au</w:t>
        </w:r>
      </w:hyperlink>
      <w:r w:rsidRPr="00917590">
        <w:t>.</w:t>
      </w:r>
      <w:r w:rsidRPr="007C05B6">
        <w:rPr>
          <w:rFonts w:cs="GATLAK+Calibri-Bold"/>
          <w:b/>
          <w:color w:val="00BFEA"/>
          <w:sz w:val="29"/>
          <w:szCs w:val="29"/>
        </w:rPr>
        <w:t xml:space="preserve"> </w:t>
      </w:r>
    </w:p>
    <w:p w14:paraId="6705E4D4" w14:textId="77777777" w:rsidR="001D10EB" w:rsidRPr="004F135F" w:rsidRDefault="001D10EB" w:rsidP="001A6597">
      <w:pPr>
        <w:tabs>
          <w:tab w:val="left" w:pos="851"/>
        </w:tabs>
        <w:spacing w:after="160" w:line="279" w:lineRule="auto"/>
        <w:rPr>
          <w:b/>
          <w:bCs/>
          <w:noProof/>
        </w:rPr>
      </w:pPr>
    </w:p>
    <w:p w14:paraId="1629DD3A" w14:textId="77777777" w:rsidR="00397223" w:rsidRPr="004F135F" w:rsidRDefault="00397223" w:rsidP="00397223"/>
    <w:p w14:paraId="423D52AB" w14:textId="77777777" w:rsidR="00397223" w:rsidRPr="004F135F" w:rsidRDefault="00397223" w:rsidP="00397223"/>
    <w:p w14:paraId="64AFE587" w14:textId="77777777" w:rsidR="00397223" w:rsidRPr="004F135F" w:rsidRDefault="00397223" w:rsidP="00397223"/>
    <w:p w14:paraId="71C29673" w14:textId="77777777" w:rsidR="00397223" w:rsidRPr="004F135F" w:rsidRDefault="00397223" w:rsidP="00397223"/>
    <w:p w14:paraId="6EA55C0A" w14:textId="77777777" w:rsidR="00397223" w:rsidRPr="004F135F" w:rsidRDefault="00397223" w:rsidP="00397223"/>
    <w:p w14:paraId="2EDB64C4" w14:textId="77777777" w:rsidR="00397223" w:rsidRPr="004F135F" w:rsidRDefault="00397223" w:rsidP="00397223"/>
    <w:p w14:paraId="1836871E" w14:textId="77777777" w:rsidR="00397223" w:rsidRPr="004F135F" w:rsidRDefault="00397223" w:rsidP="00397223"/>
    <w:p w14:paraId="7C7AAF72" w14:textId="77777777" w:rsidR="00397223" w:rsidRPr="004F135F" w:rsidRDefault="00397223" w:rsidP="00397223"/>
    <w:p w14:paraId="60CB912C" w14:textId="77777777" w:rsidR="00397223" w:rsidRPr="004F135F" w:rsidRDefault="00397223" w:rsidP="00397223"/>
    <w:p w14:paraId="7AF77314" w14:textId="77777777" w:rsidR="00397223" w:rsidRPr="004F135F" w:rsidRDefault="00397223" w:rsidP="00397223"/>
    <w:p w14:paraId="71345A37" w14:textId="77777777" w:rsidR="00397223" w:rsidRPr="004F135F" w:rsidRDefault="00397223" w:rsidP="00397223"/>
    <w:p w14:paraId="031E3010" w14:textId="77777777" w:rsidR="00397223" w:rsidRPr="004F135F" w:rsidRDefault="00397223" w:rsidP="00397223"/>
    <w:p w14:paraId="3BC67287" w14:textId="77777777" w:rsidR="00397223" w:rsidRPr="004F135F" w:rsidRDefault="00397223" w:rsidP="00397223"/>
    <w:p w14:paraId="5EEDACB8" w14:textId="77777777" w:rsidR="00397223" w:rsidRPr="004F135F" w:rsidRDefault="00397223" w:rsidP="00397223"/>
    <w:p w14:paraId="1C5F9CA4" w14:textId="77777777" w:rsidR="00397223" w:rsidRPr="004F135F" w:rsidRDefault="00397223" w:rsidP="00397223"/>
    <w:p w14:paraId="2A3AC0DA" w14:textId="77777777" w:rsidR="00397223" w:rsidRPr="004F135F" w:rsidRDefault="00397223" w:rsidP="00397223"/>
    <w:p w14:paraId="0E97FF82" w14:textId="77777777" w:rsidR="00397223" w:rsidRPr="004F135F" w:rsidRDefault="00397223" w:rsidP="00397223"/>
    <w:p w14:paraId="2977CCE1" w14:textId="77777777" w:rsidR="00397223" w:rsidRPr="004F135F" w:rsidRDefault="00397223" w:rsidP="00397223"/>
    <w:p w14:paraId="1878A3E0" w14:textId="353A4FE0" w:rsidR="00397223" w:rsidRPr="004F135F" w:rsidRDefault="00397223" w:rsidP="00397223"/>
    <w:p w14:paraId="71BAB7C3" w14:textId="711814D0" w:rsidR="00493397" w:rsidRPr="00493397" w:rsidRDefault="00493397" w:rsidP="00493397">
      <w:pPr>
        <w:rPr>
          <w:vanish/>
          <w:highlight w:val="yellow"/>
          <w:lang w:val="en-AU"/>
        </w:rPr>
      </w:pPr>
      <w:r w:rsidRPr="00493397">
        <w:rPr>
          <w:vanish/>
          <w:highlight w:val="yellow"/>
          <w:lang w:val="en-AU"/>
        </w:rPr>
        <w:t>Top of Form</w:t>
      </w:r>
    </w:p>
    <w:p w14:paraId="2328AA9A" w14:textId="77777777" w:rsidR="00493397" w:rsidRPr="00493397" w:rsidRDefault="00493397" w:rsidP="00493397">
      <w:pPr>
        <w:rPr>
          <w:vanish/>
          <w:highlight w:val="yellow"/>
          <w:lang w:val="en-AU"/>
        </w:rPr>
      </w:pPr>
      <w:r w:rsidRPr="00493397">
        <w:rPr>
          <w:vanish/>
          <w:highlight w:val="yellow"/>
          <w:lang w:val="en-AU"/>
        </w:rPr>
        <w:t>Bottom of Form</w:t>
      </w:r>
    </w:p>
    <w:p w14:paraId="788D7234" w14:textId="21F4C9E4" w:rsidR="00A57CE5" w:rsidRPr="004F135F" w:rsidRDefault="00A57CE5" w:rsidP="00A57CE5"/>
    <w:p w14:paraId="3A65AA6F" w14:textId="19171C1E" w:rsidR="00397223" w:rsidRPr="004F135F" w:rsidRDefault="00155EAB" w:rsidP="00397223">
      <w:r w:rsidRPr="00A647E2">
        <w:rPr>
          <w:b/>
          <w:bCs/>
          <w:noProof/>
        </w:rPr>
        <mc:AlternateContent>
          <mc:Choice Requires="wps">
            <w:drawing>
              <wp:anchor distT="45720" distB="45720" distL="114300" distR="114300" simplePos="0" relativeHeight="251658265" behindDoc="0" locked="0" layoutInCell="1" allowOverlap="1" wp14:anchorId="126A3FBC" wp14:editId="16CB70FC">
                <wp:simplePos x="0" y="0"/>
                <wp:positionH relativeFrom="column">
                  <wp:posOffset>-73437</wp:posOffset>
                </wp:positionH>
                <wp:positionV relativeFrom="paragraph">
                  <wp:posOffset>313244</wp:posOffset>
                </wp:positionV>
                <wp:extent cx="5329881" cy="463138"/>
                <wp:effectExtent l="0" t="0" r="23495" b="13335"/>
                <wp:wrapNone/>
                <wp:docPr id="7055114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9881" cy="463138"/>
                        </a:xfrm>
                        <a:prstGeom prst="rect">
                          <a:avLst/>
                        </a:prstGeom>
                        <a:solidFill>
                          <a:schemeClr val="bg1">
                            <a:alpha val="80000"/>
                          </a:schemeClr>
                        </a:solidFill>
                        <a:ln w="9525">
                          <a:solidFill>
                            <a:srgbClr val="FD904D"/>
                          </a:solidFill>
                          <a:miter lim="800000"/>
                          <a:headEnd/>
                          <a:tailEnd/>
                        </a:ln>
                      </wps:spPr>
                      <wps:txbx>
                        <w:txbxContent>
                          <w:p w14:paraId="71EAEC1F" w14:textId="77777777" w:rsidR="009230C0" w:rsidRPr="00493397" w:rsidRDefault="009230C0" w:rsidP="009230C0">
                            <w:pPr>
                              <w:rPr>
                                <w:highlight w:val="yellow"/>
                                <w:lang w:val="en-AU"/>
                              </w:rPr>
                            </w:pPr>
                            <w:r>
                              <w:t xml:space="preserve">On the cover: </w:t>
                            </w:r>
                            <w:r w:rsidRPr="00493397">
                              <w:rPr>
                                <w:lang w:val="en-AU"/>
                              </w:rPr>
                              <w:t>Open pit coal mine in the Hunter Valley area of New South Wales, Australia.</w:t>
                            </w:r>
                          </w:p>
                          <w:p w14:paraId="1D6158FC" w14:textId="6139652A" w:rsidR="009230C0" w:rsidRPr="00F418D8" w:rsidRDefault="009230C0" w:rsidP="009230C0">
                            <w:pPr>
                              <w:spacing w:before="0" w:after="0"/>
                              <w:rPr>
                                <w:sz w:val="20"/>
                                <w:szCs w:val="22"/>
                                <w:lang w:val="en-A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6A3FBC" id="_x0000_s1029" type="#_x0000_t202" style="position:absolute;margin-left:-5.8pt;margin-top:24.65pt;width:419.7pt;height:36.45pt;z-index:2516582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" fillcolor="white [3212]" strokecolor="#fd904d">
                <v:fill opacity="52428f"/>
                <v:textbox>
                  <w:txbxContent>
                    <w:p w14:paraId="71EAEC1F" w14:textId="77777777" w:rsidR="009230C0" w:rsidRPr="00493397" w:rsidRDefault="009230C0" w:rsidP="009230C0">
                      <w:pPr>
                        <w:rPr>
                          <w:highlight w:val="yellow"/>
                          <w:lang w:val="en-AU"/>
                        </w:rPr>
                      </w:pPr>
                      <w:r>
                        <w:t xml:space="preserve">On the cover: </w:t>
                      </w:r>
                      <w:r w:rsidRPr="00493397">
                        <w:rPr>
                          <w:lang w:val="en-AU"/>
                        </w:rPr>
                        <w:t>Open pit coal mine in the Hunter Valley area of New South Wales, Australia.</w:t>
                      </w:r>
                    </w:p>
                    <w:p w14:paraId="1D6158FC" w14:textId="6139652A" w:rsidR="009230C0" w:rsidRPr="00F418D8" w:rsidRDefault="009230C0" w:rsidP="009230C0">
                      <w:pPr>
                        <w:spacing w:before="0" w:after="0"/>
                        <w:rPr>
                          <w:sz w:val="20"/>
                          <w:szCs w:val="22"/>
                          <w:lang w:val="en-AU"/>
                        </w:rPr>
                      </w:pPr>
                    </w:p>
                  </w:txbxContent>
                </v:textbox>
              </v:shape>
            </w:pict>
          </mc:Fallback>
        </mc:AlternateContent>
      </w:r>
    </w:p>
    <w:p w14:paraId="38134796" w14:textId="77777777" w:rsidR="00420DE4" w:rsidRDefault="00E2581F" w:rsidP="003F7E84">
      <w:pPr>
        <w:pStyle w:val="L1Heading"/>
        <w:spacing w:after="0"/>
        <w:rPr>
          <w:noProof/>
        </w:rPr>
      </w:pPr>
      <w:bookmarkStart w:id="11" w:name="_Toc231557397"/>
      <w:bookmarkStart w:id="12" w:name="_Toc231557631"/>
      <w:bookmarkStart w:id="13" w:name="_Toc231895701"/>
      <w:bookmarkStart w:id="14" w:name="_Toc232079477"/>
      <w:r w:rsidRPr="004F135F">
        <w:lastRenderedPageBreak/>
        <w:t>Table of Contents</w:t>
      </w:r>
      <w:bookmarkEnd w:id="11"/>
      <w:bookmarkEnd w:id="12"/>
      <w:bookmarkEnd w:id="13"/>
      <w:bookmarkEnd w:id="14"/>
      <w:r w:rsidR="00D6363F" w:rsidRPr="00EE2D3F">
        <w:rPr>
          <w:rFonts w:ascii="Aptos" w:hAnsi="Aptos"/>
        </w:rPr>
        <w:fldChar w:fldCharType="begin"/>
      </w:r>
      <w:r w:rsidR="00D6363F" w:rsidRPr="00EE2D3F">
        <w:rPr>
          <w:rFonts w:ascii="Aptos" w:hAnsi="Aptos"/>
        </w:rPr>
        <w:instrText xml:space="preserve"> TOC \o "1-2" \h \z \u </w:instrText>
      </w:r>
      <w:r w:rsidR="00D6363F" w:rsidRPr="00EE2D3F">
        <w:rPr>
          <w:rFonts w:ascii="Aptos" w:hAnsi="Aptos"/>
        </w:rPr>
        <w:fldChar w:fldCharType="separate"/>
      </w:r>
    </w:p>
    <w:p w14:paraId="6F490AB9" w14:textId="5216907A" w:rsidR="00420DE4" w:rsidRDefault="00420DE4">
      <w:pPr>
        <w:pStyle w:val="TOC1"/>
        <w:rPr>
          <w:rFonts w:eastAsiaTheme="minorEastAsia"/>
          <w:b w:val="0"/>
          <w:bCs w:val="0"/>
          <w:kern w:val="2"/>
          <w:sz w:val="24"/>
          <w:szCs w:val="24"/>
          <w:lang w:eastAsia="en-AU"/>
          <w14:ligatures w14:val="standardContextual"/>
        </w:rPr>
      </w:pPr>
      <w:hyperlink w:anchor="_Toc232079478" w:history="1">
        <w:r w:rsidRPr="007161A9">
          <w:rPr>
            <w:rStyle w:val="Hyperlink"/>
          </w:rPr>
          <w:t>Summary</w:t>
        </w:r>
        <w:r>
          <w:rPr>
            <w:webHidden/>
          </w:rPr>
          <w:tab/>
        </w:r>
        <w:r>
          <w:rPr>
            <w:webHidden/>
          </w:rPr>
          <w:fldChar w:fldCharType="begin"/>
        </w:r>
        <w:r>
          <w:rPr>
            <w:webHidden/>
          </w:rPr>
          <w:instrText xml:space="preserve"> PAGEREF _Toc232079478 \h </w:instrText>
        </w:r>
        <w:r>
          <w:rPr>
            <w:webHidden/>
          </w:rPr>
        </w:r>
        <w:r>
          <w:rPr>
            <w:webHidden/>
          </w:rPr>
          <w:fldChar w:fldCharType="separate"/>
        </w:r>
        <w:r w:rsidR="00C45A5B">
          <w:rPr>
            <w:webHidden/>
          </w:rPr>
          <w:t>5</w:t>
        </w:r>
        <w:r>
          <w:rPr>
            <w:webHidden/>
          </w:rPr>
          <w:fldChar w:fldCharType="end"/>
        </w:r>
      </w:hyperlink>
    </w:p>
    <w:p w14:paraId="602D3DA9" w14:textId="336BC617" w:rsidR="00420DE4" w:rsidRDefault="00420DE4">
      <w:pPr>
        <w:pStyle w:val="TOC2"/>
        <w:rPr>
          <w:rFonts w:asciiTheme="minorHAnsi" w:eastAsiaTheme="minorEastAsia" w:hAnsiTheme="minorHAnsi"/>
          <w:noProof/>
          <w:kern w:val="2"/>
          <w:sz w:val="24"/>
          <w:szCs w:val="24"/>
          <w:lang w:eastAsia="en-AU"/>
          <w14:ligatures w14:val="standardContextual"/>
        </w:rPr>
      </w:pPr>
      <w:hyperlink w:anchor="_Toc232079479" w:history="1">
        <w:r w:rsidRPr="007161A9">
          <w:rPr>
            <w:rStyle w:val="Hyperlink"/>
            <w:noProof/>
          </w:rPr>
          <w:t>Why methane matters</w:t>
        </w:r>
        <w:r>
          <w:rPr>
            <w:noProof/>
            <w:webHidden/>
          </w:rPr>
          <w:tab/>
        </w:r>
        <w:r>
          <w:rPr>
            <w:noProof/>
            <w:webHidden/>
          </w:rPr>
          <w:fldChar w:fldCharType="begin"/>
        </w:r>
        <w:r>
          <w:rPr>
            <w:noProof/>
            <w:webHidden/>
          </w:rPr>
          <w:instrText xml:space="preserve"> PAGEREF _Toc232079479 \h </w:instrText>
        </w:r>
        <w:r>
          <w:rPr>
            <w:noProof/>
            <w:webHidden/>
          </w:rPr>
        </w:r>
        <w:r>
          <w:rPr>
            <w:noProof/>
            <w:webHidden/>
          </w:rPr>
          <w:fldChar w:fldCharType="separate"/>
        </w:r>
        <w:r w:rsidR="00C45A5B">
          <w:rPr>
            <w:noProof/>
            <w:webHidden/>
          </w:rPr>
          <w:t>5</w:t>
        </w:r>
        <w:r>
          <w:rPr>
            <w:noProof/>
            <w:webHidden/>
          </w:rPr>
          <w:fldChar w:fldCharType="end"/>
        </w:r>
      </w:hyperlink>
    </w:p>
    <w:p w14:paraId="42A3704F" w14:textId="1C1BAC13" w:rsidR="00420DE4" w:rsidRDefault="00420DE4">
      <w:pPr>
        <w:pStyle w:val="TOC2"/>
        <w:rPr>
          <w:rFonts w:asciiTheme="minorHAnsi" w:eastAsiaTheme="minorEastAsia" w:hAnsiTheme="minorHAnsi"/>
          <w:noProof/>
          <w:kern w:val="2"/>
          <w:sz w:val="24"/>
          <w:szCs w:val="24"/>
          <w:lang w:eastAsia="en-AU"/>
          <w14:ligatures w14:val="standardContextual"/>
        </w:rPr>
      </w:pPr>
      <w:hyperlink w:anchor="_Toc232079480" w:history="1">
        <w:r w:rsidRPr="007161A9">
          <w:rPr>
            <w:rStyle w:val="Hyperlink"/>
            <w:noProof/>
          </w:rPr>
          <w:t>Why focus on fossil methane</w:t>
        </w:r>
        <w:r>
          <w:rPr>
            <w:noProof/>
            <w:webHidden/>
          </w:rPr>
          <w:tab/>
        </w:r>
        <w:r>
          <w:rPr>
            <w:noProof/>
            <w:webHidden/>
          </w:rPr>
          <w:fldChar w:fldCharType="begin"/>
        </w:r>
        <w:r>
          <w:rPr>
            <w:noProof/>
            <w:webHidden/>
          </w:rPr>
          <w:instrText xml:space="preserve"> PAGEREF _Toc232079480 \h </w:instrText>
        </w:r>
        <w:r>
          <w:rPr>
            <w:noProof/>
            <w:webHidden/>
          </w:rPr>
        </w:r>
        <w:r>
          <w:rPr>
            <w:noProof/>
            <w:webHidden/>
          </w:rPr>
          <w:fldChar w:fldCharType="separate"/>
        </w:r>
        <w:r w:rsidR="00C45A5B">
          <w:rPr>
            <w:noProof/>
            <w:webHidden/>
          </w:rPr>
          <w:t>5</w:t>
        </w:r>
        <w:r>
          <w:rPr>
            <w:noProof/>
            <w:webHidden/>
          </w:rPr>
          <w:fldChar w:fldCharType="end"/>
        </w:r>
      </w:hyperlink>
    </w:p>
    <w:p w14:paraId="13186077" w14:textId="5670B420" w:rsidR="00420DE4" w:rsidRDefault="00420DE4">
      <w:pPr>
        <w:pStyle w:val="TOC2"/>
        <w:rPr>
          <w:rFonts w:asciiTheme="minorHAnsi" w:eastAsiaTheme="minorEastAsia" w:hAnsiTheme="minorHAnsi"/>
          <w:noProof/>
          <w:kern w:val="2"/>
          <w:sz w:val="24"/>
          <w:szCs w:val="24"/>
          <w:lang w:eastAsia="en-AU"/>
          <w14:ligatures w14:val="standardContextual"/>
        </w:rPr>
      </w:pPr>
      <w:hyperlink w:anchor="_Toc232079481" w:history="1">
        <w:r w:rsidRPr="007161A9">
          <w:rPr>
            <w:rStyle w:val="Hyperlink"/>
            <w:noProof/>
          </w:rPr>
          <w:t>Opportunities to accelerate methane abatement</w:t>
        </w:r>
        <w:r>
          <w:rPr>
            <w:noProof/>
            <w:webHidden/>
          </w:rPr>
          <w:tab/>
        </w:r>
        <w:r>
          <w:rPr>
            <w:noProof/>
            <w:webHidden/>
          </w:rPr>
          <w:fldChar w:fldCharType="begin"/>
        </w:r>
        <w:r>
          <w:rPr>
            <w:noProof/>
            <w:webHidden/>
          </w:rPr>
          <w:instrText xml:space="preserve"> PAGEREF _Toc232079481 \h </w:instrText>
        </w:r>
        <w:r>
          <w:rPr>
            <w:noProof/>
            <w:webHidden/>
          </w:rPr>
        </w:r>
        <w:r>
          <w:rPr>
            <w:noProof/>
            <w:webHidden/>
          </w:rPr>
          <w:fldChar w:fldCharType="separate"/>
        </w:r>
        <w:r w:rsidR="00C45A5B">
          <w:rPr>
            <w:noProof/>
            <w:webHidden/>
          </w:rPr>
          <w:t>6</w:t>
        </w:r>
        <w:r>
          <w:rPr>
            <w:noProof/>
            <w:webHidden/>
          </w:rPr>
          <w:fldChar w:fldCharType="end"/>
        </w:r>
      </w:hyperlink>
    </w:p>
    <w:p w14:paraId="29397FF0" w14:textId="3B13663F" w:rsidR="00420DE4" w:rsidRDefault="00420DE4">
      <w:pPr>
        <w:pStyle w:val="TOC2"/>
        <w:rPr>
          <w:rFonts w:asciiTheme="minorHAnsi" w:eastAsiaTheme="minorEastAsia" w:hAnsiTheme="minorHAnsi"/>
          <w:noProof/>
          <w:kern w:val="2"/>
          <w:sz w:val="24"/>
          <w:szCs w:val="24"/>
          <w:lang w:eastAsia="en-AU"/>
          <w14:ligatures w14:val="standardContextual"/>
        </w:rPr>
      </w:pPr>
      <w:hyperlink w:anchor="_Toc232079482" w:history="1">
        <w:r w:rsidRPr="007161A9">
          <w:rPr>
            <w:rStyle w:val="Hyperlink"/>
            <w:noProof/>
          </w:rPr>
          <w:t>Improving methane measurement</w:t>
        </w:r>
        <w:r>
          <w:rPr>
            <w:noProof/>
            <w:webHidden/>
          </w:rPr>
          <w:tab/>
        </w:r>
        <w:r>
          <w:rPr>
            <w:noProof/>
            <w:webHidden/>
          </w:rPr>
          <w:fldChar w:fldCharType="begin"/>
        </w:r>
        <w:r>
          <w:rPr>
            <w:noProof/>
            <w:webHidden/>
          </w:rPr>
          <w:instrText xml:space="preserve"> PAGEREF _Toc232079482 \h </w:instrText>
        </w:r>
        <w:r>
          <w:rPr>
            <w:noProof/>
            <w:webHidden/>
          </w:rPr>
        </w:r>
        <w:r>
          <w:rPr>
            <w:noProof/>
            <w:webHidden/>
          </w:rPr>
          <w:fldChar w:fldCharType="separate"/>
        </w:r>
        <w:r w:rsidR="00C45A5B">
          <w:rPr>
            <w:noProof/>
            <w:webHidden/>
          </w:rPr>
          <w:t>6</w:t>
        </w:r>
        <w:r>
          <w:rPr>
            <w:noProof/>
            <w:webHidden/>
          </w:rPr>
          <w:fldChar w:fldCharType="end"/>
        </w:r>
      </w:hyperlink>
    </w:p>
    <w:p w14:paraId="1DEDD156" w14:textId="0F52332E" w:rsidR="00420DE4" w:rsidRDefault="00420DE4">
      <w:pPr>
        <w:pStyle w:val="TOC1"/>
        <w:rPr>
          <w:rFonts w:eastAsiaTheme="minorEastAsia"/>
          <w:b w:val="0"/>
          <w:bCs w:val="0"/>
          <w:kern w:val="2"/>
          <w:sz w:val="24"/>
          <w:szCs w:val="24"/>
          <w:lang w:eastAsia="en-AU"/>
          <w14:ligatures w14:val="standardContextual"/>
        </w:rPr>
      </w:pPr>
      <w:hyperlink w:anchor="_Toc232079483" w:history="1">
        <w:r w:rsidRPr="007161A9">
          <w:rPr>
            <w:rStyle w:val="Hyperlink"/>
          </w:rPr>
          <w:t>Consultation questions</w:t>
        </w:r>
        <w:r>
          <w:rPr>
            <w:webHidden/>
          </w:rPr>
          <w:tab/>
        </w:r>
        <w:r>
          <w:rPr>
            <w:webHidden/>
          </w:rPr>
          <w:fldChar w:fldCharType="begin"/>
        </w:r>
        <w:r>
          <w:rPr>
            <w:webHidden/>
          </w:rPr>
          <w:instrText xml:space="preserve"> PAGEREF _Toc232079483 \h </w:instrText>
        </w:r>
        <w:r>
          <w:rPr>
            <w:webHidden/>
          </w:rPr>
        </w:r>
        <w:r>
          <w:rPr>
            <w:webHidden/>
          </w:rPr>
          <w:fldChar w:fldCharType="separate"/>
        </w:r>
        <w:r w:rsidR="00C45A5B">
          <w:rPr>
            <w:webHidden/>
          </w:rPr>
          <w:t>7</w:t>
        </w:r>
        <w:r>
          <w:rPr>
            <w:webHidden/>
          </w:rPr>
          <w:fldChar w:fldCharType="end"/>
        </w:r>
      </w:hyperlink>
    </w:p>
    <w:p w14:paraId="45B1CDFE" w14:textId="24F9D455" w:rsidR="00420DE4" w:rsidRDefault="00420DE4">
      <w:pPr>
        <w:pStyle w:val="TOC1"/>
        <w:rPr>
          <w:rFonts w:eastAsiaTheme="minorEastAsia"/>
          <w:b w:val="0"/>
          <w:bCs w:val="0"/>
          <w:kern w:val="2"/>
          <w:sz w:val="24"/>
          <w:szCs w:val="24"/>
          <w:lang w:eastAsia="en-AU"/>
          <w14:ligatures w14:val="standardContextual"/>
        </w:rPr>
      </w:pPr>
      <w:hyperlink w:anchor="_Toc232079485" w:history="1">
        <w:r w:rsidRPr="007161A9">
          <w:rPr>
            <w:rStyle w:val="Hyperlink"/>
          </w:rPr>
          <w:t>Introduction</w:t>
        </w:r>
        <w:r>
          <w:rPr>
            <w:webHidden/>
          </w:rPr>
          <w:tab/>
        </w:r>
        <w:r>
          <w:rPr>
            <w:webHidden/>
          </w:rPr>
          <w:fldChar w:fldCharType="begin"/>
        </w:r>
        <w:r>
          <w:rPr>
            <w:webHidden/>
          </w:rPr>
          <w:instrText xml:space="preserve"> PAGEREF _Toc232079485 \h </w:instrText>
        </w:r>
        <w:r>
          <w:rPr>
            <w:webHidden/>
          </w:rPr>
        </w:r>
        <w:r>
          <w:rPr>
            <w:webHidden/>
          </w:rPr>
          <w:fldChar w:fldCharType="separate"/>
        </w:r>
        <w:r w:rsidR="00C45A5B">
          <w:rPr>
            <w:webHidden/>
          </w:rPr>
          <w:t>8</w:t>
        </w:r>
        <w:r>
          <w:rPr>
            <w:webHidden/>
          </w:rPr>
          <w:fldChar w:fldCharType="end"/>
        </w:r>
      </w:hyperlink>
    </w:p>
    <w:p w14:paraId="513869DB" w14:textId="41EE776D" w:rsidR="00420DE4" w:rsidRDefault="00420DE4">
      <w:pPr>
        <w:pStyle w:val="TOC2"/>
        <w:rPr>
          <w:rFonts w:asciiTheme="minorHAnsi" w:eastAsiaTheme="minorEastAsia" w:hAnsiTheme="minorHAnsi"/>
          <w:noProof/>
          <w:kern w:val="2"/>
          <w:sz w:val="24"/>
          <w:szCs w:val="24"/>
          <w:lang w:eastAsia="en-AU"/>
          <w14:ligatures w14:val="standardContextual"/>
        </w:rPr>
      </w:pPr>
      <w:hyperlink w:anchor="_Toc232079486" w:history="1">
        <w:r w:rsidRPr="007161A9">
          <w:rPr>
            <w:rStyle w:val="Hyperlink"/>
            <w:noProof/>
          </w:rPr>
          <w:t>Structure of the paper</w:t>
        </w:r>
        <w:r>
          <w:rPr>
            <w:noProof/>
            <w:webHidden/>
          </w:rPr>
          <w:tab/>
        </w:r>
        <w:r>
          <w:rPr>
            <w:noProof/>
            <w:webHidden/>
          </w:rPr>
          <w:fldChar w:fldCharType="begin"/>
        </w:r>
        <w:r>
          <w:rPr>
            <w:noProof/>
            <w:webHidden/>
          </w:rPr>
          <w:instrText xml:space="preserve"> PAGEREF _Toc232079486 \h </w:instrText>
        </w:r>
        <w:r>
          <w:rPr>
            <w:noProof/>
            <w:webHidden/>
          </w:rPr>
        </w:r>
        <w:r>
          <w:rPr>
            <w:noProof/>
            <w:webHidden/>
          </w:rPr>
          <w:fldChar w:fldCharType="separate"/>
        </w:r>
        <w:r w:rsidR="00C45A5B">
          <w:rPr>
            <w:noProof/>
            <w:webHidden/>
          </w:rPr>
          <w:t>8</w:t>
        </w:r>
        <w:r>
          <w:rPr>
            <w:noProof/>
            <w:webHidden/>
          </w:rPr>
          <w:fldChar w:fldCharType="end"/>
        </w:r>
      </w:hyperlink>
    </w:p>
    <w:p w14:paraId="7C41D590" w14:textId="2C8BE07D" w:rsidR="00420DE4" w:rsidRDefault="00420DE4">
      <w:pPr>
        <w:pStyle w:val="TOC2"/>
        <w:rPr>
          <w:rFonts w:asciiTheme="minorHAnsi" w:eastAsiaTheme="minorEastAsia" w:hAnsiTheme="minorHAnsi"/>
          <w:noProof/>
          <w:kern w:val="2"/>
          <w:sz w:val="24"/>
          <w:szCs w:val="24"/>
          <w:lang w:eastAsia="en-AU"/>
          <w14:ligatures w14:val="standardContextual"/>
        </w:rPr>
      </w:pPr>
      <w:hyperlink w:anchor="_Toc232079487" w:history="1">
        <w:r w:rsidRPr="007161A9">
          <w:rPr>
            <w:rStyle w:val="Hyperlink"/>
            <w:noProof/>
          </w:rPr>
          <w:t>Next steps</w:t>
        </w:r>
        <w:r>
          <w:rPr>
            <w:noProof/>
            <w:webHidden/>
          </w:rPr>
          <w:tab/>
        </w:r>
        <w:r>
          <w:rPr>
            <w:noProof/>
            <w:webHidden/>
          </w:rPr>
          <w:fldChar w:fldCharType="begin"/>
        </w:r>
        <w:r>
          <w:rPr>
            <w:noProof/>
            <w:webHidden/>
          </w:rPr>
          <w:instrText xml:space="preserve"> PAGEREF _Toc232079487 \h </w:instrText>
        </w:r>
        <w:r>
          <w:rPr>
            <w:noProof/>
            <w:webHidden/>
          </w:rPr>
        </w:r>
        <w:r>
          <w:rPr>
            <w:noProof/>
            <w:webHidden/>
          </w:rPr>
          <w:fldChar w:fldCharType="separate"/>
        </w:r>
        <w:r w:rsidR="00C45A5B">
          <w:rPr>
            <w:noProof/>
            <w:webHidden/>
          </w:rPr>
          <w:t>8</w:t>
        </w:r>
        <w:r>
          <w:rPr>
            <w:noProof/>
            <w:webHidden/>
          </w:rPr>
          <w:fldChar w:fldCharType="end"/>
        </w:r>
      </w:hyperlink>
    </w:p>
    <w:p w14:paraId="04AB01CF" w14:textId="5889E8A7" w:rsidR="00420DE4" w:rsidRDefault="00420DE4">
      <w:pPr>
        <w:pStyle w:val="TOC1"/>
        <w:rPr>
          <w:rFonts w:eastAsiaTheme="minorEastAsia"/>
          <w:b w:val="0"/>
          <w:bCs w:val="0"/>
          <w:kern w:val="2"/>
          <w:sz w:val="24"/>
          <w:szCs w:val="24"/>
          <w:lang w:eastAsia="en-AU"/>
          <w14:ligatures w14:val="standardContextual"/>
        </w:rPr>
      </w:pPr>
      <w:hyperlink w:anchor="_Toc232079488" w:history="1">
        <w:r w:rsidRPr="007161A9">
          <w:rPr>
            <w:rStyle w:val="Hyperlink"/>
          </w:rPr>
          <w:t>Part 1: The case for accelerating fossil methane abatement</w:t>
        </w:r>
        <w:r>
          <w:rPr>
            <w:webHidden/>
          </w:rPr>
          <w:tab/>
        </w:r>
        <w:r>
          <w:rPr>
            <w:webHidden/>
          </w:rPr>
          <w:fldChar w:fldCharType="begin"/>
        </w:r>
        <w:r>
          <w:rPr>
            <w:webHidden/>
          </w:rPr>
          <w:instrText xml:space="preserve"> PAGEREF _Toc232079488 \h </w:instrText>
        </w:r>
        <w:r>
          <w:rPr>
            <w:webHidden/>
          </w:rPr>
        </w:r>
        <w:r>
          <w:rPr>
            <w:webHidden/>
          </w:rPr>
          <w:fldChar w:fldCharType="separate"/>
        </w:r>
        <w:r w:rsidR="00C45A5B">
          <w:rPr>
            <w:webHidden/>
          </w:rPr>
          <w:t>9</w:t>
        </w:r>
        <w:r>
          <w:rPr>
            <w:webHidden/>
          </w:rPr>
          <w:fldChar w:fldCharType="end"/>
        </w:r>
      </w:hyperlink>
    </w:p>
    <w:p w14:paraId="2F71057E" w14:textId="5740F4FA" w:rsidR="00420DE4" w:rsidRDefault="00420DE4">
      <w:pPr>
        <w:pStyle w:val="TOC2"/>
        <w:rPr>
          <w:rFonts w:asciiTheme="minorHAnsi" w:eastAsiaTheme="minorEastAsia" w:hAnsiTheme="minorHAnsi"/>
          <w:noProof/>
          <w:kern w:val="2"/>
          <w:sz w:val="24"/>
          <w:szCs w:val="24"/>
          <w:lang w:eastAsia="en-AU"/>
          <w14:ligatures w14:val="standardContextual"/>
        </w:rPr>
      </w:pPr>
      <w:hyperlink w:anchor="_Toc232079489" w:history="1">
        <w:r w:rsidRPr="007161A9">
          <w:rPr>
            <w:rStyle w:val="Hyperlink"/>
            <w:noProof/>
          </w:rPr>
          <w:t>1.1 What is methane and where does it come from?</w:t>
        </w:r>
        <w:r>
          <w:rPr>
            <w:noProof/>
            <w:webHidden/>
          </w:rPr>
          <w:tab/>
        </w:r>
        <w:r>
          <w:rPr>
            <w:noProof/>
            <w:webHidden/>
          </w:rPr>
          <w:fldChar w:fldCharType="begin"/>
        </w:r>
        <w:r>
          <w:rPr>
            <w:noProof/>
            <w:webHidden/>
          </w:rPr>
          <w:instrText xml:space="preserve"> PAGEREF _Toc232079489 \h </w:instrText>
        </w:r>
        <w:r>
          <w:rPr>
            <w:noProof/>
            <w:webHidden/>
          </w:rPr>
        </w:r>
        <w:r>
          <w:rPr>
            <w:noProof/>
            <w:webHidden/>
          </w:rPr>
          <w:fldChar w:fldCharType="separate"/>
        </w:r>
        <w:r w:rsidR="00C45A5B">
          <w:rPr>
            <w:noProof/>
            <w:webHidden/>
          </w:rPr>
          <w:t>9</w:t>
        </w:r>
        <w:r>
          <w:rPr>
            <w:noProof/>
            <w:webHidden/>
          </w:rPr>
          <w:fldChar w:fldCharType="end"/>
        </w:r>
      </w:hyperlink>
    </w:p>
    <w:p w14:paraId="1DEC7B75" w14:textId="44F68741" w:rsidR="00420DE4" w:rsidRDefault="00420DE4">
      <w:pPr>
        <w:pStyle w:val="TOC2"/>
        <w:rPr>
          <w:rFonts w:asciiTheme="minorHAnsi" w:eastAsiaTheme="minorEastAsia" w:hAnsiTheme="minorHAnsi"/>
          <w:noProof/>
          <w:kern w:val="2"/>
          <w:sz w:val="24"/>
          <w:szCs w:val="24"/>
          <w:lang w:eastAsia="en-AU"/>
          <w14:ligatures w14:val="standardContextual"/>
        </w:rPr>
      </w:pPr>
      <w:hyperlink w:anchor="_Toc232079490" w:history="1">
        <w:r w:rsidRPr="007161A9">
          <w:rPr>
            <w:rStyle w:val="Hyperlink"/>
            <w:noProof/>
          </w:rPr>
          <w:t>1.2 Methane has an outsized impact on warming in the near term</w:t>
        </w:r>
        <w:r>
          <w:rPr>
            <w:noProof/>
            <w:webHidden/>
          </w:rPr>
          <w:tab/>
        </w:r>
        <w:r>
          <w:rPr>
            <w:noProof/>
            <w:webHidden/>
          </w:rPr>
          <w:fldChar w:fldCharType="begin"/>
        </w:r>
        <w:r>
          <w:rPr>
            <w:noProof/>
            <w:webHidden/>
          </w:rPr>
          <w:instrText xml:space="preserve"> PAGEREF _Toc232079490 \h </w:instrText>
        </w:r>
        <w:r>
          <w:rPr>
            <w:noProof/>
            <w:webHidden/>
          </w:rPr>
        </w:r>
        <w:r>
          <w:rPr>
            <w:noProof/>
            <w:webHidden/>
          </w:rPr>
          <w:fldChar w:fldCharType="separate"/>
        </w:r>
        <w:r w:rsidR="00C45A5B">
          <w:rPr>
            <w:noProof/>
            <w:webHidden/>
          </w:rPr>
          <w:t>11</w:t>
        </w:r>
        <w:r>
          <w:rPr>
            <w:noProof/>
            <w:webHidden/>
          </w:rPr>
          <w:fldChar w:fldCharType="end"/>
        </w:r>
      </w:hyperlink>
    </w:p>
    <w:p w14:paraId="1448F253" w14:textId="089E6EB5" w:rsidR="00420DE4" w:rsidRDefault="00420DE4">
      <w:pPr>
        <w:pStyle w:val="TOC2"/>
        <w:rPr>
          <w:rFonts w:asciiTheme="minorHAnsi" w:eastAsiaTheme="minorEastAsia" w:hAnsiTheme="minorHAnsi"/>
          <w:noProof/>
          <w:kern w:val="2"/>
          <w:sz w:val="24"/>
          <w:szCs w:val="24"/>
          <w:lang w:eastAsia="en-AU"/>
          <w14:ligatures w14:val="standardContextual"/>
        </w:rPr>
      </w:pPr>
      <w:hyperlink w:anchor="_Toc232079491" w:history="1">
        <w:r w:rsidRPr="007161A9">
          <w:rPr>
            <w:rStyle w:val="Hyperlink"/>
            <w:noProof/>
          </w:rPr>
          <w:t>1.3 Agriculture is the largest source of methane emissions</w:t>
        </w:r>
        <w:r>
          <w:rPr>
            <w:noProof/>
            <w:webHidden/>
          </w:rPr>
          <w:tab/>
        </w:r>
        <w:r>
          <w:rPr>
            <w:noProof/>
            <w:webHidden/>
          </w:rPr>
          <w:fldChar w:fldCharType="begin"/>
        </w:r>
        <w:r>
          <w:rPr>
            <w:noProof/>
            <w:webHidden/>
          </w:rPr>
          <w:instrText xml:space="preserve"> PAGEREF _Toc232079491 \h </w:instrText>
        </w:r>
        <w:r>
          <w:rPr>
            <w:noProof/>
            <w:webHidden/>
          </w:rPr>
        </w:r>
        <w:r>
          <w:rPr>
            <w:noProof/>
            <w:webHidden/>
          </w:rPr>
          <w:fldChar w:fldCharType="separate"/>
        </w:r>
        <w:r w:rsidR="00C45A5B">
          <w:rPr>
            <w:noProof/>
            <w:webHidden/>
          </w:rPr>
          <w:t>14</w:t>
        </w:r>
        <w:r>
          <w:rPr>
            <w:noProof/>
            <w:webHidden/>
          </w:rPr>
          <w:fldChar w:fldCharType="end"/>
        </w:r>
      </w:hyperlink>
    </w:p>
    <w:p w14:paraId="4D85242E" w14:textId="240C2D89" w:rsidR="00420DE4" w:rsidRDefault="00420DE4">
      <w:pPr>
        <w:pStyle w:val="TOC2"/>
        <w:rPr>
          <w:rFonts w:asciiTheme="minorHAnsi" w:eastAsiaTheme="minorEastAsia" w:hAnsiTheme="minorHAnsi"/>
          <w:noProof/>
          <w:kern w:val="2"/>
          <w:sz w:val="24"/>
          <w:szCs w:val="24"/>
          <w:lang w:eastAsia="en-AU"/>
          <w14:ligatures w14:val="standardContextual"/>
        </w:rPr>
      </w:pPr>
      <w:hyperlink w:anchor="_Toc232079492" w:history="1">
        <w:r w:rsidRPr="007161A9">
          <w:rPr>
            <w:rStyle w:val="Hyperlink"/>
            <w:noProof/>
          </w:rPr>
          <w:t>1.4 Fossil methane is a practical near-term abatement opportunity</w:t>
        </w:r>
        <w:r>
          <w:rPr>
            <w:noProof/>
            <w:webHidden/>
          </w:rPr>
          <w:tab/>
        </w:r>
        <w:r>
          <w:rPr>
            <w:noProof/>
            <w:webHidden/>
          </w:rPr>
          <w:fldChar w:fldCharType="begin"/>
        </w:r>
        <w:r>
          <w:rPr>
            <w:noProof/>
            <w:webHidden/>
          </w:rPr>
          <w:instrText xml:space="preserve"> PAGEREF _Toc232079492 \h </w:instrText>
        </w:r>
        <w:r>
          <w:rPr>
            <w:noProof/>
            <w:webHidden/>
          </w:rPr>
        </w:r>
        <w:r>
          <w:rPr>
            <w:noProof/>
            <w:webHidden/>
          </w:rPr>
          <w:fldChar w:fldCharType="separate"/>
        </w:r>
        <w:r w:rsidR="00C45A5B">
          <w:rPr>
            <w:noProof/>
            <w:webHidden/>
          </w:rPr>
          <w:t>15</w:t>
        </w:r>
        <w:r>
          <w:rPr>
            <w:noProof/>
            <w:webHidden/>
          </w:rPr>
          <w:fldChar w:fldCharType="end"/>
        </w:r>
      </w:hyperlink>
    </w:p>
    <w:p w14:paraId="07C9E43D" w14:textId="64B574C4" w:rsidR="00420DE4" w:rsidRDefault="00420DE4">
      <w:pPr>
        <w:pStyle w:val="TOC2"/>
        <w:rPr>
          <w:rFonts w:asciiTheme="minorHAnsi" w:eastAsiaTheme="minorEastAsia" w:hAnsiTheme="minorHAnsi"/>
          <w:noProof/>
          <w:kern w:val="2"/>
          <w:sz w:val="24"/>
          <w:szCs w:val="24"/>
          <w:lang w:eastAsia="en-AU"/>
          <w14:ligatures w14:val="standardContextual"/>
        </w:rPr>
      </w:pPr>
      <w:hyperlink w:anchor="_Toc232079493" w:history="1">
        <w:r w:rsidRPr="007161A9">
          <w:rPr>
            <w:rStyle w:val="Hyperlink"/>
            <w:noProof/>
          </w:rPr>
          <w:t xml:space="preserve">1.5 Australia’s fossil methane emissions have declined, but future trends will depend on </w:t>
        </w:r>
        <w:r w:rsidR="00C45A5B">
          <w:rPr>
            <w:rStyle w:val="Hyperlink"/>
            <w:noProof/>
          </w:rPr>
          <w:br/>
        </w:r>
        <w:r w:rsidRPr="007161A9">
          <w:rPr>
            <w:rStyle w:val="Hyperlink"/>
            <w:noProof/>
          </w:rPr>
          <w:t>domestic and global drivers</w:t>
        </w:r>
        <w:r>
          <w:rPr>
            <w:noProof/>
            <w:webHidden/>
          </w:rPr>
          <w:tab/>
        </w:r>
        <w:r>
          <w:rPr>
            <w:noProof/>
            <w:webHidden/>
          </w:rPr>
          <w:fldChar w:fldCharType="begin"/>
        </w:r>
        <w:r>
          <w:rPr>
            <w:noProof/>
            <w:webHidden/>
          </w:rPr>
          <w:instrText xml:space="preserve"> PAGEREF _Toc232079493 \h </w:instrText>
        </w:r>
        <w:r>
          <w:rPr>
            <w:noProof/>
            <w:webHidden/>
          </w:rPr>
        </w:r>
        <w:r>
          <w:rPr>
            <w:noProof/>
            <w:webHidden/>
          </w:rPr>
          <w:fldChar w:fldCharType="separate"/>
        </w:r>
        <w:r w:rsidR="00C45A5B">
          <w:rPr>
            <w:noProof/>
            <w:webHidden/>
          </w:rPr>
          <w:t>17</w:t>
        </w:r>
        <w:r>
          <w:rPr>
            <w:noProof/>
            <w:webHidden/>
          </w:rPr>
          <w:fldChar w:fldCharType="end"/>
        </w:r>
      </w:hyperlink>
    </w:p>
    <w:p w14:paraId="67459E5F" w14:textId="60CB518C" w:rsidR="00420DE4" w:rsidRDefault="00420DE4">
      <w:pPr>
        <w:pStyle w:val="TOC1"/>
        <w:rPr>
          <w:rFonts w:eastAsiaTheme="minorEastAsia"/>
          <w:b w:val="0"/>
          <w:bCs w:val="0"/>
          <w:kern w:val="2"/>
          <w:sz w:val="24"/>
          <w:szCs w:val="24"/>
          <w:lang w:eastAsia="en-AU"/>
          <w14:ligatures w14:val="standardContextual"/>
        </w:rPr>
      </w:pPr>
      <w:hyperlink w:anchor="_Toc232079494" w:history="1">
        <w:r w:rsidRPr="007161A9">
          <w:rPr>
            <w:rStyle w:val="Hyperlink"/>
          </w:rPr>
          <w:t>Part 2: How Australia could accelerate fossil methane abatement</w:t>
        </w:r>
        <w:r>
          <w:rPr>
            <w:webHidden/>
          </w:rPr>
          <w:tab/>
        </w:r>
        <w:r>
          <w:rPr>
            <w:webHidden/>
          </w:rPr>
          <w:fldChar w:fldCharType="begin"/>
        </w:r>
        <w:r>
          <w:rPr>
            <w:webHidden/>
          </w:rPr>
          <w:instrText xml:space="preserve"> PAGEREF _Toc232079494 \h </w:instrText>
        </w:r>
        <w:r>
          <w:rPr>
            <w:webHidden/>
          </w:rPr>
        </w:r>
        <w:r>
          <w:rPr>
            <w:webHidden/>
          </w:rPr>
          <w:fldChar w:fldCharType="separate"/>
        </w:r>
        <w:r w:rsidR="00C45A5B">
          <w:rPr>
            <w:webHidden/>
          </w:rPr>
          <w:t>22</w:t>
        </w:r>
        <w:r>
          <w:rPr>
            <w:webHidden/>
          </w:rPr>
          <w:fldChar w:fldCharType="end"/>
        </w:r>
      </w:hyperlink>
    </w:p>
    <w:p w14:paraId="74D994C6" w14:textId="4C0378C7" w:rsidR="00420DE4" w:rsidRDefault="00420DE4">
      <w:pPr>
        <w:pStyle w:val="TOC2"/>
        <w:rPr>
          <w:rFonts w:asciiTheme="minorHAnsi" w:eastAsiaTheme="minorEastAsia" w:hAnsiTheme="minorHAnsi"/>
          <w:noProof/>
          <w:kern w:val="2"/>
          <w:sz w:val="24"/>
          <w:szCs w:val="24"/>
          <w:lang w:eastAsia="en-AU"/>
          <w14:ligatures w14:val="standardContextual"/>
        </w:rPr>
      </w:pPr>
      <w:hyperlink w:anchor="_Toc232079495" w:history="1">
        <w:r w:rsidRPr="007161A9">
          <w:rPr>
            <w:rStyle w:val="Hyperlink"/>
            <w:noProof/>
          </w:rPr>
          <w:t>2.1 Existing policies already drive some fossil methane abatement</w:t>
        </w:r>
        <w:r>
          <w:rPr>
            <w:noProof/>
            <w:webHidden/>
          </w:rPr>
          <w:tab/>
        </w:r>
        <w:r>
          <w:rPr>
            <w:noProof/>
            <w:webHidden/>
          </w:rPr>
          <w:fldChar w:fldCharType="begin"/>
        </w:r>
        <w:r>
          <w:rPr>
            <w:noProof/>
            <w:webHidden/>
          </w:rPr>
          <w:instrText xml:space="preserve"> PAGEREF _Toc232079495 \h </w:instrText>
        </w:r>
        <w:r>
          <w:rPr>
            <w:noProof/>
            <w:webHidden/>
          </w:rPr>
        </w:r>
        <w:r>
          <w:rPr>
            <w:noProof/>
            <w:webHidden/>
          </w:rPr>
          <w:fldChar w:fldCharType="separate"/>
        </w:r>
        <w:r w:rsidR="00C45A5B">
          <w:rPr>
            <w:noProof/>
            <w:webHidden/>
          </w:rPr>
          <w:t>22</w:t>
        </w:r>
        <w:r>
          <w:rPr>
            <w:noProof/>
            <w:webHidden/>
          </w:rPr>
          <w:fldChar w:fldCharType="end"/>
        </w:r>
      </w:hyperlink>
    </w:p>
    <w:p w14:paraId="5A2D7035" w14:textId="3996F968" w:rsidR="00420DE4" w:rsidRDefault="00420DE4">
      <w:pPr>
        <w:pStyle w:val="TOC2"/>
        <w:rPr>
          <w:rFonts w:asciiTheme="minorHAnsi" w:eastAsiaTheme="minorEastAsia" w:hAnsiTheme="minorHAnsi"/>
          <w:noProof/>
          <w:kern w:val="2"/>
          <w:sz w:val="24"/>
          <w:szCs w:val="24"/>
          <w:lang w:eastAsia="en-AU"/>
          <w14:ligatures w14:val="standardContextual"/>
        </w:rPr>
      </w:pPr>
      <w:hyperlink w:anchor="_Toc232079496" w:history="1">
        <w:r w:rsidRPr="007161A9">
          <w:rPr>
            <w:rStyle w:val="Hyperlink"/>
            <w:noProof/>
          </w:rPr>
          <w:t>2.2 The case for going further</w:t>
        </w:r>
        <w:r>
          <w:rPr>
            <w:noProof/>
            <w:webHidden/>
          </w:rPr>
          <w:tab/>
        </w:r>
        <w:r>
          <w:rPr>
            <w:noProof/>
            <w:webHidden/>
          </w:rPr>
          <w:fldChar w:fldCharType="begin"/>
        </w:r>
        <w:r>
          <w:rPr>
            <w:noProof/>
            <w:webHidden/>
          </w:rPr>
          <w:instrText xml:space="preserve"> PAGEREF _Toc232079496 \h </w:instrText>
        </w:r>
        <w:r>
          <w:rPr>
            <w:noProof/>
            <w:webHidden/>
          </w:rPr>
        </w:r>
        <w:r>
          <w:rPr>
            <w:noProof/>
            <w:webHidden/>
          </w:rPr>
          <w:fldChar w:fldCharType="separate"/>
        </w:r>
        <w:r w:rsidR="00C45A5B">
          <w:rPr>
            <w:noProof/>
            <w:webHidden/>
          </w:rPr>
          <w:t>25</w:t>
        </w:r>
        <w:r>
          <w:rPr>
            <w:noProof/>
            <w:webHidden/>
          </w:rPr>
          <w:fldChar w:fldCharType="end"/>
        </w:r>
      </w:hyperlink>
    </w:p>
    <w:p w14:paraId="1C3679E6" w14:textId="119AC467" w:rsidR="00420DE4" w:rsidRDefault="00420DE4">
      <w:pPr>
        <w:pStyle w:val="TOC2"/>
        <w:rPr>
          <w:rFonts w:asciiTheme="minorHAnsi" w:eastAsiaTheme="minorEastAsia" w:hAnsiTheme="minorHAnsi"/>
          <w:noProof/>
          <w:kern w:val="2"/>
          <w:sz w:val="24"/>
          <w:szCs w:val="24"/>
          <w:lang w:eastAsia="en-AU"/>
          <w14:ligatures w14:val="standardContextual"/>
        </w:rPr>
      </w:pPr>
      <w:hyperlink w:anchor="_Toc232079497" w:history="1">
        <w:r w:rsidRPr="007161A9">
          <w:rPr>
            <w:rStyle w:val="Hyperlink"/>
            <w:noProof/>
          </w:rPr>
          <w:t>2.3 What kinds of policy response might accelerate methane abatement?</w:t>
        </w:r>
        <w:r>
          <w:rPr>
            <w:noProof/>
            <w:webHidden/>
          </w:rPr>
          <w:tab/>
        </w:r>
        <w:r>
          <w:rPr>
            <w:noProof/>
            <w:webHidden/>
          </w:rPr>
          <w:fldChar w:fldCharType="begin"/>
        </w:r>
        <w:r>
          <w:rPr>
            <w:noProof/>
            <w:webHidden/>
          </w:rPr>
          <w:instrText xml:space="preserve"> PAGEREF _Toc232079497 \h </w:instrText>
        </w:r>
        <w:r>
          <w:rPr>
            <w:noProof/>
            <w:webHidden/>
          </w:rPr>
        </w:r>
        <w:r>
          <w:rPr>
            <w:noProof/>
            <w:webHidden/>
          </w:rPr>
          <w:fldChar w:fldCharType="separate"/>
        </w:r>
        <w:r w:rsidR="00C45A5B">
          <w:rPr>
            <w:noProof/>
            <w:webHidden/>
          </w:rPr>
          <w:t>25</w:t>
        </w:r>
        <w:r>
          <w:rPr>
            <w:noProof/>
            <w:webHidden/>
          </w:rPr>
          <w:fldChar w:fldCharType="end"/>
        </w:r>
      </w:hyperlink>
    </w:p>
    <w:p w14:paraId="70EF1B75" w14:textId="6A835BA3" w:rsidR="00420DE4" w:rsidRDefault="00420DE4">
      <w:pPr>
        <w:pStyle w:val="TOC2"/>
        <w:rPr>
          <w:rFonts w:asciiTheme="minorHAnsi" w:eastAsiaTheme="minorEastAsia" w:hAnsiTheme="minorHAnsi"/>
          <w:noProof/>
          <w:kern w:val="2"/>
          <w:sz w:val="24"/>
          <w:szCs w:val="24"/>
          <w:lang w:eastAsia="en-AU"/>
          <w14:ligatures w14:val="standardContextual"/>
        </w:rPr>
      </w:pPr>
      <w:hyperlink w:anchor="_Toc232079498" w:history="1">
        <w:r w:rsidRPr="007161A9">
          <w:rPr>
            <w:rStyle w:val="Hyperlink"/>
            <w:noProof/>
          </w:rPr>
          <w:t>2.4 Using GWP-20 as an additional analytical lens</w:t>
        </w:r>
        <w:r>
          <w:rPr>
            <w:noProof/>
            <w:webHidden/>
          </w:rPr>
          <w:tab/>
        </w:r>
        <w:r>
          <w:rPr>
            <w:noProof/>
            <w:webHidden/>
          </w:rPr>
          <w:fldChar w:fldCharType="begin"/>
        </w:r>
        <w:r>
          <w:rPr>
            <w:noProof/>
            <w:webHidden/>
          </w:rPr>
          <w:instrText xml:space="preserve"> PAGEREF _Toc232079498 \h </w:instrText>
        </w:r>
        <w:r>
          <w:rPr>
            <w:noProof/>
            <w:webHidden/>
          </w:rPr>
        </w:r>
        <w:r>
          <w:rPr>
            <w:noProof/>
            <w:webHidden/>
          </w:rPr>
          <w:fldChar w:fldCharType="separate"/>
        </w:r>
        <w:r w:rsidR="00C45A5B">
          <w:rPr>
            <w:noProof/>
            <w:webHidden/>
          </w:rPr>
          <w:t>27</w:t>
        </w:r>
        <w:r>
          <w:rPr>
            <w:noProof/>
            <w:webHidden/>
          </w:rPr>
          <w:fldChar w:fldCharType="end"/>
        </w:r>
      </w:hyperlink>
    </w:p>
    <w:p w14:paraId="1FFD4C78" w14:textId="21B6B3EC" w:rsidR="00420DE4" w:rsidRDefault="00420DE4">
      <w:pPr>
        <w:pStyle w:val="TOC2"/>
        <w:rPr>
          <w:rFonts w:asciiTheme="minorHAnsi" w:eastAsiaTheme="minorEastAsia" w:hAnsiTheme="minorHAnsi"/>
          <w:noProof/>
          <w:kern w:val="2"/>
          <w:sz w:val="24"/>
          <w:szCs w:val="24"/>
          <w:lang w:eastAsia="en-AU"/>
          <w14:ligatures w14:val="standardContextual"/>
        </w:rPr>
      </w:pPr>
      <w:hyperlink w:anchor="_Toc232079499" w:history="1">
        <w:r w:rsidRPr="007161A9">
          <w:rPr>
            <w:rStyle w:val="Hyperlink"/>
            <w:noProof/>
          </w:rPr>
          <w:t>2.5 How the Authority will assess policy options</w:t>
        </w:r>
        <w:r>
          <w:rPr>
            <w:noProof/>
            <w:webHidden/>
          </w:rPr>
          <w:tab/>
        </w:r>
        <w:r>
          <w:rPr>
            <w:noProof/>
            <w:webHidden/>
          </w:rPr>
          <w:fldChar w:fldCharType="begin"/>
        </w:r>
        <w:r>
          <w:rPr>
            <w:noProof/>
            <w:webHidden/>
          </w:rPr>
          <w:instrText xml:space="preserve"> PAGEREF _Toc232079499 \h </w:instrText>
        </w:r>
        <w:r>
          <w:rPr>
            <w:noProof/>
            <w:webHidden/>
          </w:rPr>
        </w:r>
        <w:r>
          <w:rPr>
            <w:noProof/>
            <w:webHidden/>
          </w:rPr>
          <w:fldChar w:fldCharType="separate"/>
        </w:r>
        <w:r w:rsidR="00C45A5B">
          <w:rPr>
            <w:noProof/>
            <w:webHidden/>
          </w:rPr>
          <w:t>29</w:t>
        </w:r>
        <w:r>
          <w:rPr>
            <w:noProof/>
            <w:webHidden/>
          </w:rPr>
          <w:fldChar w:fldCharType="end"/>
        </w:r>
      </w:hyperlink>
    </w:p>
    <w:p w14:paraId="536B5FE6" w14:textId="2AA8E548" w:rsidR="00420DE4" w:rsidRDefault="00420DE4">
      <w:pPr>
        <w:pStyle w:val="TOC1"/>
        <w:rPr>
          <w:rFonts w:eastAsiaTheme="minorEastAsia"/>
          <w:b w:val="0"/>
          <w:bCs w:val="0"/>
          <w:kern w:val="2"/>
          <w:sz w:val="24"/>
          <w:szCs w:val="24"/>
          <w:lang w:eastAsia="en-AU"/>
          <w14:ligatures w14:val="standardContextual"/>
        </w:rPr>
      </w:pPr>
      <w:hyperlink w:anchor="_Toc232079500" w:history="1">
        <w:r w:rsidRPr="007161A9">
          <w:rPr>
            <w:rStyle w:val="Hyperlink"/>
          </w:rPr>
          <w:t>Appendices</w:t>
        </w:r>
        <w:r>
          <w:rPr>
            <w:webHidden/>
          </w:rPr>
          <w:tab/>
        </w:r>
        <w:r>
          <w:rPr>
            <w:webHidden/>
          </w:rPr>
          <w:fldChar w:fldCharType="begin"/>
        </w:r>
        <w:r>
          <w:rPr>
            <w:webHidden/>
          </w:rPr>
          <w:instrText xml:space="preserve"> PAGEREF _Toc232079500 \h </w:instrText>
        </w:r>
        <w:r>
          <w:rPr>
            <w:webHidden/>
          </w:rPr>
        </w:r>
        <w:r>
          <w:rPr>
            <w:webHidden/>
          </w:rPr>
          <w:fldChar w:fldCharType="separate"/>
        </w:r>
        <w:r w:rsidR="00C45A5B">
          <w:rPr>
            <w:webHidden/>
          </w:rPr>
          <w:t>30</w:t>
        </w:r>
        <w:r>
          <w:rPr>
            <w:webHidden/>
          </w:rPr>
          <w:fldChar w:fldCharType="end"/>
        </w:r>
      </w:hyperlink>
    </w:p>
    <w:p w14:paraId="594ADF42" w14:textId="2584811E" w:rsidR="00420DE4" w:rsidRDefault="00420DE4">
      <w:pPr>
        <w:pStyle w:val="TOC2"/>
        <w:rPr>
          <w:rFonts w:asciiTheme="minorHAnsi" w:eastAsiaTheme="minorEastAsia" w:hAnsiTheme="minorHAnsi"/>
          <w:noProof/>
          <w:kern w:val="2"/>
          <w:sz w:val="24"/>
          <w:szCs w:val="24"/>
          <w:lang w:eastAsia="en-AU"/>
          <w14:ligatures w14:val="standardContextual"/>
        </w:rPr>
      </w:pPr>
      <w:hyperlink w:anchor="_Toc232079501" w:history="1">
        <w:r w:rsidRPr="007161A9">
          <w:rPr>
            <w:rStyle w:val="Hyperlink"/>
            <w:noProof/>
          </w:rPr>
          <w:t>Appendix A: Sources of fossil methane emissions</w:t>
        </w:r>
        <w:r>
          <w:rPr>
            <w:noProof/>
            <w:webHidden/>
          </w:rPr>
          <w:tab/>
        </w:r>
        <w:r>
          <w:rPr>
            <w:noProof/>
            <w:webHidden/>
          </w:rPr>
          <w:fldChar w:fldCharType="begin"/>
        </w:r>
        <w:r>
          <w:rPr>
            <w:noProof/>
            <w:webHidden/>
          </w:rPr>
          <w:instrText xml:space="preserve"> PAGEREF _Toc232079501 \h </w:instrText>
        </w:r>
        <w:r>
          <w:rPr>
            <w:noProof/>
            <w:webHidden/>
          </w:rPr>
        </w:r>
        <w:r>
          <w:rPr>
            <w:noProof/>
            <w:webHidden/>
          </w:rPr>
          <w:fldChar w:fldCharType="separate"/>
        </w:r>
        <w:r w:rsidR="00C45A5B">
          <w:rPr>
            <w:noProof/>
            <w:webHidden/>
          </w:rPr>
          <w:t>30</w:t>
        </w:r>
        <w:r>
          <w:rPr>
            <w:noProof/>
            <w:webHidden/>
          </w:rPr>
          <w:fldChar w:fldCharType="end"/>
        </w:r>
      </w:hyperlink>
    </w:p>
    <w:p w14:paraId="2863C59D" w14:textId="21660B01" w:rsidR="00420DE4" w:rsidRDefault="00420DE4">
      <w:pPr>
        <w:pStyle w:val="TOC2"/>
        <w:rPr>
          <w:rFonts w:asciiTheme="minorHAnsi" w:eastAsiaTheme="minorEastAsia" w:hAnsiTheme="minorHAnsi"/>
          <w:noProof/>
          <w:kern w:val="2"/>
          <w:sz w:val="24"/>
          <w:szCs w:val="24"/>
          <w:lang w:eastAsia="en-AU"/>
          <w14:ligatures w14:val="standardContextual"/>
        </w:rPr>
      </w:pPr>
      <w:hyperlink w:anchor="_Toc232079502" w:history="1">
        <w:r w:rsidRPr="007161A9">
          <w:rPr>
            <w:rStyle w:val="Hyperlink"/>
            <w:noProof/>
          </w:rPr>
          <w:t>Appendix B: Fossil methane abatement technologies</w:t>
        </w:r>
        <w:r>
          <w:rPr>
            <w:noProof/>
            <w:webHidden/>
          </w:rPr>
          <w:tab/>
        </w:r>
        <w:r>
          <w:rPr>
            <w:noProof/>
            <w:webHidden/>
          </w:rPr>
          <w:fldChar w:fldCharType="begin"/>
        </w:r>
        <w:r>
          <w:rPr>
            <w:noProof/>
            <w:webHidden/>
          </w:rPr>
          <w:instrText xml:space="preserve"> PAGEREF _Toc232079502 \h </w:instrText>
        </w:r>
        <w:r>
          <w:rPr>
            <w:noProof/>
            <w:webHidden/>
          </w:rPr>
        </w:r>
        <w:r>
          <w:rPr>
            <w:noProof/>
            <w:webHidden/>
          </w:rPr>
          <w:fldChar w:fldCharType="separate"/>
        </w:r>
        <w:r w:rsidR="00C45A5B">
          <w:rPr>
            <w:noProof/>
            <w:webHidden/>
          </w:rPr>
          <w:t>33</w:t>
        </w:r>
        <w:r>
          <w:rPr>
            <w:noProof/>
            <w:webHidden/>
          </w:rPr>
          <w:fldChar w:fldCharType="end"/>
        </w:r>
      </w:hyperlink>
    </w:p>
    <w:p w14:paraId="16A0DB53" w14:textId="04FDFBFD" w:rsidR="00420DE4" w:rsidRDefault="00420DE4">
      <w:pPr>
        <w:pStyle w:val="TOC2"/>
        <w:rPr>
          <w:rFonts w:asciiTheme="minorHAnsi" w:eastAsiaTheme="minorEastAsia" w:hAnsiTheme="minorHAnsi"/>
          <w:noProof/>
          <w:kern w:val="2"/>
          <w:sz w:val="24"/>
          <w:szCs w:val="24"/>
          <w:lang w:eastAsia="en-AU"/>
          <w14:ligatures w14:val="standardContextual"/>
        </w:rPr>
      </w:pPr>
      <w:hyperlink w:anchor="_Toc232079503" w:history="1">
        <w:r w:rsidRPr="007161A9">
          <w:rPr>
            <w:rStyle w:val="Hyperlink"/>
            <w:noProof/>
          </w:rPr>
          <w:t>Appendix C: List of policies and regulations relevant to fossil methane</w:t>
        </w:r>
        <w:r>
          <w:rPr>
            <w:noProof/>
            <w:webHidden/>
          </w:rPr>
          <w:tab/>
        </w:r>
        <w:r>
          <w:rPr>
            <w:noProof/>
            <w:webHidden/>
          </w:rPr>
          <w:fldChar w:fldCharType="begin"/>
        </w:r>
        <w:r>
          <w:rPr>
            <w:noProof/>
            <w:webHidden/>
          </w:rPr>
          <w:instrText xml:space="preserve"> PAGEREF _Toc232079503 \h </w:instrText>
        </w:r>
        <w:r>
          <w:rPr>
            <w:noProof/>
            <w:webHidden/>
          </w:rPr>
        </w:r>
        <w:r>
          <w:rPr>
            <w:noProof/>
            <w:webHidden/>
          </w:rPr>
          <w:fldChar w:fldCharType="separate"/>
        </w:r>
        <w:r w:rsidR="00C45A5B">
          <w:rPr>
            <w:noProof/>
            <w:webHidden/>
          </w:rPr>
          <w:t>34</w:t>
        </w:r>
        <w:r>
          <w:rPr>
            <w:noProof/>
            <w:webHidden/>
          </w:rPr>
          <w:fldChar w:fldCharType="end"/>
        </w:r>
      </w:hyperlink>
    </w:p>
    <w:p w14:paraId="340AB6FA" w14:textId="12AF345B" w:rsidR="00420DE4" w:rsidRDefault="00420DE4">
      <w:pPr>
        <w:pStyle w:val="TOC2"/>
        <w:rPr>
          <w:rFonts w:asciiTheme="minorHAnsi" w:eastAsiaTheme="minorEastAsia" w:hAnsiTheme="minorHAnsi"/>
          <w:noProof/>
          <w:kern w:val="2"/>
          <w:sz w:val="24"/>
          <w:szCs w:val="24"/>
          <w:lang w:eastAsia="en-AU"/>
          <w14:ligatures w14:val="standardContextual"/>
        </w:rPr>
      </w:pPr>
      <w:hyperlink w:anchor="_Toc232079504" w:history="1">
        <w:r w:rsidRPr="007161A9">
          <w:rPr>
            <w:rStyle w:val="Hyperlink"/>
            <w:noProof/>
          </w:rPr>
          <w:t>Appendix D: Status of the Authority’s 2023 NGER Review recommendations (numbers 15-22)</w:t>
        </w:r>
        <w:r>
          <w:rPr>
            <w:noProof/>
            <w:webHidden/>
          </w:rPr>
          <w:tab/>
        </w:r>
        <w:r>
          <w:rPr>
            <w:noProof/>
            <w:webHidden/>
          </w:rPr>
          <w:fldChar w:fldCharType="begin"/>
        </w:r>
        <w:r>
          <w:rPr>
            <w:noProof/>
            <w:webHidden/>
          </w:rPr>
          <w:instrText xml:space="preserve"> PAGEREF _Toc232079504 \h </w:instrText>
        </w:r>
        <w:r>
          <w:rPr>
            <w:noProof/>
            <w:webHidden/>
          </w:rPr>
        </w:r>
        <w:r>
          <w:rPr>
            <w:noProof/>
            <w:webHidden/>
          </w:rPr>
          <w:fldChar w:fldCharType="separate"/>
        </w:r>
        <w:r w:rsidR="00C45A5B">
          <w:rPr>
            <w:noProof/>
            <w:webHidden/>
          </w:rPr>
          <w:t>37</w:t>
        </w:r>
        <w:r>
          <w:rPr>
            <w:noProof/>
            <w:webHidden/>
          </w:rPr>
          <w:fldChar w:fldCharType="end"/>
        </w:r>
      </w:hyperlink>
    </w:p>
    <w:p w14:paraId="1A1A54A9" w14:textId="63B09686" w:rsidR="00420DE4" w:rsidRDefault="00420DE4">
      <w:pPr>
        <w:pStyle w:val="TOC1"/>
        <w:rPr>
          <w:rFonts w:eastAsiaTheme="minorEastAsia"/>
          <w:b w:val="0"/>
          <w:bCs w:val="0"/>
          <w:kern w:val="2"/>
          <w:sz w:val="24"/>
          <w:szCs w:val="24"/>
          <w:lang w:eastAsia="en-AU"/>
          <w14:ligatures w14:val="standardContextual"/>
        </w:rPr>
      </w:pPr>
      <w:hyperlink w:anchor="_Toc232079505" w:history="1">
        <w:r w:rsidRPr="007161A9">
          <w:rPr>
            <w:rStyle w:val="Hyperlink"/>
          </w:rPr>
          <w:t>References</w:t>
        </w:r>
        <w:r>
          <w:rPr>
            <w:webHidden/>
          </w:rPr>
          <w:tab/>
        </w:r>
        <w:r>
          <w:rPr>
            <w:webHidden/>
          </w:rPr>
          <w:fldChar w:fldCharType="begin"/>
        </w:r>
        <w:r>
          <w:rPr>
            <w:webHidden/>
          </w:rPr>
          <w:instrText xml:space="preserve"> PAGEREF _Toc232079505 \h </w:instrText>
        </w:r>
        <w:r>
          <w:rPr>
            <w:webHidden/>
          </w:rPr>
        </w:r>
        <w:r>
          <w:rPr>
            <w:webHidden/>
          </w:rPr>
          <w:fldChar w:fldCharType="separate"/>
        </w:r>
        <w:r w:rsidR="00C45A5B">
          <w:rPr>
            <w:webHidden/>
          </w:rPr>
          <w:t>40</w:t>
        </w:r>
        <w:r>
          <w:rPr>
            <w:webHidden/>
          </w:rPr>
          <w:fldChar w:fldCharType="end"/>
        </w:r>
      </w:hyperlink>
    </w:p>
    <w:p w14:paraId="69E6252F" w14:textId="4469FDE2" w:rsidR="00FB54CF" w:rsidRDefault="00D6363F" w:rsidP="003F7E84">
      <w:r w:rsidRPr="00EE2D3F">
        <w:rPr>
          <w:rFonts w:ascii="Aptos" w:hAnsi="Aptos"/>
        </w:rPr>
        <w:fldChar w:fldCharType="end"/>
      </w:r>
      <w:r w:rsidR="00FB54CF">
        <w:br w:type="page"/>
      </w:r>
    </w:p>
    <w:p w14:paraId="32AFADAD" w14:textId="2E50126B" w:rsidR="0078099F" w:rsidRDefault="0078099F" w:rsidP="004D345F">
      <w:pPr>
        <w:pStyle w:val="L1Heading"/>
      </w:pPr>
      <w:bookmarkStart w:id="15" w:name="_Toc231298016"/>
      <w:bookmarkStart w:id="16" w:name="_Toc231557398"/>
      <w:bookmarkStart w:id="17" w:name="_Toc227942634"/>
      <w:bookmarkStart w:id="18" w:name="_Toc232079478"/>
      <w:r>
        <w:lastRenderedPageBreak/>
        <w:t>Summary</w:t>
      </w:r>
      <w:bookmarkEnd w:id="15"/>
      <w:bookmarkEnd w:id="16"/>
      <w:bookmarkEnd w:id="18"/>
      <w:r>
        <w:t xml:space="preserve"> </w:t>
      </w:r>
      <w:bookmarkEnd w:id="17"/>
    </w:p>
    <w:p w14:paraId="18A68864" w14:textId="1055A70B" w:rsidR="0078099F" w:rsidRDefault="0078099F" w:rsidP="0078099F">
      <w:r w:rsidRPr="00684C0D">
        <w:t xml:space="preserve">This consultation paper examines how Australia could accelerate reductions in fossil methane emissions. </w:t>
      </w:r>
      <w:r>
        <w:t>M</w:t>
      </w:r>
      <w:r w:rsidRPr="00684C0D">
        <w:t>ethane has a large impact on warming in the near term</w:t>
      </w:r>
      <w:r>
        <w:t xml:space="preserve"> and</w:t>
      </w:r>
      <w:r w:rsidRPr="00684C0D">
        <w:t xml:space="preserve"> fossil methane is one of the most practical opportunities for </w:t>
      </w:r>
      <w:r>
        <w:t>near-term</w:t>
      </w:r>
      <w:r w:rsidRPr="00684C0D">
        <w:t xml:space="preserve"> abatement</w:t>
      </w:r>
      <w:r>
        <w:t xml:space="preserve">. </w:t>
      </w:r>
    </w:p>
    <w:p w14:paraId="47CB13D5" w14:textId="01AE3F25" w:rsidR="0078099F" w:rsidRDefault="0078099F" w:rsidP="0078099F">
      <w:r w:rsidRPr="00684C0D">
        <w:t xml:space="preserve">Through this paper, the Authority is seeking evidence and views on </w:t>
      </w:r>
      <w:r>
        <w:t xml:space="preserve">the practical technologies and other opportunities to </w:t>
      </w:r>
      <w:r w:rsidRPr="00684C0D">
        <w:t>reduce fossil methane emissions more quickly</w:t>
      </w:r>
      <w:r>
        <w:t>, barriers to their uptake, the impact</w:t>
      </w:r>
      <w:r w:rsidRPr="00684C0D">
        <w:t xml:space="preserve"> current policies are already </w:t>
      </w:r>
      <w:r>
        <w:t xml:space="preserve">having, </w:t>
      </w:r>
      <w:r w:rsidRPr="00684C0D">
        <w:t xml:space="preserve">and what </w:t>
      </w:r>
      <w:r>
        <w:t xml:space="preserve">further </w:t>
      </w:r>
      <w:r w:rsidRPr="00684C0D">
        <w:t>policies or other measures could help.</w:t>
      </w:r>
    </w:p>
    <w:p w14:paraId="54C4B25C" w14:textId="5AD739CE" w:rsidR="0078099F" w:rsidRPr="00FF79F3" w:rsidRDefault="0078099F" w:rsidP="00E3684D">
      <w:pPr>
        <w:pStyle w:val="L2Sub-heading"/>
      </w:pPr>
      <w:bookmarkStart w:id="19" w:name="_Toc231557399"/>
      <w:bookmarkStart w:id="20" w:name="_Toc232079479"/>
      <w:r>
        <w:t>Why methane matters</w:t>
      </w:r>
      <w:bookmarkEnd w:id="19"/>
      <w:bookmarkEnd w:id="20"/>
    </w:p>
    <w:p w14:paraId="16E8304D" w14:textId="69746557" w:rsidR="000F64F1" w:rsidRPr="00FA4016" w:rsidRDefault="000F64F1" w:rsidP="000F64F1">
      <w:bookmarkStart w:id="21" w:name="_Toc231557400"/>
      <w:r w:rsidRPr="007547B8">
        <w:t>Methane has a much stronger warming effect than carbon dioxide, but it has a much shorter atmospheric lifetime</w:t>
      </w:r>
      <w:r w:rsidR="009C616D">
        <w:t xml:space="preserve"> </w:t>
      </w:r>
      <w:r w:rsidRPr="007547B8">
        <w:t>—</w:t>
      </w:r>
      <w:r w:rsidR="009C616D">
        <w:t xml:space="preserve"> </w:t>
      </w:r>
      <w:r w:rsidRPr="007547B8">
        <w:t>about 12 years on average</w:t>
      </w:r>
      <w:r w:rsidR="009C616D">
        <w:t xml:space="preserve"> </w:t>
      </w:r>
      <w:r w:rsidRPr="007547B8">
        <w:t>—</w:t>
      </w:r>
      <w:r w:rsidR="009C616D">
        <w:t xml:space="preserve"> </w:t>
      </w:r>
      <w:r w:rsidRPr="007547B8">
        <w:t xml:space="preserve">and </w:t>
      </w:r>
      <w:r w:rsidRPr="00F7105F">
        <w:t>gradually breaks</w:t>
      </w:r>
      <w:r w:rsidRPr="007547B8">
        <w:t xml:space="preserve"> down into carbon dioxide and water.</w:t>
      </w:r>
    </w:p>
    <w:p w14:paraId="6491A893" w14:textId="77777777" w:rsidR="000F64F1" w:rsidRPr="004F3590" w:rsidRDefault="000F64F1" w:rsidP="000F64F1">
      <w:pPr>
        <w:spacing w:before="60" w:after="60"/>
      </w:pPr>
      <w:r w:rsidRPr="004F3590">
        <w:t xml:space="preserve">Because it is short-lived, </w:t>
      </w:r>
      <w:r>
        <w:t>reducing</w:t>
      </w:r>
      <w:r w:rsidRPr="004F3590">
        <w:t xml:space="preserve"> methane emissions</w:t>
      </w:r>
      <w:r>
        <w:t xml:space="preserve"> </w:t>
      </w:r>
      <w:r w:rsidRPr="00A602A0">
        <w:t xml:space="preserve">now can </w:t>
      </w:r>
      <w:r>
        <w:t xml:space="preserve">reduce its concentration in the atmosphere in the near term </w:t>
      </w:r>
      <w:r w:rsidRPr="00DA77C2">
        <w:rPr>
          <w:color w:val="000000"/>
        </w:rPr>
        <w:t>(Copernicus 2022</w:t>
      </w:r>
      <w:r w:rsidRPr="006948B9">
        <w:rPr>
          <w:color w:val="000000"/>
        </w:rPr>
        <w:t>)</w:t>
      </w:r>
      <w:r>
        <w:t>.</w:t>
      </w:r>
      <w:r w:rsidRPr="00A602A0">
        <w:t xml:space="preserve"> That means cuts made today </w:t>
      </w:r>
      <w:r>
        <w:t xml:space="preserve">are </w:t>
      </w:r>
      <w:r w:rsidRPr="004F3590">
        <w:t>one of the fastest ways to slow near-term global warming</w:t>
      </w:r>
      <w:r>
        <w:t xml:space="preserve"> </w:t>
      </w:r>
      <w:r w:rsidRPr="00DA77C2">
        <w:rPr>
          <w:rFonts w:eastAsia="Times New Roman"/>
          <w:color w:val="000000"/>
        </w:rPr>
        <w:t>(IPCC 2023</w:t>
      </w:r>
      <w:r w:rsidRPr="006948B9">
        <w:rPr>
          <w:rFonts w:eastAsia="Times New Roman"/>
          <w:color w:val="000000"/>
        </w:rPr>
        <w:t>)</w:t>
      </w:r>
      <w:r>
        <w:rPr>
          <w:color w:val="000000"/>
        </w:rPr>
        <w:t>.</w:t>
      </w:r>
    </w:p>
    <w:p w14:paraId="42FD0EDB" w14:textId="77777777" w:rsidR="000F64F1" w:rsidRDefault="000F64F1" w:rsidP="000F64F1">
      <w:r>
        <w:t xml:space="preserve">Human-caused methane emissions are responsible for about 0.3 °C of warming since pre-industrial levels </w:t>
      </w:r>
      <w:r w:rsidRPr="00DA77C2">
        <w:rPr>
          <w:color w:val="000000"/>
        </w:rPr>
        <w:t>(OECD 2025</w:t>
      </w:r>
      <w:r w:rsidRPr="006948B9">
        <w:rPr>
          <w:color w:val="000000"/>
        </w:rPr>
        <w:t>)</w:t>
      </w:r>
      <w:r>
        <w:t>. S</w:t>
      </w:r>
      <w:r w:rsidRPr="00FF79F3">
        <w:t>harp reductions this decade could limit how high temperatures rise and how long they remain above</w:t>
      </w:r>
      <w:r>
        <w:t xml:space="preserve"> the Paris Agreement’s targeted </w:t>
      </w:r>
      <w:r w:rsidRPr="00FF79F3">
        <w:t>1.5</w:t>
      </w:r>
      <w:r>
        <w:t xml:space="preserve"> </w:t>
      </w:r>
      <w:r w:rsidRPr="00FF79F3">
        <w:t>°C</w:t>
      </w:r>
      <w:r>
        <w:t xml:space="preserve"> limit </w:t>
      </w:r>
      <w:r w:rsidRPr="00DA77C2">
        <w:rPr>
          <w:color w:val="000000"/>
        </w:rPr>
        <w:t>(UNEP 2024</w:t>
      </w:r>
      <w:r w:rsidRPr="00A61374">
        <w:rPr>
          <w:color w:val="000000"/>
        </w:rPr>
        <w:t>)</w:t>
      </w:r>
      <w:r>
        <w:t>.</w:t>
      </w:r>
      <w:r w:rsidRPr="00FF79F3" w:rsidDel="0092060E">
        <w:t xml:space="preserve"> </w:t>
      </w:r>
    </w:p>
    <w:p w14:paraId="012FC047" w14:textId="77777777" w:rsidR="000F64F1" w:rsidRDefault="000F64F1" w:rsidP="000F64F1">
      <w:r>
        <w:t>Including Australia,</w:t>
      </w:r>
      <w:r w:rsidRPr="00DD025D">
        <w:t xml:space="preserve"> </w:t>
      </w:r>
      <w:r>
        <w:t>159 countries</w:t>
      </w:r>
      <w:r w:rsidRPr="00FF79F3">
        <w:t xml:space="preserve"> </w:t>
      </w:r>
      <w:r>
        <w:t xml:space="preserve">have </w:t>
      </w:r>
      <w:r w:rsidRPr="00FF79F3">
        <w:t>join</w:t>
      </w:r>
      <w:r>
        <w:t>ed</w:t>
      </w:r>
      <w:r w:rsidRPr="00DD025D">
        <w:t xml:space="preserve"> the Global Methane Pledge to reduce </w:t>
      </w:r>
      <w:r>
        <w:t xml:space="preserve">global </w:t>
      </w:r>
      <w:r w:rsidRPr="00DD025D">
        <w:t>methane emissions to at least 30% below 2020 levels</w:t>
      </w:r>
      <w:r>
        <w:t xml:space="preserve"> </w:t>
      </w:r>
      <w:r w:rsidRPr="00B87471">
        <w:t xml:space="preserve">by </w:t>
      </w:r>
      <w:r>
        <w:t>2030</w:t>
      </w:r>
      <w:r w:rsidRPr="00FF79F3">
        <w:t xml:space="preserve">. </w:t>
      </w:r>
      <w:r>
        <w:t xml:space="preserve">Achieving this reduction </w:t>
      </w:r>
      <w:r w:rsidRPr="00B87471">
        <w:t xml:space="preserve">could </w:t>
      </w:r>
      <w:r>
        <w:t>avoid</w:t>
      </w:r>
      <w:r w:rsidRPr="00B87471">
        <w:t xml:space="preserve"> over 0.2</w:t>
      </w:r>
      <w:r>
        <w:t xml:space="preserve"> </w:t>
      </w:r>
      <w:r w:rsidRPr="00FF79F3">
        <w:t>°C</w:t>
      </w:r>
      <w:r w:rsidRPr="00B87471">
        <w:t xml:space="preserve"> warming by 2050</w:t>
      </w:r>
      <w:r>
        <w:t xml:space="preserve">, buying valuable time while the longer-term benefits of carbon dioxide reductions take effect </w:t>
      </w:r>
      <w:r w:rsidRPr="00DA77C2">
        <w:rPr>
          <w:bCs/>
          <w:color w:val="000000"/>
        </w:rPr>
        <w:t>(Global Methane Pledge 2026</w:t>
      </w:r>
      <w:r w:rsidRPr="006948B9">
        <w:rPr>
          <w:bCs/>
          <w:color w:val="000000"/>
        </w:rPr>
        <w:t>)</w:t>
      </w:r>
      <w:r>
        <w:t>.</w:t>
      </w:r>
    </w:p>
    <w:p w14:paraId="3CBFB2EB" w14:textId="74448F94" w:rsidR="0078099F" w:rsidRDefault="0078099F" w:rsidP="00E3684D">
      <w:pPr>
        <w:pStyle w:val="L2Sub-heading"/>
      </w:pPr>
      <w:bookmarkStart w:id="22" w:name="_Toc232079480"/>
      <w:r>
        <w:t>Why focus on fossil methane</w:t>
      </w:r>
      <w:bookmarkEnd w:id="21"/>
      <w:bookmarkEnd w:id="22"/>
    </w:p>
    <w:p w14:paraId="4F4835E9" w14:textId="77777777" w:rsidR="003E1809" w:rsidRDefault="003E1809" w:rsidP="003E1809">
      <w:bookmarkStart w:id="23" w:name="_Toc231557401"/>
      <w:r w:rsidRPr="00EA3ED4">
        <w:t>Agriculture is the largest source of human-caused methane emissions</w:t>
      </w:r>
      <w:r>
        <w:t xml:space="preserve"> in Australia</w:t>
      </w:r>
      <w:r w:rsidRPr="00EA3ED4">
        <w:t xml:space="preserve">, followed by </w:t>
      </w:r>
      <w:r>
        <w:t xml:space="preserve">the extraction, processing and distribution of fossil fuels, </w:t>
      </w:r>
      <w:r w:rsidRPr="00EA3ED4">
        <w:t xml:space="preserve">and then waste. </w:t>
      </w:r>
      <w:r>
        <w:t>While methane emissions will need to come down across all sectors</w:t>
      </w:r>
      <w:r w:rsidRPr="00EA3ED4">
        <w:t>, the Authority is focusing on</w:t>
      </w:r>
      <w:r>
        <w:t xml:space="preserve"> fossil methane this year</w:t>
      </w:r>
      <w:r w:rsidRPr="00EA3ED4">
        <w:t xml:space="preserve"> because it is one of the most practical opportunities for near-term emissions reductions. </w:t>
      </w:r>
      <w:r>
        <w:t xml:space="preserve">In contrast to agricultural methane, fossil methane </w:t>
      </w:r>
      <w:r w:rsidRPr="00104EE2">
        <w:t>come</w:t>
      </w:r>
      <w:r>
        <w:t>s</w:t>
      </w:r>
      <w:r w:rsidRPr="00104EE2">
        <w:t xml:space="preserve"> from a relatively small number of concentrated sources and </w:t>
      </w:r>
      <w:r>
        <w:t>there are well-established</w:t>
      </w:r>
      <w:r w:rsidRPr="00104EE2">
        <w:t xml:space="preserve"> technologies and practices </w:t>
      </w:r>
      <w:r>
        <w:t xml:space="preserve">to reduce it </w:t>
      </w:r>
      <w:r w:rsidRPr="00DA77C2">
        <w:rPr>
          <w:color w:val="000000"/>
        </w:rPr>
        <w:t>(IEA</w:t>
      </w:r>
      <w:r w:rsidRPr="00A61374">
        <w:rPr>
          <w:color w:val="000000"/>
        </w:rPr>
        <w:t xml:space="preserve"> 2026a</w:t>
      </w:r>
      <w:r w:rsidRPr="00DA77C2">
        <w:rPr>
          <w:color w:val="000000"/>
        </w:rPr>
        <w:t>; IPCC 2019</w:t>
      </w:r>
      <w:r w:rsidRPr="00A61374">
        <w:rPr>
          <w:color w:val="000000"/>
        </w:rPr>
        <w:t>)</w:t>
      </w:r>
      <w:r>
        <w:t>.</w:t>
      </w:r>
    </w:p>
    <w:p w14:paraId="204917C5" w14:textId="4D007E99" w:rsidR="003E1809" w:rsidRPr="00D27ABC" w:rsidRDefault="003E1809" w:rsidP="003E1809">
      <w:r>
        <w:t>F</w:t>
      </w:r>
      <w:r w:rsidRPr="00D27ABC">
        <w:t xml:space="preserve">ossil methane (also called fugitive methane) makes up around 24% of Australia’s reported methane emissions. Coal mining contributes 76% of reported fossil methane emissions, with most of the remainder coming from the gas sector </w:t>
      </w:r>
      <w:r w:rsidRPr="00DA77C2">
        <w:rPr>
          <w:noProof/>
          <w:color w:val="000000"/>
        </w:rPr>
        <w:t>(DCCEEW</w:t>
      </w:r>
      <w:r w:rsidRPr="006948B9">
        <w:rPr>
          <w:noProof/>
          <w:color w:val="000000"/>
        </w:rPr>
        <w:t xml:space="preserve"> 2026a)</w:t>
      </w:r>
      <w:r>
        <w:t>.</w:t>
      </w:r>
      <w:r w:rsidRPr="00D27ABC">
        <w:t xml:space="preserve"> In coal mining, methane </w:t>
      </w:r>
      <w:r w:rsidR="001070C6">
        <w:t xml:space="preserve">that is </w:t>
      </w:r>
      <w:r w:rsidRPr="00D27ABC">
        <w:t>naturally present in coal seams is released during mining and from underground ventilation and drainage systems. In the gas sector, emissions arise when natural gas — whose main component is methane — is vented, leaked or incompletely burned during flaring.</w:t>
      </w:r>
    </w:p>
    <w:p w14:paraId="2F21982A" w14:textId="77777777" w:rsidR="003E1809" w:rsidRDefault="003E1809" w:rsidP="003E1809">
      <w:r>
        <w:rPr>
          <w:rFonts w:eastAsia="Times New Roman"/>
          <w:lang w:eastAsia="en-AU"/>
        </w:rPr>
        <w:t xml:space="preserve">While the </w:t>
      </w:r>
      <w:r w:rsidRPr="585D7B17">
        <w:rPr>
          <w:rFonts w:eastAsia="Times New Roman"/>
          <w:lang w:eastAsia="en-AU"/>
        </w:rPr>
        <w:t xml:space="preserve">global </w:t>
      </w:r>
      <w:r>
        <w:rPr>
          <w:rFonts w:eastAsia="Times New Roman"/>
          <w:lang w:eastAsia="en-AU"/>
        </w:rPr>
        <w:t xml:space="preserve">transition away from fossil fuels will help reduce </w:t>
      </w:r>
      <w:r w:rsidRPr="00BE5867">
        <w:rPr>
          <w:rFonts w:eastAsia="Times New Roman"/>
          <w:lang w:eastAsia="en-AU"/>
        </w:rPr>
        <w:t>fossil methane</w:t>
      </w:r>
      <w:r>
        <w:rPr>
          <w:rFonts w:eastAsia="Times New Roman"/>
          <w:lang w:eastAsia="en-AU"/>
        </w:rPr>
        <w:t xml:space="preserve"> emissions over time, it will not eliminate them</w:t>
      </w:r>
      <w:r w:rsidRPr="00BE5867">
        <w:rPr>
          <w:rFonts w:eastAsia="Times New Roman"/>
          <w:lang w:eastAsia="en-AU"/>
        </w:rPr>
        <w:t xml:space="preserve">. </w:t>
      </w:r>
      <w:r>
        <w:rPr>
          <w:rFonts w:eastAsia="Times New Roman"/>
          <w:lang w:eastAsia="en-AU"/>
        </w:rPr>
        <w:t>International Energy Agency (</w:t>
      </w:r>
      <w:r w:rsidRPr="00BE5867">
        <w:rPr>
          <w:rFonts w:eastAsia="Times New Roman"/>
          <w:lang w:eastAsia="en-AU"/>
        </w:rPr>
        <w:t>IEA</w:t>
      </w:r>
      <w:r>
        <w:rPr>
          <w:rFonts w:eastAsia="Times New Roman"/>
          <w:lang w:eastAsia="en-AU"/>
        </w:rPr>
        <w:t>)</w:t>
      </w:r>
      <w:r w:rsidRPr="00BE5867">
        <w:rPr>
          <w:rFonts w:eastAsia="Times New Roman"/>
          <w:lang w:eastAsia="en-AU"/>
        </w:rPr>
        <w:t xml:space="preserve"> projections suggest that </w:t>
      </w:r>
      <w:r>
        <w:rPr>
          <w:rFonts w:eastAsia="Times New Roman"/>
          <w:lang w:eastAsia="en-AU"/>
        </w:rPr>
        <w:t>substantial fossil fuel production will continue to 2050</w:t>
      </w:r>
      <w:r w:rsidRPr="00C84BDC">
        <w:rPr>
          <w:rFonts w:eastAsia="Times New Roman"/>
          <w:lang w:eastAsia="en-AU"/>
        </w:rPr>
        <w:t xml:space="preserve"> </w:t>
      </w:r>
      <w:r>
        <w:rPr>
          <w:rFonts w:eastAsia="Times New Roman"/>
          <w:lang w:eastAsia="en-AU"/>
        </w:rPr>
        <w:t xml:space="preserve">under current policy settings </w:t>
      </w:r>
      <w:r w:rsidRPr="00DA77C2">
        <w:rPr>
          <w:color w:val="000000"/>
        </w:rPr>
        <w:t>(IEA</w:t>
      </w:r>
      <w:r w:rsidRPr="00BA56C9">
        <w:rPr>
          <w:color w:val="000000"/>
        </w:rPr>
        <w:t xml:space="preserve"> 2025b)</w:t>
      </w:r>
      <w:r>
        <w:rPr>
          <w:rFonts w:eastAsia="Times New Roman"/>
          <w:lang w:eastAsia="en-AU"/>
        </w:rPr>
        <w:t>. Even w</w:t>
      </w:r>
      <w:r w:rsidRPr="585D7B17">
        <w:rPr>
          <w:rFonts w:eastAsia="Times New Roman"/>
          <w:lang w:eastAsia="en-AU"/>
        </w:rPr>
        <w:t>ith stronger global action to limit warming to 1.5</w:t>
      </w:r>
      <w:r>
        <w:rPr>
          <w:rFonts w:eastAsia="Times New Roman"/>
          <w:lang w:eastAsia="en-AU"/>
        </w:rPr>
        <w:t xml:space="preserve"> </w:t>
      </w:r>
      <w:r>
        <w:t>°</w:t>
      </w:r>
      <w:r w:rsidRPr="585D7B17">
        <w:rPr>
          <w:rFonts w:eastAsia="Times New Roman"/>
          <w:lang w:eastAsia="en-AU"/>
        </w:rPr>
        <w:t>C, coal and gas production will continue for some time.</w:t>
      </w:r>
    </w:p>
    <w:p w14:paraId="749C5138" w14:textId="5F70861D" w:rsidR="0078099F" w:rsidRPr="00E26846" w:rsidRDefault="0078099F" w:rsidP="00E3684D">
      <w:pPr>
        <w:pStyle w:val="L2Sub-heading"/>
      </w:pPr>
      <w:bookmarkStart w:id="24" w:name="_Toc232079481"/>
      <w:r>
        <w:lastRenderedPageBreak/>
        <w:t>Opportunities to accelerate methane abatement</w:t>
      </w:r>
      <w:bookmarkEnd w:id="23"/>
      <w:bookmarkEnd w:id="24"/>
      <w:r>
        <w:t xml:space="preserve"> </w:t>
      </w:r>
    </w:p>
    <w:p w14:paraId="6A37CED3" w14:textId="2E654AAB" w:rsidR="00717F23" w:rsidRDefault="00717F23" w:rsidP="00717F23">
      <w:bookmarkStart w:id="25" w:name="_Toc231557402"/>
      <w:r>
        <w:t xml:space="preserve">The Australian Government already has policies that create incentives to reduce fossil methane. The Safeguard Mechanism, in particular, covers 75% of Australia’s fossil methane emissions </w:t>
      </w:r>
      <w:r w:rsidRPr="0053651D">
        <w:rPr>
          <w:color w:val="000000"/>
        </w:rPr>
        <w:t>(</w:t>
      </w:r>
      <w:r>
        <w:rPr>
          <w:color w:val="000000"/>
        </w:rPr>
        <w:t xml:space="preserve">CCA analysis of </w:t>
      </w:r>
      <w:r w:rsidRPr="0053651D">
        <w:rPr>
          <w:color w:val="000000"/>
        </w:rPr>
        <w:t>CER 2026; DCCEEW 2026)</w:t>
      </w:r>
      <w:r>
        <w:t xml:space="preserve">. It incentivises industrial facilities to reduce their emissions of all greenhouse gases; each gas is converted to a ‘carbon dioxide equivalent’ measure to guide decisions on how to direct effort across mitigation options. This conversion is based on the warming impact over a 100-year timescale. Given methane </w:t>
      </w:r>
      <w:r w:rsidDel="00524622">
        <w:t xml:space="preserve">is </w:t>
      </w:r>
      <w:r w:rsidRPr="004F3590">
        <w:t>highly potent and short-lived</w:t>
      </w:r>
      <w:r>
        <w:t xml:space="preserve">, this conversion can undervalue the near-term climate benefits of methane reductions. </w:t>
      </w:r>
    </w:p>
    <w:p w14:paraId="7A066245" w14:textId="0CDB7172" w:rsidR="00717F23" w:rsidRDefault="00717F23" w:rsidP="00717F23">
      <w:r>
        <w:t>Some state governments</w:t>
      </w:r>
      <w:r w:rsidRPr="00C5475A">
        <w:t xml:space="preserve"> </w:t>
      </w:r>
      <w:r>
        <w:t xml:space="preserve">are also driving methane reductions, through direct regulation and other measures </w:t>
      </w:r>
      <w:r w:rsidRPr="00DA77C2">
        <w:rPr>
          <w:color w:val="000000"/>
        </w:rPr>
        <w:t>(NSW EPA 2026b; Queensland Treasury 2026</w:t>
      </w:r>
      <w:r w:rsidRPr="00BA56C9">
        <w:rPr>
          <w:color w:val="000000"/>
        </w:rPr>
        <w:t>)</w:t>
      </w:r>
      <w:r>
        <w:t>. These complement the Safeguard Mechanism, helping realise near-term climate benefits, reduc</w:t>
      </w:r>
      <w:r w:rsidR="0043112D">
        <w:t>ing</w:t>
      </w:r>
      <w:r>
        <w:t xml:space="preserve"> </w:t>
      </w:r>
      <w:r w:rsidRPr="00037F6C">
        <w:t xml:space="preserve">near-term warming and </w:t>
      </w:r>
      <w:r w:rsidR="0043112D">
        <w:t xml:space="preserve">assisting to </w:t>
      </w:r>
      <w:r w:rsidRPr="00037F6C">
        <w:t>stabilis</w:t>
      </w:r>
      <w:r>
        <w:t>e</w:t>
      </w:r>
      <w:r w:rsidRPr="00037F6C">
        <w:t xml:space="preserve"> the climate in the coming decades.</w:t>
      </w:r>
      <w:r>
        <w:t xml:space="preserve"> </w:t>
      </w:r>
    </w:p>
    <w:p w14:paraId="43F55C44" w14:textId="77777777" w:rsidR="00D72A9B" w:rsidRDefault="00717F23" w:rsidP="00717F23">
      <w:r>
        <w:t>Through this consultation process, the Authority is seeking to understand</w:t>
      </w:r>
      <w:r w:rsidR="00D72A9B">
        <w:t>:</w:t>
      </w:r>
      <w:r>
        <w:t xml:space="preserve"> </w:t>
      </w:r>
    </w:p>
    <w:p w14:paraId="2AFA4CDD" w14:textId="5FBFC8F2" w:rsidR="00FA7BDE" w:rsidRPr="00A37F10" w:rsidRDefault="00717F23" w:rsidP="00FA7BDE">
      <w:pPr>
        <w:pStyle w:val="ListParagraph"/>
        <w:numPr>
          <w:ilvl w:val="0"/>
          <w:numId w:val="19"/>
        </w:numPr>
        <w:rPr>
          <w:sz w:val="21"/>
          <w:szCs w:val="21"/>
        </w:rPr>
      </w:pPr>
      <w:r w:rsidRPr="00A37F10">
        <w:rPr>
          <w:sz w:val="21"/>
          <w:szCs w:val="21"/>
        </w:rPr>
        <w:t>whe</w:t>
      </w:r>
      <w:r w:rsidR="00A154CB" w:rsidRPr="00A37F10">
        <w:rPr>
          <w:sz w:val="21"/>
          <w:szCs w:val="21"/>
        </w:rPr>
        <w:t>ther</w:t>
      </w:r>
      <w:r w:rsidRPr="00A37F10">
        <w:rPr>
          <w:sz w:val="21"/>
          <w:szCs w:val="21"/>
        </w:rPr>
        <w:t xml:space="preserve"> the broad price signal from the Safeguard Mechanism is enough to drive methane abatement in the near term</w:t>
      </w:r>
    </w:p>
    <w:p w14:paraId="684319D0" w14:textId="4C2A3F6C" w:rsidR="00FA7BDE" w:rsidRPr="00A37F10" w:rsidRDefault="00717F23" w:rsidP="00FA7BDE">
      <w:pPr>
        <w:pStyle w:val="ListParagraph"/>
        <w:numPr>
          <w:ilvl w:val="0"/>
          <w:numId w:val="19"/>
        </w:numPr>
        <w:rPr>
          <w:sz w:val="21"/>
          <w:szCs w:val="21"/>
        </w:rPr>
      </w:pPr>
      <w:r w:rsidRPr="00A37F10">
        <w:rPr>
          <w:sz w:val="21"/>
          <w:szCs w:val="21"/>
        </w:rPr>
        <w:t xml:space="preserve">where barriers are preventing this price signal from being effective </w:t>
      </w:r>
    </w:p>
    <w:p w14:paraId="61F4E74D" w14:textId="306070AD" w:rsidR="00717F23" w:rsidRPr="003E3F0A" w:rsidRDefault="00717F23" w:rsidP="00A37F10">
      <w:pPr>
        <w:pStyle w:val="ListParagraph"/>
        <w:numPr>
          <w:ilvl w:val="0"/>
          <w:numId w:val="19"/>
        </w:numPr>
        <w:rPr>
          <w:szCs w:val="21"/>
        </w:rPr>
      </w:pPr>
      <w:r w:rsidRPr="00A37F10">
        <w:rPr>
          <w:sz w:val="21"/>
          <w:szCs w:val="21"/>
        </w:rPr>
        <w:t>what kinds of goals, policies or actions by governments can complement existing measures to accelerate methane abatement in practice.</w:t>
      </w:r>
    </w:p>
    <w:p w14:paraId="0B5A6718" w14:textId="3834D55C" w:rsidR="00717F23" w:rsidRDefault="00717F23" w:rsidP="00717F23">
      <w:r>
        <w:t xml:space="preserve">The Authority will include its advice on accelerating fossil methane abatement alongside its advice on operation of the Safeguard Mechanism in its Annual Progress Advice </w:t>
      </w:r>
      <w:r w:rsidR="00433D91">
        <w:t>in late</w:t>
      </w:r>
      <w:r>
        <w:t xml:space="preserve"> 2026. This </w:t>
      </w:r>
      <w:r w:rsidR="00656D1C">
        <w:t>timeline</w:t>
      </w:r>
      <w:r>
        <w:t xml:space="preserve"> will enable the government to take the Authority’s advice into account in its 2026-27 review of the Safeguard Mechanism.</w:t>
      </w:r>
    </w:p>
    <w:p w14:paraId="1BCCB305" w14:textId="77777777" w:rsidR="0078099F" w:rsidRPr="00F04804" w:rsidRDefault="0078099F" w:rsidP="00E3684D">
      <w:pPr>
        <w:pStyle w:val="L2Sub-heading"/>
      </w:pPr>
      <w:bookmarkStart w:id="26" w:name="_Toc232079482"/>
      <w:r>
        <w:t>Improving methane measurement</w:t>
      </w:r>
      <w:bookmarkEnd w:id="25"/>
      <w:bookmarkEnd w:id="26"/>
    </w:p>
    <w:p w14:paraId="5AD35AFB" w14:textId="1DFB2BCA" w:rsidR="003D5FF7" w:rsidRDefault="003D5FF7" w:rsidP="003D5FF7">
      <w:r w:rsidRPr="00A43E7F">
        <w:t xml:space="preserve">Unless otherwise stated, emissions figures </w:t>
      </w:r>
      <w:r>
        <w:t>for Australia</w:t>
      </w:r>
      <w:r w:rsidRPr="00A43E7F">
        <w:t xml:space="preserve"> in this paper are drawn from Australia’s National Greenhouse Accounts and associated National Greenhouse and Energy Reporting (NGER) data </w:t>
      </w:r>
      <w:r w:rsidRPr="00DA77C2">
        <w:rPr>
          <w:color w:val="000000"/>
        </w:rPr>
        <w:t>(DCCEEW 2024c</w:t>
      </w:r>
      <w:r w:rsidRPr="00BA56C9">
        <w:rPr>
          <w:color w:val="000000"/>
        </w:rPr>
        <w:t>)</w:t>
      </w:r>
      <w:r w:rsidRPr="00492829">
        <w:t>.</w:t>
      </w:r>
      <w:r w:rsidRPr="00A43E7F">
        <w:t xml:space="preserve"> The Authority recognises that work is underway to improve the methane measurement and estimation methods that inform these data and that future changes to these methods may affect reported emissions levels. These issues are important, but they are not the primary focus of this </w:t>
      </w:r>
      <w:r w:rsidR="007601DF">
        <w:t>project</w:t>
      </w:r>
      <w:r w:rsidRPr="00A43E7F">
        <w:t>.</w:t>
      </w:r>
    </w:p>
    <w:p w14:paraId="3C69B345" w14:textId="1ABFF9ED" w:rsidR="005A01E8" w:rsidRDefault="005A01E8" w:rsidP="00397223"/>
    <w:p w14:paraId="51E3C23A" w14:textId="36E56AD0" w:rsidR="005A01E8" w:rsidRDefault="005A01E8">
      <w:pPr>
        <w:spacing w:before="0" w:after="160" w:line="279" w:lineRule="auto"/>
      </w:pPr>
      <w:r>
        <w:br w:type="page"/>
      </w:r>
    </w:p>
    <w:p w14:paraId="2B12BBC0" w14:textId="77777777" w:rsidR="009D603E" w:rsidRDefault="005A01E8" w:rsidP="009D603E">
      <w:pPr>
        <w:pStyle w:val="L1Heading"/>
        <w:spacing w:after="0"/>
      </w:pPr>
      <w:bookmarkStart w:id="27" w:name="_Toc231298017"/>
      <w:bookmarkStart w:id="28" w:name="_Toc231557403"/>
      <w:bookmarkStart w:id="29" w:name="_Toc227942640"/>
      <w:bookmarkStart w:id="30" w:name="_Toc232079483"/>
      <w:r>
        <w:lastRenderedPageBreak/>
        <w:t>Consultation questions</w:t>
      </w:r>
      <w:bookmarkEnd w:id="27"/>
      <w:bookmarkEnd w:id="28"/>
      <w:bookmarkEnd w:id="30"/>
      <w:r>
        <w:t xml:space="preserve"> </w:t>
      </w:r>
    </w:p>
    <w:p w14:paraId="5B414457" w14:textId="65272DBE" w:rsidR="00450A41" w:rsidRPr="00696EFF" w:rsidRDefault="00450A41" w:rsidP="009D603E">
      <w:pPr>
        <w:pStyle w:val="L1Heading"/>
        <w:spacing w:before="0" w:after="0"/>
        <w:rPr>
          <w:sz w:val="28"/>
        </w:rPr>
      </w:pPr>
      <w:bookmarkStart w:id="31" w:name="_Toc232079064"/>
      <w:bookmarkStart w:id="32" w:name="_Toc232079484"/>
      <w:r>
        <w:rPr>
          <w:noProof/>
        </w:rPr>
        <mc:AlternateContent>
          <mc:Choice Requires="wps">
            <w:drawing>
              <wp:anchor distT="0" distB="0" distL="114300" distR="114300" simplePos="0" relativeHeight="251658260" behindDoc="0" locked="0" layoutInCell="1" allowOverlap="1" wp14:anchorId="71E7A84D" wp14:editId="5F3084FC">
                <wp:simplePos x="0" y="0"/>
                <wp:positionH relativeFrom="column">
                  <wp:posOffset>-4446</wp:posOffset>
                </wp:positionH>
                <wp:positionV relativeFrom="paragraph">
                  <wp:posOffset>188595</wp:posOffset>
                </wp:positionV>
                <wp:extent cx="6372225" cy="0"/>
                <wp:effectExtent l="0" t="0" r="0" b="0"/>
                <wp:wrapNone/>
                <wp:docPr id="1265923655" name="Straight Connector 29"/>
                <wp:cNvGraphicFramePr/>
                <a:graphic xmlns:a="http://schemas.openxmlformats.org/drawingml/2006/main">
                  <a:graphicData uri="http://schemas.microsoft.com/office/word/2010/wordprocessingShape">
                    <wps:wsp>
                      <wps:cNvCnPr/>
                      <wps:spPr>
                        <a:xfrm>
                          <a:off x="0" y="0"/>
                          <a:ext cx="6372225" cy="0"/>
                        </a:xfrm>
                        <a:prstGeom prst="line">
                          <a:avLst/>
                        </a:prstGeom>
                        <a:ln>
                          <a:solidFill>
                            <a:srgbClr val="FD904D"/>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4BDAF850" id="Straight Connector 29" o:spid="_x0000_s1026" style="position:absolute;z-index:251658260;visibility:visible;mso-wrap-style:square;mso-wrap-distance-left:9pt;mso-wrap-distance-top:0;mso-wrap-distance-right:9pt;mso-wrap-distance-bottom:0;mso-position-horizontal:absolute;mso-position-horizontal-relative:text;mso-position-vertical:absolute;mso-position-vertical-relative:text" from="-.35pt,14.85pt" to="501.4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" strokecolor="#fd904d" strokeweight="1.5pt">
                <v:stroke joinstyle="miter"/>
              </v:line>
            </w:pict>
          </mc:Fallback>
        </mc:AlternateContent>
      </w:r>
      <w:bookmarkEnd w:id="31"/>
      <w:bookmarkEnd w:id="32"/>
    </w:p>
    <w:p w14:paraId="562A1DB1" w14:textId="7D3675D1" w:rsidR="005A01E8" w:rsidRPr="005A01E8" w:rsidRDefault="005A01E8" w:rsidP="005A01E8">
      <w:pPr>
        <w:rPr>
          <w:b/>
          <w:bCs/>
          <w:color w:val="156082" w:themeColor="accent1"/>
        </w:rPr>
      </w:pPr>
      <w:r w:rsidRPr="005A01E8">
        <w:rPr>
          <w:b/>
          <w:bCs/>
          <w:color w:val="156082" w:themeColor="accent1"/>
        </w:rPr>
        <w:t xml:space="preserve">Current policies and measures </w:t>
      </w:r>
    </w:p>
    <w:p w14:paraId="28C1FD13" w14:textId="77777777" w:rsidR="005A01E8" w:rsidRPr="00002B1B" w:rsidRDefault="005A01E8" w:rsidP="005A01E8">
      <w:pPr>
        <w:numPr>
          <w:ilvl w:val="0"/>
          <w:numId w:val="12"/>
        </w:numPr>
        <w:spacing w:before="0" w:after="160" w:line="278" w:lineRule="auto"/>
      </w:pPr>
      <w:r>
        <w:t>Do current policies and measures adequately cover the</w:t>
      </w:r>
      <w:r w:rsidRPr="00002B1B">
        <w:t xml:space="preserve"> </w:t>
      </w:r>
      <w:r>
        <w:t xml:space="preserve">material </w:t>
      </w:r>
      <w:r w:rsidRPr="00002B1B">
        <w:t>sources of fossil methane emissions</w:t>
      </w:r>
      <w:r>
        <w:t xml:space="preserve"> in </w:t>
      </w:r>
      <w:r w:rsidRPr="00002B1B">
        <w:t xml:space="preserve">Australia? </w:t>
      </w:r>
      <w:r>
        <w:t xml:space="preserve">For example, are emissions from decommissioned and abandoned mines material, and are they adequately monitored and mitigated?  </w:t>
      </w:r>
    </w:p>
    <w:p w14:paraId="3516795A" w14:textId="77777777" w:rsidR="005A01E8" w:rsidRPr="009A6148" w:rsidRDefault="005A01E8" w:rsidP="005A01E8">
      <w:pPr>
        <w:numPr>
          <w:ilvl w:val="0"/>
          <w:numId w:val="12"/>
        </w:numPr>
        <w:spacing w:before="0" w:after="160" w:line="278" w:lineRule="auto"/>
      </w:pPr>
      <w:r>
        <w:t>To what extent will Australia’s current policy settings, including the Safeguard Mechanism and state regulations, drive near term fossil methane abatement? Please provide relevant analysis or evidence.</w:t>
      </w:r>
    </w:p>
    <w:p w14:paraId="3A3A350E" w14:textId="77777777" w:rsidR="005A01E8" w:rsidRDefault="005A01E8" w:rsidP="005A01E8">
      <w:r w:rsidRPr="005A01E8">
        <w:rPr>
          <w:b/>
          <w:bCs/>
          <w:color w:val="156082" w:themeColor="accent1"/>
        </w:rPr>
        <w:t>Abatement</w:t>
      </w:r>
      <w:r>
        <w:t xml:space="preserve"> </w:t>
      </w:r>
      <w:r w:rsidRPr="005A01E8">
        <w:rPr>
          <w:b/>
          <w:bCs/>
          <w:color w:val="156082" w:themeColor="accent1"/>
        </w:rPr>
        <w:t>opportunities</w:t>
      </w:r>
      <w:r>
        <w:t xml:space="preserve"> </w:t>
      </w:r>
    </w:p>
    <w:p w14:paraId="66123F3D" w14:textId="77777777" w:rsidR="005A01E8" w:rsidRPr="00424F83" w:rsidRDefault="005A01E8" w:rsidP="005A01E8">
      <w:pPr>
        <w:numPr>
          <w:ilvl w:val="0"/>
          <w:numId w:val="12"/>
        </w:numPr>
        <w:spacing w:before="0" w:after="160" w:line="278" w:lineRule="auto"/>
      </w:pPr>
      <w:r w:rsidRPr="006B596E">
        <w:t xml:space="preserve">What </w:t>
      </w:r>
      <w:r>
        <w:t>fossil</w:t>
      </w:r>
      <w:r w:rsidRPr="006B596E">
        <w:t xml:space="preserve"> methane abatement technologies and practices are commercially ready, or likely to be viable in the near term in Australia? </w:t>
      </w:r>
      <w:r>
        <w:t>Where available, please provide indicative costs, timelines, and examples.</w:t>
      </w:r>
    </w:p>
    <w:p w14:paraId="6510E93D" w14:textId="77777777" w:rsidR="005A01E8" w:rsidRDefault="005A01E8" w:rsidP="005A01E8">
      <w:pPr>
        <w:numPr>
          <w:ilvl w:val="0"/>
          <w:numId w:val="12"/>
        </w:numPr>
        <w:spacing w:before="0" w:after="160" w:line="278" w:lineRule="auto"/>
      </w:pPr>
      <w:r w:rsidRPr="0034158F">
        <w:t xml:space="preserve">What </w:t>
      </w:r>
      <w:r>
        <w:t xml:space="preserve">fossil methane </w:t>
      </w:r>
      <w:r w:rsidRPr="0034158F">
        <w:t xml:space="preserve">abatement activities have Safeguard entities </w:t>
      </w:r>
      <w:r>
        <w:t xml:space="preserve">planned, </w:t>
      </w:r>
      <w:r w:rsidRPr="0034158F">
        <w:t>started or completed since the commencement of</w:t>
      </w:r>
      <w:r>
        <w:t xml:space="preserve"> the</w:t>
      </w:r>
      <w:r w:rsidRPr="0034158F">
        <w:t xml:space="preserve"> Safeguard Mechanism reforms? </w:t>
      </w:r>
    </w:p>
    <w:p w14:paraId="54D0C072" w14:textId="77777777" w:rsidR="005A01E8" w:rsidRPr="005A01E8" w:rsidRDefault="005A01E8" w:rsidP="005A01E8">
      <w:pPr>
        <w:rPr>
          <w:b/>
          <w:bCs/>
          <w:color w:val="156082" w:themeColor="accent1"/>
        </w:rPr>
      </w:pPr>
      <w:r w:rsidRPr="005A01E8">
        <w:rPr>
          <w:b/>
          <w:bCs/>
          <w:color w:val="156082" w:themeColor="accent1"/>
        </w:rPr>
        <w:t xml:space="preserve">Barriers and enablers </w:t>
      </w:r>
    </w:p>
    <w:p w14:paraId="6773B5D8" w14:textId="77777777" w:rsidR="005A01E8" w:rsidRPr="00B91264" w:rsidRDefault="005A01E8" w:rsidP="005A01E8">
      <w:pPr>
        <w:numPr>
          <w:ilvl w:val="0"/>
          <w:numId w:val="12"/>
        </w:numPr>
        <w:spacing w:before="0" w:after="160" w:line="278" w:lineRule="auto"/>
      </w:pPr>
      <w:r w:rsidRPr="00B91264">
        <w:t xml:space="preserve">What </w:t>
      </w:r>
      <w:r>
        <w:t xml:space="preserve">are the main </w:t>
      </w:r>
      <w:r w:rsidRPr="00B91264">
        <w:t xml:space="preserve">barriers </w:t>
      </w:r>
      <w:r>
        <w:t xml:space="preserve">– whether commercial, regulatory, market or other – </w:t>
      </w:r>
      <w:r w:rsidRPr="00B91264">
        <w:t>preventing</w:t>
      </w:r>
      <w:r>
        <w:t xml:space="preserve"> the</w:t>
      </w:r>
      <w:r w:rsidRPr="00B91264">
        <w:t xml:space="preserve"> uptake of fossil methane abatement opportunities</w:t>
      </w:r>
      <w:r>
        <w:t xml:space="preserve"> in Australia</w:t>
      </w:r>
      <w:r w:rsidRPr="00B91264">
        <w:t xml:space="preserve">? How could those barriers be overcome? </w:t>
      </w:r>
    </w:p>
    <w:p w14:paraId="5D1416E7" w14:textId="77777777" w:rsidR="005A01E8" w:rsidRDefault="005A01E8" w:rsidP="005A01E8">
      <w:pPr>
        <w:numPr>
          <w:ilvl w:val="0"/>
          <w:numId w:val="12"/>
        </w:numPr>
        <w:spacing w:before="0" w:after="160" w:line="278" w:lineRule="auto"/>
      </w:pPr>
      <w:r>
        <w:t>What factors are constraining broad deployment of ventilation air methane (VAM) abatement in underground coal mines in Australia? Where possible, please identify any relevant safety, technical, regulatory, commercial or site-specific barriers, and provide evidence or operational experience.</w:t>
      </w:r>
    </w:p>
    <w:p w14:paraId="66BF8A49" w14:textId="77777777" w:rsidR="005A01E8" w:rsidRDefault="005A01E8" w:rsidP="005A01E8">
      <w:pPr>
        <w:numPr>
          <w:ilvl w:val="0"/>
          <w:numId w:val="12"/>
        </w:numPr>
        <w:spacing w:before="0" w:after="160" w:line="278" w:lineRule="auto"/>
      </w:pPr>
      <w:r>
        <w:t>Do current approaches to measuring, reporting and verifying fossil methane emissions create any practical barriers to the uptake of abatement options in Australia? Please identify the relevant issue and explain how it affects abatement decisions, incentives or compliance outcomes.</w:t>
      </w:r>
    </w:p>
    <w:p w14:paraId="5D2901B6" w14:textId="77777777" w:rsidR="005A01E8" w:rsidRPr="005A01E8" w:rsidRDefault="005A01E8" w:rsidP="005A01E8">
      <w:pPr>
        <w:rPr>
          <w:b/>
          <w:bCs/>
          <w:color w:val="156082" w:themeColor="accent1"/>
        </w:rPr>
      </w:pPr>
      <w:r w:rsidRPr="005A01E8">
        <w:rPr>
          <w:b/>
          <w:bCs/>
          <w:color w:val="156082" w:themeColor="accent1"/>
        </w:rPr>
        <w:t>Accelerating methane abatement</w:t>
      </w:r>
    </w:p>
    <w:p w14:paraId="0933923D" w14:textId="77777777" w:rsidR="005A01E8" w:rsidRDefault="005A01E8" w:rsidP="005A01E8">
      <w:pPr>
        <w:numPr>
          <w:ilvl w:val="0"/>
          <w:numId w:val="12"/>
        </w:numPr>
        <w:spacing w:before="0" w:after="160" w:line="278" w:lineRule="auto"/>
      </w:pPr>
      <w:r>
        <w:t xml:space="preserve">What </w:t>
      </w:r>
      <w:r w:rsidRPr="00DD025D">
        <w:t xml:space="preserve">practical </w:t>
      </w:r>
      <w:r>
        <w:t xml:space="preserve">policies and </w:t>
      </w:r>
      <w:r w:rsidRPr="00DD025D">
        <w:t xml:space="preserve">measures could drive more fossil methane abatement than existing policy settings would deliver? How would </w:t>
      </w:r>
      <w:r>
        <w:t>these</w:t>
      </w:r>
      <w:r w:rsidRPr="00DD025D">
        <w:t xml:space="preserve"> interact with the Safeguard Mechanism</w:t>
      </w:r>
      <w:r>
        <w:t>, and h</w:t>
      </w:r>
      <w:r w:rsidRPr="00DD025D">
        <w:t xml:space="preserve">ow should those interactions be managed? </w:t>
      </w:r>
    </w:p>
    <w:p w14:paraId="0B2EE290" w14:textId="77777777" w:rsidR="007E5BF3" w:rsidRDefault="005A01E8" w:rsidP="0058776B">
      <w:pPr>
        <w:numPr>
          <w:ilvl w:val="0"/>
          <w:numId w:val="12"/>
        </w:numPr>
        <w:spacing w:before="0" w:after="160" w:line="278" w:lineRule="auto"/>
      </w:pPr>
      <w:r>
        <w:t>Should Australia set specific targets or goals for reductions in fossil methane emissions or the uptake of fossil methane abatement opportunities? What are the benefits and risks?</w:t>
      </w:r>
    </w:p>
    <w:p w14:paraId="0903F9D8" w14:textId="77777777" w:rsidR="00450A41" w:rsidRDefault="005A01E8" w:rsidP="0058776B">
      <w:pPr>
        <w:numPr>
          <w:ilvl w:val="0"/>
          <w:numId w:val="12"/>
        </w:numPr>
        <w:spacing w:before="0" w:after="160" w:line="278" w:lineRule="auto"/>
      </w:pPr>
      <w:r w:rsidRPr="009C162D">
        <w:t>Australia</w:t>
      </w:r>
      <w:r>
        <w:t>’s</w:t>
      </w:r>
      <w:r w:rsidRPr="009C162D">
        <w:t xml:space="preserve"> emissions accounting</w:t>
      </w:r>
      <w:r>
        <w:t xml:space="preserve"> and </w:t>
      </w:r>
      <w:r w:rsidRPr="009C162D">
        <w:t xml:space="preserve">reporting </w:t>
      </w:r>
      <w:r>
        <w:t>calculate methane emissions on a 100-year global warming potential (GWP-100) basis.</w:t>
      </w:r>
      <w:r w:rsidRPr="009C162D">
        <w:t xml:space="preserve"> Without changing that approach, should policy or investment decisions give more weight to the near-term climate benefits of methane abatement? </w:t>
      </w:r>
      <w:r>
        <w:t>How?</w:t>
      </w:r>
      <w:bookmarkEnd w:id="29"/>
    </w:p>
    <w:p w14:paraId="6780B65F" w14:textId="3AD142FF" w:rsidR="00450A41" w:rsidRDefault="007E5BF3" w:rsidP="0058776B">
      <w:pPr>
        <w:numPr>
          <w:ilvl w:val="0"/>
          <w:numId w:val="12"/>
        </w:numPr>
        <w:spacing w:before="0" w:after="160" w:line="278" w:lineRule="auto"/>
      </w:pPr>
      <w:r>
        <w:br w:type="page"/>
      </w:r>
      <w:r w:rsidR="00450A41">
        <w:rPr>
          <w:noProof/>
        </w:rPr>
        <mc:AlternateContent>
          <mc:Choice Requires="wps">
            <w:drawing>
              <wp:anchor distT="0" distB="0" distL="114300" distR="114300" simplePos="0" relativeHeight="251658259" behindDoc="0" locked="0" layoutInCell="1" allowOverlap="1" wp14:anchorId="0DE16F86" wp14:editId="1C803323">
                <wp:simplePos x="0" y="0"/>
                <wp:positionH relativeFrom="column">
                  <wp:posOffset>-4446</wp:posOffset>
                </wp:positionH>
                <wp:positionV relativeFrom="paragraph">
                  <wp:posOffset>188595</wp:posOffset>
                </wp:positionV>
                <wp:extent cx="6372225" cy="0"/>
                <wp:effectExtent l="0" t="0" r="0" b="0"/>
                <wp:wrapNone/>
                <wp:docPr id="1578371903" name="Straight Connector 29"/>
                <wp:cNvGraphicFramePr/>
                <a:graphic xmlns:a="http://schemas.openxmlformats.org/drawingml/2006/main">
                  <a:graphicData uri="http://schemas.microsoft.com/office/word/2010/wordprocessingShape">
                    <wps:wsp>
                      <wps:cNvCnPr/>
                      <wps:spPr>
                        <a:xfrm>
                          <a:off x="0" y="0"/>
                          <a:ext cx="6372225" cy="0"/>
                        </a:xfrm>
                        <a:prstGeom prst="line">
                          <a:avLst/>
                        </a:prstGeom>
                        <a:ln>
                          <a:solidFill>
                            <a:srgbClr val="FD904D"/>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E5DA637" id="Straight Connector 29" o:spid="_x0000_s1026" style="position:absolute;z-index:251658259;visibility:visible;mso-wrap-style:square;mso-wrap-distance-left:9pt;mso-wrap-distance-top:0;mso-wrap-distance-right:9pt;mso-wrap-distance-bottom:0;mso-position-horizontal:absolute;mso-position-horizontal-relative:text;mso-position-vertical:absolute;mso-position-vertical-relative:text" from="-.35pt,14.85pt" to="501.4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" strokecolor="#fd904d" strokeweight="1.5pt">
                <v:stroke joinstyle="miter"/>
              </v:line>
            </w:pict>
          </mc:Fallback>
        </mc:AlternateContent>
      </w:r>
    </w:p>
    <w:p w14:paraId="2BEF3FEC" w14:textId="77777777" w:rsidR="00D80D8E" w:rsidRDefault="00D80D8E" w:rsidP="00D80D8E">
      <w:pPr>
        <w:pStyle w:val="L1Heading"/>
      </w:pPr>
      <w:bookmarkStart w:id="33" w:name="_Toc227942644"/>
      <w:bookmarkStart w:id="34" w:name="_Toc231298018"/>
      <w:bookmarkStart w:id="35" w:name="_Toc231557404"/>
      <w:bookmarkStart w:id="36" w:name="_Toc232079485"/>
      <w:r>
        <w:lastRenderedPageBreak/>
        <w:t>Introduction</w:t>
      </w:r>
      <w:bookmarkEnd w:id="33"/>
      <w:bookmarkEnd w:id="34"/>
      <w:bookmarkEnd w:id="35"/>
      <w:bookmarkEnd w:id="36"/>
      <w:r>
        <w:t xml:space="preserve"> </w:t>
      </w:r>
    </w:p>
    <w:p w14:paraId="32706CA3" w14:textId="77777777" w:rsidR="00C24E9F" w:rsidRDefault="00C24E9F" w:rsidP="00C24E9F">
      <w:bookmarkStart w:id="37" w:name="_Toc231557405"/>
      <w:r w:rsidRPr="00D41C1A">
        <w:t>This consultation paper set</w:t>
      </w:r>
      <w:r>
        <w:t>s</w:t>
      </w:r>
      <w:r w:rsidRPr="00D41C1A">
        <w:t xml:space="preserve"> out the case for accelerating fossil methane reductions</w:t>
      </w:r>
      <w:r>
        <w:t>. It explains how</w:t>
      </w:r>
      <w:r w:rsidRPr="00D41C1A">
        <w:t xml:space="preserve"> reducing global fossil met</w:t>
      </w:r>
      <w:r w:rsidRPr="00216FC8">
        <w:t>hane emissions in the near-term can help</w:t>
      </w:r>
      <w:r>
        <w:t xml:space="preserve"> </w:t>
      </w:r>
      <w:r w:rsidRPr="00216FC8">
        <w:t>put a handbrake on global warming. It also explore</w:t>
      </w:r>
      <w:r>
        <w:t>s</w:t>
      </w:r>
      <w:r w:rsidRPr="00216FC8">
        <w:t xml:space="preserve"> and </w:t>
      </w:r>
      <w:r>
        <w:t xml:space="preserve">seeks </w:t>
      </w:r>
      <w:r w:rsidRPr="00216FC8">
        <w:t>in</w:t>
      </w:r>
      <w:r>
        <w:t>put</w:t>
      </w:r>
      <w:r w:rsidRPr="00216FC8">
        <w:t xml:space="preserve"> on opportunities to accelerate fossil methane abatement in Australia.</w:t>
      </w:r>
    </w:p>
    <w:p w14:paraId="1E047784" w14:textId="77777777" w:rsidR="00C24E9F" w:rsidRPr="00AC0280" w:rsidRDefault="00C24E9F" w:rsidP="00C24E9F">
      <w:r>
        <w:t xml:space="preserve">The Authority’s focus on fossil methane this year flows from recommendation 5 in its 2025 Annual Progress Report, where we committed to explore the opportunities to radically reduce fossil methane emissions </w:t>
      </w:r>
      <w:r w:rsidRPr="00DA77C2">
        <w:rPr>
          <w:color w:val="000000"/>
        </w:rPr>
        <w:t>(CCA</w:t>
      </w:r>
      <w:r w:rsidRPr="00BA56C9">
        <w:rPr>
          <w:color w:val="000000"/>
        </w:rPr>
        <w:t xml:space="preserve"> 2025b)</w:t>
      </w:r>
      <w:r>
        <w:t>. T</w:t>
      </w:r>
      <w:r w:rsidRPr="002C5D5D">
        <w:t>h</w:t>
      </w:r>
      <w:r>
        <w:t>e</w:t>
      </w:r>
      <w:r w:rsidRPr="002C5D5D">
        <w:t xml:space="preserve"> </w:t>
      </w:r>
      <w:r>
        <w:t>project</w:t>
      </w:r>
      <w:r w:rsidRPr="00AC0280">
        <w:t xml:space="preserve"> will focus on </w:t>
      </w:r>
      <w:r>
        <w:t xml:space="preserve">large </w:t>
      </w:r>
      <w:r w:rsidRPr="00AC0280">
        <w:t xml:space="preserve">sources of fossil methane </w:t>
      </w:r>
      <w:r>
        <w:t>in</w:t>
      </w:r>
      <w:r w:rsidRPr="00AC0280">
        <w:t xml:space="preserve"> coal mining and gas </w:t>
      </w:r>
      <w:r>
        <w:t>extraction and processing</w:t>
      </w:r>
      <w:r w:rsidRPr="00AC0280">
        <w:t xml:space="preserve">. </w:t>
      </w:r>
    </w:p>
    <w:p w14:paraId="2C69D5AD" w14:textId="518A88BE" w:rsidR="00C24E9F" w:rsidRPr="00512FD6" w:rsidRDefault="00C24E9F" w:rsidP="00C36FFB">
      <w:pPr>
        <w:rPr>
          <w:rFonts w:cs="Calibri"/>
          <w:b/>
        </w:rPr>
      </w:pPr>
      <w:r w:rsidRPr="00A86B83">
        <w:t xml:space="preserve">While methane measurement, reporting and verification </w:t>
      </w:r>
      <w:r>
        <w:t>are important to</w:t>
      </w:r>
      <w:r w:rsidRPr="00A86B83">
        <w:t xml:space="preserve"> effective policy </w:t>
      </w:r>
      <w:r>
        <w:t>and abatement action</w:t>
      </w:r>
      <w:r w:rsidRPr="00A86B83">
        <w:t xml:space="preserve">, they are not the primary focus of this project. </w:t>
      </w:r>
      <w:r>
        <w:t>T</w:t>
      </w:r>
      <w:r w:rsidRPr="00A86B83">
        <w:t xml:space="preserve">he </w:t>
      </w:r>
      <w:r>
        <w:t>Australian</w:t>
      </w:r>
      <w:r w:rsidRPr="00A86B83">
        <w:t xml:space="preserve"> Government is currently progressing work in response to the Authority’s 2023 review of the National Greenhouse and Energy Reporting (NGER) Scheme</w:t>
      </w:r>
      <w:r>
        <w:t>.</w:t>
      </w:r>
      <w:r w:rsidRPr="00A86B83">
        <w:t xml:space="preserve"> </w:t>
      </w:r>
      <w:r w:rsidRPr="00523963">
        <w:rPr>
          <w:rFonts w:cs="Calibri"/>
        </w:rPr>
        <w:t xml:space="preserve">This includes further enhancing the transparency and accuracy of fugitive methane emissions estimation through reforms to the Safeguard Mechanism and </w:t>
      </w:r>
      <w:r>
        <w:rPr>
          <w:rFonts w:cs="Calibri"/>
        </w:rPr>
        <w:t>through</w:t>
      </w:r>
      <w:r w:rsidRPr="00523963">
        <w:rPr>
          <w:rFonts w:cs="Calibri"/>
        </w:rPr>
        <w:t xml:space="preserve"> the </w:t>
      </w:r>
      <w:r w:rsidR="005B6211">
        <w:rPr>
          <w:rFonts w:cs="Calibri"/>
        </w:rPr>
        <w:t>regular</w:t>
      </w:r>
      <w:r w:rsidR="005B6211" w:rsidRPr="00523963">
        <w:rPr>
          <w:rFonts w:cs="Calibri"/>
        </w:rPr>
        <w:t xml:space="preserve"> </w:t>
      </w:r>
      <w:r w:rsidRPr="00523963">
        <w:rPr>
          <w:rFonts w:cs="Calibri"/>
        </w:rPr>
        <w:t>NGER scheme review and update.</w:t>
      </w:r>
      <w:r>
        <w:rPr>
          <w:rFonts w:cs="Calibri"/>
        </w:rPr>
        <w:t xml:space="preserve"> </w:t>
      </w:r>
      <w:r w:rsidRPr="00523963">
        <w:rPr>
          <w:rFonts w:cs="Calibri"/>
        </w:rPr>
        <w:t>In parallel,</w:t>
      </w:r>
      <w:r>
        <w:rPr>
          <w:rFonts w:cs="Calibri"/>
        </w:rPr>
        <w:t xml:space="preserve"> the Department of Climate Change, Energy, the Environment and Water (DCCEEW)</w:t>
      </w:r>
      <w:r w:rsidRPr="00523963">
        <w:rPr>
          <w:rFonts w:cs="Calibri"/>
        </w:rPr>
        <w:t xml:space="preserve"> has established three workstreams to support further improvements to fugitive methane emission estimation in the medium to longer-term</w:t>
      </w:r>
      <w:r>
        <w:rPr>
          <w:rFonts w:cs="Calibri"/>
        </w:rPr>
        <w:t xml:space="preserve">, including the establishment of the </w:t>
      </w:r>
      <w:r w:rsidRPr="00E15359">
        <w:rPr>
          <w:rFonts w:cs="Calibri"/>
        </w:rPr>
        <w:t>Expert Panel on Atmospheric Measurement of Fugitive Methane</w:t>
      </w:r>
      <w:r>
        <w:rPr>
          <w:rFonts w:cs="Calibri"/>
        </w:rPr>
        <w:t>.</w:t>
      </w:r>
      <w:r w:rsidRPr="00523963">
        <w:rPr>
          <w:rFonts w:cs="Calibri"/>
        </w:rPr>
        <w:t xml:space="preserve"> </w:t>
      </w:r>
      <w:r>
        <w:rPr>
          <w:rFonts w:cs="Calibri"/>
        </w:rPr>
        <w:t xml:space="preserve">A more comprehensive update </w:t>
      </w:r>
      <w:r>
        <w:t xml:space="preserve">on the government’s progress in implementing its </w:t>
      </w:r>
      <w:r w:rsidRPr="00A86B83">
        <w:t>response to the Authority’s 2023 review of the NGER</w:t>
      </w:r>
      <w:r>
        <w:t xml:space="preserve"> </w:t>
      </w:r>
      <w:r w:rsidRPr="00A86B83">
        <w:t>Scheme</w:t>
      </w:r>
      <w:r>
        <w:t xml:space="preserve"> is </w:t>
      </w:r>
      <w:r w:rsidRPr="00A86B83">
        <w:t xml:space="preserve">at </w:t>
      </w:r>
      <w:r w:rsidRPr="00133DD5">
        <w:rPr>
          <w:b/>
        </w:rPr>
        <w:t>Appendix D</w:t>
      </w:r>
      <w:r w:rsidRPr="00A86B83">
        <w:t xml:space="preserve">. </w:t>
      </w:r>
    </w:p>
    <w:p w14:paraId="6497E838" w14:textId="77777777" w:rsidR="00D80D8E" w:rsidRPr="00512FD6" w:rsidRDefault="00D80D8E" w:rsidP="00E3684D">
      <w:pPr>
        <w:pStyle w:val="L2Sub-heading"/>
      </w:pPr>
      <w:bookmarkStart w:id="38" w:name="_Toc232079486"/>
      <w:r w:rsidRPr="00512FD6">
        <w:t>Structure of the paper</w:t>
      </w:r>
      <w:bookmarkEnd w:id="37"/>
      <w:bookmarkEnd w:id="38"/>
      <w:r w:rsidRPr="00512FD6">
        <w:t xml:space="preserve"> </w:t>
      </w:r>
    </w:p>
    <w:p w14:paraId="32B4AA99" w14:textId="77777777" w:rsidR="00D80D8E" w:rsidRDefault="00D80D8E" w:rsidP="00D80D8E">
      <w:r w:rsidRPr="00E14A9D">
        <w:t>Th</w:t>
      </w:r>
      <w:r>
        <w:t>e</w:t>
      </w:r>
      <w:r w:rsidRPr="00E14A9D">
        <w:t xml:space="preserve"> paper </w:t>
      </w:r>
      <w:r>
        <w:t>has 2 parts:</w:t>
      </w:r>
    </w:p>
    <w:p w14:paraId="58018BE4" w14:textId="77777777" w:rsidR="00D80D8E" w:rsidRDefault="00D80D8E" w:rsidP="0086181D">
      <w:pPr>
        <w:ind w:left="720"/>
      </w:pPr>
      <w:r w:rsidRPr="00CB5935">
        <w:rPr>
          <w:b/>
          <w:bCs/>
        </w:rPr>
        <w:t xml:space="preserve">Part 1 </w:t>
      </w:r>
      <w:r>
        <w:rPr>
          <w:b/>
          <w:bCs/>
        </w:rPr>
        <w:t xml:space="preserve">explains the </w:t>
      </w:r>
      <w:r w:rsidRPr="001C328A">
        <w:rPr>
          <w:b/>
          <w:bCs/>
        </w:rPr>
        <w:t>case for accelerating</w:t>
      </w:r>
      <w:r w:rsidRPr="00CB5935">
        <w:rPr>
          <w:b/>
          <w:bCs/>
        </w:rPr>
        <w:t xml:space="preserve"> fossil methane </w:t>
      </w:r>
      <w:r w:rsidRPr="001C328A">
        <w:rPr>
          <w:b/>
          <w:bCs/>
        </w:rPr>
        <w:t>abatement</w:t>
      </w:r>
      <w:r>
        <w:t>. This includes the climate benefits of reducing methane emissions, and why fossil methane is a constructive near-term opportunity for action.</w:t>
      </w:r>
    </w:p>
    <w:p w14:paraId="4E60A1A3" w14:textId="77777777" w:rsidR="00D80D8E" w:rsidRDefault="00D80D8E" w:rsidP="0086181D">
      <w:pPr>
        <w:ind w:left="720"/>
      </w:pPr>
      <w:r>
        <w:rPr>
          <w:b/>
          <w:bCs/>
        </w:rPr>
        <w:t>Part 2</w:t>
      </w:r>
      <w:r w:rsidRPr="008A2C0B">
        <w:rPr>
          <w:b/>
          <w:bCs/>
        </w:rPr>
        <w:t xml:space="preserve"> </w:t>
      </w:r>
      <w:r>
        <w:rPr>
          <w:b/>
          <w:bCs/>
        </w:rPr>
        <w:t>c</w:t>
      </w:r>
      <w:r w:rsidRPr="004179B9">
        <w:rPr>
          <w:b/>
          <w:bCs/>
        </w:rPr>
        <w:t xml:space="preserve">onsiders how Australia could accelerate fossil methane abatement beyond what existing policy settings </w:t>
      </w:r>
      <w:r>
        <w:rPr>
          <w:b/>
          <w:bCs/>
        </w:rPr>
        <w:t>c</w:t>
      </w:r>
      <w:r w:rsidRPr="004179B9">
        <w:rPr>
          <w:b/>
          <w:bCs/>
        </w:rPr>
        <w:t xml:space="preserve">ould deliver. </w:t>
      </w:r>
      <w:r w:rsidRPr="008B738F">
        <w:t xml:space="preserve">It </w:t>
      </w:r>
      <w:r>
        <w:t>discusses</w:t>
      </w:r>
      <w:r w:rsidRPr="008B738F">
        <w:t xml:space="preserve"> </w:t>
      </w:r>
      <w:r>
        <w:t>current</w:t>
      </w:r>
      <w:r w:rsidRPr="008B738F">
        <w:t xml:space="preserve"> policy and regulatory settings </w:t>
      </w:r>
      <w:r>
        <w:t>and explores</w:t>
      </w:r>
      <w:r w:rsidRPr="008B738F">
        <w:t xml:space="preserve"> the kinds of measures that could bring forward additional abatement in the near term. </w:t>
      </w:r>
      <w:r>
        <w:t>This section</w:t>
      </w:r>
      <w:r w:rsidRPr="008B738F" w:rsidDel="007F52BA">
        <w:t xml:space="preserve"> </w:t>
      </w:r>
      <w:r>
        <w:t>also outlines how</w:t>
      </w:r>
      <w:r w:rsidRPr="008B738F">
        <w:t xml:space="preserve"> the Authority will be assessing policy options.</w:t>
      </w:r>
      <w:r>
        <w:t xml:space="preserve"> </w:t>
      </w:r>
    </w:p>
    <w:p w14:paraId="6C25D50F" w14:textId="77777777" w:rsidR="00D80D8E" w:rsidRDefault="00D80D8E" w:rsidP="00D80D8E">
      <w:r>
        <w:t xml:space="preserve">The paper poses </w:t>
      </w:r>
      <w:r w:rsidRPr="00F77253">
        <w:t>10</w:t>
      </w:r>
      <w:r>
        <w:t xml:space="preserve"> questions inviting input on opportunities for fossil methane abatement in Australia.</w:t>
      </w:r>
    </w:p>
    <w:p w14:paraId="026BA168" w14:textId="77777777" w:rsidR="00D80D8E" w:rsidRPr="00512FD6" w:rsidRDefault="00D80D8E" w:rsidP="00E3684D">
      <w:pPr>
        <w:pStyle w:val="L2Sub-heading"/>
      </w:pPr>
      <w:bookmarkStart w:id="39" w:name="_Toc231557406"/>
      <w:bookmarkStart w:id="40" w:name="_Toc232079487"/>
      <w:r w:rsidRPr="00512FD6">
        <w:t>Next steps</w:t>
      </w:r>
      <w:bookmarkEnd w:id="39"/>
      <w:bookmarkEnd w:id="40"/>
      <w:r w:rsidRPr="00512FD6">
        <w:t xml:space="preserve"> </w:t>
      </w:r>
    </w:p>
    <w:p w14:paraId="0BFB038D" w14:textId="77777777" w:rsidR="006F27A6" w:rsidRPr="00996998" w:rsidRDefault="006F27A6" w:rsidP="006F27A6">
      <w:pPr>
        <w:rPr>
          <w:bCs/>
        </w:rPr>
      </w:pPr>
      <w:r w:rsidRPr="00996998">
        <w:rPr>
          <w:bCs/>
        </w:rPr>
        <w:t xml:space="preserve">The Authority will use your feedback, insights and evidence, along with its own internal research and analysis, to develop recommendations to be included in its Annual Progress Advice to the </w:t>
      </w:r>
      <w:r>
        <w:rPr>
          <w:bCs/>
        </w:rPr>
        <w:t>g</w:t>
      </w:r>
      <w:r w:rsidRPr="00996998">
        <w:rPr>
          <w:bCs/>
        </w:rPr>
        <w:t>overnment at the end of the year.</w:t>
      </w:r>
    </w:p>
    <w:p w14:paraId="0E540542" w14:textId="4501652B" w:rsidR="00D80D8E" w:rsidRPr="006F27A6" w:rsidRDefault="006F27A6" w:rsidP="006F27A6">
      <w:pPr>
        <w:rPr>
          <w:bCs/>
        </w:rPr>
      </w:pPr>
      <w:r w:rsidRPr="00996998">
        <w:rPr>
          <w:bCs/>
        </w:rPr>
        <w:t xml:space="preserve">This fossil methane project will also inform the Authority’s input to the </w:t>
      </w:r>
      <w:r>
        <w:rPr>
          <w:bCs/>
        </w:rPr>
        <w:t>g</w:t>
      </w:r>
      <w:r w:rsidRPr="00996998">
        <w:rPr>
          <w:bCs/>
        </w:rPr>
        <w:t>overnment’s forthcoming review of the Safeguard Mechanism (DCCEEW 2025). The Authority’s</w:t>
      </w:r>
      <w:r>
        <w:rPr>
          <w:bCs/>
        </w:rPr>
        <w:t xml:space="preserve"> Safeguard</w:t>
      </w:r>
      <w:r w:rsidRPr="00996998">
        <w:rPr>
          <w:bCs/>
        </w:rPr>
        <w:t xml:space="preserve"> advice will </w:t>
      </w:r>
      <w:r>
        <w:rPr>
          <w:bCs/>
        </w:rPr>
        <w:t>consider</w:t>
      </w:r>
      <w:r w:rsidRPr="00996998">
        <w:rPr>
          <w:bCs/>
        </w:rPr>
        <w:t xml:space="preserve"> </w:t>
      </w:r>
      <w:r>
        <w:rPr>
          <w:bCs/>
        </w:rPr>
        <w:t xml:space="preserve">baseline decline rates, </w:t>
      </w:r>
      <w:r w:rsidRPr="00996998">
        <w:rPr>
          <w:bCs/>
        </w:rPr>
        <w:t xml:space="preserve">the extent to which the </w:t>
      </w:r>
      <w:r>
        <w:rPr>
          <w:bCs/>
        </w:rPr>
        <w:t xml:space="preserve">mechanism is driving </w:t>
      </w:r>
      <w:r w:rsidRPr="00996998">
        <w:rPr>
          <w:bCs/>
        </w:rPr>
        <w:t>onsite abatement, and whether any additional incentives are required. The Authority will soon consult separately on the Safeguard Mechanism and its broader Annual Progress Advice.</w:t>
      </w:r>
    </w:p>
    <w:p w14:paraId="16F83316" w14:textId="77777777" w:rsidR="003A4494" w:rsidRPr="008D3CBC" w:rsidRDefault="003A4494" w:rsidP="003A4494">
      <w:pPr>
        <w:pStyle w:val="L1Heading"/>
      </w:pPr>
      <w:bookmarkStart w:id="41" w:name="_Toc231298019"/>
      <w:bookmarkStart w:id="42" w:name="_Toc231557407"/>
      <w:bookmarkStart w:id="43" w:name="_Toc232079488"/>
      <w:r>
        <w:lastRenderedPageBreak/>
        <w:t>Part 1:</w:t>
      </w:r>
      <w:r w:rsidRPr="0088288A">
        <w:t xml:space="preserve"> </w:t>
      </w:r>
      <w:r>
        <w:t>The case for accelerating fossil methane abatement</w:t>
      </w:r>
      <w:bookmarkEnd w:id="41"/>
      <w:bookmarkEnd w:id="42"/>
      <w:bookmarkEnd w:id="43"/>
    </w:p>
    <w:p w14:paraId="4ACC8F4F" w14:textId="77777777" w:rsidR="003A4494" w:rsidRDefault="003A4494" w:rsidP="003A4494">
      <w:pPr>
        <w:spacing w:before="0" w:after="160" w:line="278" w:lineRule="auto"/>
      </w:pPr>
      <w:r>
        <w:t>T</w:t>
      </w:r>
      <w:r w:rsidRPr="004977BB">
        <w:t xml:space="preserve">his </w:t>
      </w:r>
      <w:r>
        <w:t xml:space="preserve">section </w:t>
      </w:r>
      <w:r w:rsidRPr="004977BB">
        <w:t>explain</w:t>
      </w:r>
      <w:r>
        <w:t>s</w:t>
      </w:r>
      <w:r w:rsidRPr="004977BB">
        <w:t xml:space="preserve"> </w:t>
      </w:r>
      <w:r>
        <w:t>the benefits of</w:t>
      </w:r>
      <w:r w:rsidRPr="004977BB">
        <w:t xml:space="preserve"> </w:t>
      </w:r>
      <w:r>
        <w:t>urgent action on methane and why reducing fossil methane is a near-term opportunity to tackle climate change.</w:t>
      </w:r>
    </w:p>
    <w:p w14:paraId="24A2AC02" w14:textId="77777777" w:rsidR="003A4494" w:rsidRPr="00A933B5" w:rsidRDefault="003A4494" w:rsidP="00E3684D">
      <w:pPr>
        <w:pStyle w:val="L2Sub-heading"/>
      </w:pPr>
      <w:bookmarkStart w:id="44" w:name="_Toc227942647"/>
      <w:bookmarkStart w:id="45" w:name="_Toc231298020"/>
      <w:bookmarkStart w:id="46" w:name="_Toc231557408"/>
      <w:bookmarkStart w:id="47" w:name="_Toc232079489"/>
      <w:r>
        <w:t xml:space="preserve">1.1 </w:t>
      </w:r>
      <w:r w:rsidRPr="00BD3D5D">
        <w:t xml:space="preserve">What is methane </w:t>
      </w:r>
      <w:r>
        <w:t>and w</w:t>
      </w:r>
      <w:r w:rsidRPr="00BD3D5D">
        <w:t xml:space="preserve">here does </w:t>
      </w:r>
      <w:r>
        <w:t xml:space="preserve">it </w:t>
      </w:r>
      <w:r w:rsidRPr="00BD3D5D">
        <w:t>come from?</w:t>
      </w:r>
      <w:bookmarkEnd w:id="44"/>
      <w:bookmarkEnd w:id="45"/>
      <w:bookmarkEnd w:id="46"/>
      <w:bookmarkEnd w:id="47"/>
    </w:p>
    <w:p w14:paraId="527DD431" w14:textId="7D93ABE5" w:rsidR="003C7B6A" w:rsidRDefault="003C7B6A" w:rsidP="003C7B6A">
      <w:r>
        <w:t>Methane is a gas, present in small amounts in the Earth’s atmosphere and also found deep underground. W</w:t>
      </w:r>
      <w:r w:rsidRPr="00DB4FCA">
        <w:t xml:space="preserve">etlands, wild animals, and natural gas </w:t>
      </w:r>
      <w:r>
        <w:t xml:space="preserve">leaks in the ground naturally release methane </w:t>
      </w:r>
      <w:r w:rsidRPr="00DA77C2">
        <w:rPr>
          <w:color w:val="000000"/>
        </w:rPr>
        <w:t>(CSIRO n.d</w:t>
      </w:r>
      <w:r w:rsidRPr="00BA56C9">
        <w:rPr>
          <w:color w:val="000000"/>
        </w:rPr>
        <w:t>.</w:t>
      </w:r>
      <w:r w:rsidR="00D87D05">
        <w:rPr>
          <w:color w:val="000000"/>
        </w:rPr>
        <w:t>-a</w:t>
      </w:r>
      <w:r w:rsidRPr="00BA56C9">
        <w:rPr>
          <w:color w:val="000000"/>
        </w:rPr>
        <w:t>)</w:t>
      </w:r>
      <w:r w:rsidRPr="00DB4FCA">
        <w:t>.</w:t>
      </w:r>
      <w:r>
        <w:t xml:space="preserve"> Human activities also generate a large amount of methane each year. </w:t>
      </w:r>
    </w:p>
    <w:p w14:paraId="40424380" w14:textId="77777777" w:rsidR="003C7B6A" w:rsidRDefault="003C7B6A" w:rsidP="003C7B6A">
      <w:r w:rsidRPr="00C028A3">
        <w:t xml:space="preserve">Agriculture is </w:t>
      </w:r>
      <w:r>
        <w:t xml:space="preserve">a significant source of methane, accounting for an estimated 40% of global methane emissions from human activities </w:t>
      </w:r>
      <w:r w:rsidRPr="00DA77C2">
        <w:rPr>
          <w:color w:val="000000"/>
        </w:rPr>
        <w:t>(IEA</w:t>
      </w:r>
      <w:r w:rsidRPr="00BA56C9">
        <w:rPr>
          <w:color w:val="000000"/>
        </w:rPr>
        <w:t xml:space="preserve"> 2026a)</w:t>
      </w:r>
      <w:r>
        <w:t>. This methane comes</w:t>
      </w:r>
      <w:r w:rsidRPr="00C028A3">
        <w:t xml:space="preserve"> mainly from livestock such as cattle and sheep</w:t>
      </w:r>
      <w:r>
        <w:t>, which</w:t>
      </w:r>
      <w:r w:rsidRPr="00C028A3">
        <w:t xml:space="preserve"> produce methane during digestion</w:t>
      </w:r>
      <w:r>
        <w:t xml:space="preserve"> </w:t>
      </w:r>
      <w:r w:rsidRPr="00DA77C2">
        <w:rPr>
          <w:color w:val="000000"/>
        </w:rPr>
        <w:t>(CCAC n.d.)</w:t>
      </w:r>
      <w:r w:rsidRPr="00C028A3">
        <w:t xml:space="preserve"> </w:t>
      </w:r>
    </w:p>
    <w:p w14:paraId="49246E53" w14:textId="77777777" w:rsidR="003C7B6A" w:rsidRDefault="003C7B6A" w:rsidP="003C7B6A">
      <w:r>
        <w:t>The f</w:t>
      </w:r>
      <w:r w:rsidRPr="00C028A3">
        <w:t xml:space="preserve">ossil fuel </w:t>
      </w:r>
      <w:r>
        <w:t xml:space="preserve">sector accounts for about 35% of methane emissions from human activity </w:t>
      </w:r>
      <w:r w:rsidRPr="00DA77C2">
        <w:rPr>
          <w:color w:val="000000"/>
        </w:rPr>
        <w:t>(IEA</w:t>
      </w:r>
      <w:r w:rsidRPr="00BA56C9">
        <w:rPr>
          <w:color w:val="000000"/>
        </w:rPr>
        <w:t xml:space="preserve"> 2026b)</w:t>
      </w:r>
      <w:r>
        <w:t xml:space="preserve">. </w:t>
      </w:r>
      <w:r w:rsidRPr="000271AD">
        <w:t xml:space="preserve">Methane is released throughout the extraction, processing, and transport of coal, oil, and natural gas. In the case of natural gas, methane </w:t>
      </w:r>
      <w:r>
        <w:t>comprises up to 90% of extracted gas</w:t>
      </w:r>
      <w:r w:rsidRPr="000271AD">
        <w:t xml:space="preserve"> </w:t>
      </w:r>
      <w:r>
        <w:t xml:space="preserve">before it is processed </w:t>
      </w:r>
      <w:r w:rsidRPr="00DA77C2">
        <w:rPr>
          <w:rFonts w:eastAsia="Times New Roman"/>
          <w:color w:val="000000"/>
        </w:rPr>
        <w:t xml:space="preserve">(Gordon </w:t>
      </w:r>
      <w:r w:rsidRPr="00BA56C9">
        <w:rPr>
          <w:rFonts w:eastAsia="Times New Roman"/>
          <w:color w:val="000000"/>
        </w:rPr>
        <w:t>and</w:t>
      </w:r>
      <w:r w:rsidRPr="00DA77C2">
        <w:rPr>
          <w:rFonts w:eastAsia="Times New Roman"/>
          <w:color w:val="000000"/>
        </w:rPr>
        <w:t xml:space="preserve"> Hughes 2023</w:t>
      </w:r>
      <w:r w:rsidRPr="00BA56C9">
        <w:rPr>
          <w:rFonts w:eastAsia="Times New Roman"/>
          <w:color w:val="000000"/>
        </w:rPr>
        <w:t>)</w:t>
      </w:r>
      <w:r>
        <w:t>.</w:t>
      </w:r>
    </w:p>
    <w:p w14:paraId="15A9446A" w14:textId="77777777" w:rsidR="003C7B6A" w:rsidRPr="00C028A3" w:rsidRDefault="003C7B6A" w:rsidP="003C7B6A">
      <w:r w:rsidRPr="00C028A3">
        <w:t>Waste generates</w:t>
      </w:r>
      <w:r>
        <w:t xml:space="preserve"> an estimated 17% of methane emissions from human activities </w:t>
      </w:r>
      <w:r w:rsidRPr="00DA77C2">
        <w:rPr>
          <w:color w:val="000000"/>
        </w:rPr>
        <w:t>(IEA</w:t>
      </w:r>
      <w:r w:rsidRPr="00BA56C9">
        <w:rPr>
          <w:color w:val="000000"/>
        </w:rPr>
        <w:t xml:space="preserve"> 2026a)</w:t>
      </w:r>
      <w:r>
        <w:t>. This</w:t>
      </w:r>
      <w:r w:rsidRPr="00C028A3">
        <w:t xml:space="preserve"> methane </w:t>
      </w:r>
      <w:r>
        <w:t>is produced when</w:t>
      </w:r>
      <w:r w:rsidRPr="00C028A3">
        <w:t xml:space="preserve"> organic materials break down in landfills and wastewater systems</w:t>
      </w:r>
      <w:r>
        <w:t xml:space="preserve"> </w:t>
      </w:r>
      <w:r w:rsidRPr="00DA77C2">
        <w:rPr>
          <w:color w:val="000000"/>
        </w:rPr>
        <w:t>(CCAC n.d</w:t>
      </w:r>
      <w:r w:rsidRPr="00BA56C9">
        <w:rPr>
          <w:color w:val="000000"/>
        </w:rPr>
        <w:t>.)</w:t>
      </w:r>
      <w:r w:rsidRPr="00C028A3">
        <w:t xml:space="preserve">. </w:t>
      </w:r>
    </w:p>
    <w:p w14:paraId="3C8BCD09" w14:textId="326CC56C" w:rsidR="0009304F" w:rsidRPr="003C7B6A" w:rsidRDefault="00A647E2" w:rsidP="003C7B6A">
      <w:r w:rsidRPr="00A647E2">
        <w:rPr>
          <w:b/>
          <w:bCs/>
          <w:noProof/>
        </w:rPr>
        <mc:AlternateContent>
          <mc:Choice Requires="wps">
            <w:drawing>
              <wp:anchor distT="45720" distB="45720" distL="114300" distR="114300" simplePos="0" relativeHeight="251658251" behindDoc="0" locked="0" layoutInCell="1" allowOverlap="1" wp14:anchorId="5A762011" wp14:editId="18CDBC46">
                <wp:simplePos x="0" y="0"/>
                <wp:positionH relativeFrom="page">
                  <wp:posOffset>170832</wp:posOffset>
                </wp:positionH>
                <wp:positionV relativeFrom="paragraph">
                  <wp:posOffset>3759835</wp:posOffset>
                </wp:positionV>
                <wp:extent cx="6161903" cy="300251"/>
                <wp:effectExtent l="0" t="0" r="10795" b="24130"/>
                <wp:wrapNone/>
                <wp:docPr id="12863555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1903" cy="300251"/>
                        </a:xfrm>
                        <a:prstGeom prst="rect">
                          <a:avLst/>
                        </a:prstGeom>
                        <a:solidFill>
                          <a:schemeClr val="bg1">
                            <a:alpha val="80000"/>
                          </a:schemeClr>
                        </a:solidFill>
                        <a:ln w="9525">
                          <a:solidFill>
                            <a:srgbClr val="FD904D"/>
                          </a:solidFill>
                          <a:miter lim="800000"/>
                          <a:headEnd/>
                          <a:tailEnd/>
                        </a:ln>
                      </wps:spPr>
                      <wps:txbx>
                        <w:txbxContent>
                          <w:p w14:paraId="5409354B" w14:textId="571821D6" w:rsidR="00A647E2" w:rsidRPr="00F418D8" w:rsidRDefault="005D4106" w:rsidP="007B6F15">
                            <w:pPr>
                              <w:spacing w:before="0" w:after="0"/>
                              <w:rPr>
                                <w:sz w:val="20"/>
                                <w:szCs w:val="22"/>
                                <w:lang w:val="en-AU"/>
                              </w:rPr>
                            </w:pPr>
                            <w:r>
                              <w:rPr>
                                <w:sz w:val="20"/>
                                <w:szCs w:val="22"/>
                                <w:lang w:val="en-AU"/>
                              </w:rPr>
                              <w:t>A l</w:t>
                            </w:r>
                            <w:r w:rsidR="00F418D8" w:rsidRPr="00F418D8">
                              <w:rPr>
                                <w:sz w:val="20"/>
                                <w:szCs w:val="22"/>
                                <w:lang w:val="en-AU"/>
                              </w:rPr>
                              <w:t>arge orange mining haul truck carr</w:t>
                            </w:r>
                            <w:r>
                              <w:rPr>
                                <w:sz w:val="20"/>
                                <w:szCs w:val="22"/>
                                <w:lang w:val="en-AU"/>
                              </w:rPr>
                              <w:t>ies</w:t>
                            </w:r>
                            <w:r w:rsidR="00F418D8" w:rsidRPr="00F418D8">
                              <w:rPr>
                                <w:sz w:val="20"/>
                                <w:szCs w:val="22"/>
                                <w:lang w:val="en-AU"/>
                              </w:rPr>
                              <w:t xml:space="preserve"> a load of rock in an open cut coal mine</w:t>
                            </w:r>
                            <w:r w:rsidR="009C4A3F">
                              <w:rPr>
                                <w:sz w:val="20"/>
                                <w:szCs w:val="22"/>
                                <w:lang w:val="en-AU"/>
                              </w:rPr>
                              <w:t xml:space="preserve"> in Queensland</w:t>
                            </w:r>
                            <w:r w:rsidR="00A63596">
                              <w:rPr>
                                <w:sz w:val="20"/>
                                <w:szCs w:val="22"/>
                                <w:lang w:val="en-AU"/>
                              </w:rPr>
                              <w:t>’s coal basin</w:t>
                            </w:r>
                            <w:r w:rsidR="00152F11">
                              <w:rPr>
                                <w:sz w:val="20"/>
                                <w:szCs w:val="22"/>
                                <w:lang w:val="en-A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762011" id="_x0000_s1030" type="#_x0000_t202" style="position:absolute;margin-left:13.45pt;margin-top:296.05pt;width:485.2pt;height:23.65pt;z-index:251658251;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" fillcolor="white [3212]" strokecolor="#fd904d">
                <v:fill opacity="52428f"/>
                <v:textbox>
                  <w:txbxContent>
                    <w:p w14:paraId="5409354B" w14:textId="571821D6" w:rsidR="00A647E2" w:rsidRPr="00F418D8" w:rsidRDefault="005D4106" w:rsidP="007B6F15">
                      <w:pPr>
                        <w:spacing w:before="0" w:after="0"/>
                        <w:rPr>
                          <w:sz w:val="20"/>
                          <w:szCs w:val="22"/>
                          <w:lang w:val="en-AU"/>
                        </w:rPr>
                      </w:pPr>
                      <w:r>
                        <w:rPr>
                          <w:sz w:val="20"/>
                          <w:szCs w:val="22"/>
                          <w:lang w:val="en-AU"/>
                        </w:rPr>
                        <w:t>A l</w:t>
                      </w:r>
                      <w:r w:rsidR="00F418D8" w:rsidRPr="00F418D8">
                        <w:rPr>
                          <w:sz w:val="20"/>
                          <w:szCs w:val="22"/>
                          <w:lang w:val="en-AU"/>
                        </w:rPr>
                        <w:t>arge orange mining haul truck carr</w:t>
                      </w:r>
                      <w:r>
                        <w:rPr>
                          <w:sz w:val="20"/>
                          <w:szCs w:val="22"/>
                          <w:lang w:val="en-AU"/>
                        </w:rPr>
                        <w:t>ies</w:t>
                      </w:r>
                      <w:r w:rsidR="00F418D8" w:rsidRPr="00F418D8">
                        <w:rPr>
                          <w:sz w:val="20"/>
                          <w:szCs w:val="22"/>
                          <w:lang w:val="en-AU"/>
                        </w:rPr>
                        <w:t xml:space="preserve"> a load of rock in an open cut coal mine</w:t>
                      </w:r>
                      <w:r w:rsidR="009C4A3F">
                        <w:rPr>
                          <w:sz w:val="20"/>
                          <w:szCs w:val="22"/>
                          <w:lang w:val="en-AU"/>
                        </w:rPr>
                        <w:t xml:space="preserve"> in Queensland</w:t>
                      </w:r>
                      <w:r w:rsidR="00A63596">
                        <w:rPr>
                          <w:sz w:val="20"/>
                          <w:szCs w:val="22"/>
                          <w:lang w:val="en-AU"/>
                        </w:rPr>
                        <w:t>’s coal basin</w:t>
                      </w:r>
                      <w:r w:rsidR="00152F11">
                        <w:rPr>
                          <w:sz w:val="20"/>
                          <w:szCs w:val="22"/>
                          <w:lang w:val="en-AU"/>
                        </w:rPr>
                        <w:t>.</w:t>
                      </w:r>
                    </w:p>
                  </w:txbxContent>
                </v:textbox>
                <w10:wrap anchorx="page"/>
              </v:shape>
            </w:pict>
          </mc:Fallback>
        </mc:AlternateContent>
      </w:r>
      <w:r w:rsidR="00F56921">
        <w:rPr>
          <w:noProof/>
        </w:rPr>
        <mc:AlternateContent>
          <mc:Choice Requires="wps">
            <w:drawing>
              <wp:anchor distT="0" distB="0" distL="114300" distR="114300" simplePos="0" relativeHeight="251658240" behindDoc="0" locked="0" layoutInCell="1" allowOverlap="1" wp14:anchorId="79742126" wp14:editId="426569CB">
                <wp:simplePos x="0" y="0"/>
                <wp:positionH relativeFrom="column">
                  <wp:posOffset>-628650</wp:posOffset>
                </wp:positionH>
                <wp:positionV relativeFrom="paragraph">
                  <wp:posOffset>1162050</wp:posOffset>
                </wp:positionV>
                <wp:extent cx="7823427" cy="5106299"/>
                <wp:effectExtent l="0" t="0" r="6350" b="0"/>
                <wp:wrapNone/>
                <wp:docPr id="1441957616" name="Rectangle 28"/>
                <wp:cNvGraphicFramePr/>
                <a:graphic xmlns:a="http://schemas.openxmlformats.org/drawingml/2006/main">
                  <a:graphicData uri="http://schemas.microsoft.com/office/word/2010/wordprocessingShape">
                    <wps:wsp>
                      <wps:cNvSpPr/>
                      <wps:spPr>
                        <a:xfrm>
                          <a:off x="0" y="0"/>
                          <a:ext cx="7823427" cy="5106299"/>
                        </a:xfrm>
                        <a:prstGeom prst="rect">
                          <a:avLst/>
                        </a:prstGeom>
                        <a:solidFill>
                          <a:srgbClr val="FD904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5E4A49" id="Rectangle 28" o:spid="_x0000_s1026" style="position:absolute;margin-left:-49.5pt;margin-top:91.5pt;width:616pt;height:402.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" fillcolor="#fd904d" stroked="f" strokeweight="1pt"/>
            </w:pict>
          </mc:Fallback>
        </mc:AlternateContent>
      </w:r>
      <w:r w:rsidR="00CD7E21">
        <w:rPr>
          <w:noProof/>
        </w:rPr>
        <w:drawing>
          <wp:anchor distT="0" distB="0" distL="114300" distR="114300" simplePos="0" relativeHeight="251658245" behindDoc="0" locked="0" layoutInCell="1" allowOverlap="1" wp14:anchorId="12DB44DA" wp14:editId="7D5EBE33">
            <wp:simplePos x="0" y="0"/>
            <wp:positionH relativeFrom="column">
              <wp:posOffset>-626993</wp:posOffset>
            </wp:positionH>
            <wp:positionV relativeFrom="paragraph">
              <wp:posOffset>1316355</wp:posOffset>
            </wp:positionV>
            <wp:extent cx="7665720" cy="3625398"/>
            <wp:effectExtent l="0" t="0" r="0" b="0"/>
            <wp:wrapNone/>
            <wp:docPr id="781416359"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416359" name="Picture 25">
                      <a:extLst>
                        <a:ext uri="{C183D7F6-B498-43B3-948B-1728B52AA6E4}">
                          <adec:decorative xmlns:adec="http://schemas.microsoft.com/office/drawing/2017/decorative" val="1"/>
                        </a:ext>
                      </a:extLst>
                    </pic:cNvPr>
                    <pic:cNvPicPr/>
                  </pic:nvPicPr>
                  <pic:blipFill rotWithShape="1">
                    <a:blip r:embed="rId15">
                      <a:extLst>
                        <a:ext uri="{28A0092B-C50C-407E-A947-70E740481C1C}">
                          <a14:useLocalDpi xmlns:a14="http://schemas.microsoft.com/office/drawing/2010/main" val="0"/>
                        </a:ext>
                      </a:extLst>
                    </a:blip>
                    <a:srcRect t="28812"/>
                    <a:stretch>
                      <a:fillRect/>
                    </a:stretch>
                  </pic:blipFill>
                  <pic:spPr bwMode="auto">
                    <a:xfrm>
                      <a:off x="0" y="0"/>
                      <a:ext cx="7665720" cy="36253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304F">
        <w:rPr>
          <w:b/>
          <w:bCs/>
        </w:rPr>
        <w:br w:type="page"/>
      </w:r>
    </w:p>
    <w:p w14:paraId="5EF63C30" w14:textId="033FAAE5" w:rsidR="003A4494" w:rsidRDefault="003A4494" w:rsidP="003A4494">
      <w:r w:rsidRPr="004977BB">
        <w:rPr>
          <w:b/>
          <w:bCs/>
        </w:rPr>
        <w:lastRenderedPageBreak/>
        <w:t>Figure 1</w:t>
      </w:r>
      <w:r>
        <w:t xml:space="preserve"> shows annual global methane emissions from both natural and </w:t>
      </w:r>
      <w:r w:rsidRPr="0065463D">
        <w:t>human</w:t>
      </w:r>
      <w:r>
        <w:t xml:space="preserve"> sources. It also shows the natural processes </w:t>
      </w:r>
      <w:r w:rsidRPr="0065463D">
        <w:t xml:space="preserve">that remove methane </w:t>
      </w:r>
      <w:r>
        <w:t>from the atmosphere</w:t>
      </w:r>
      <w:r w:rsidRPr="0065463D">
        <w:t xml:space="preserve"> (methane sinks</w:t>
      </w:r>
      <w:r>
        <w:t xml:space="preserve">) and the portion that remains in the atmosphere. </w:t>
      </w:r>
    </w:p>
    <w:p w14:paraId="26EE22E9" w14:textId="1F01E7D9" w:rsidR="00E02E5F" w:rsidRDefault="00E02E5F" w:rsidP="004060BF">
      <w:pPr>
        <w:pStyle w:val="ReportFigureTitle"/>
      </w:pPr>
      <w:r>
        <w:t xml:space="preserve">Figure </w:t>
      </w:r>
      <w:r>
        <w:fldChar w:fldCharType="begin"/>
      </w:r>
      <w:r>
        <w:instrText>SEQ Figure \* ARABIC</w:instrText>
      </w:r>
      <w:r>
        <w:fldChar w:fldCharType="separate"/>
      </w:r>
      <w:r>
        <w:rPr>
          <w:noProof/>
        </w:rPr>
        <w:t>1</w:t>
      </w:r>
      <w:r>
        <w:fldChar w:fldCharType="end"/>
      </w:r>
      <w:r>
        <w:t>: Global annual methane emissions sources and sinks for period 2010-2019</w:t>
      </w:r>
    </w:p>
    <w:p w14:paraId="30DBF163" w14:textId="32E18561" w:rsidR="00397223" w:rsidRDefault="0009304F" w:rsidP="007E5BF3">
      <w:pPr>
        <w:spacing w:before="0" w:after="160" w:line="278" w:lineRule="auto"/>
      </w:pPr>
      <w:r>
        <w:rPr>
          <w:noProof/>
        </w:rPr>
        <w:drawing>
          <wp:inline distT="0" distB="0" distL="0" distR="0" wp14:anchorId="78DA0E1C" wp14:editId="52F646DC">
            <wp:extent cx="6540500" cy="6030307"/>
            <wp:effectExtent l="0" t="0" r="0" b="0"/>
            <wp:docPr id="1527952927" name="Picture 12" descr="Methane sources are from agriculture and waste, wetlands and inland freshwaters, fossil fuel production and use, other natural emissions and biomass burning. Methane sinks include the chemical reaction in the atmosphere and soils. The amount remaining in the atmosphere is 36 megatonnes per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952927" name="Picture 12" descr="Methane sources are from agriculture and waste, wetlands and inland freshwaters, fossil fuel production and use, other natural emissions and biomass burning. Methane sinks include the chemical reaction in the atmosphere and soils. The amount remaining in the atmosphere is 36 megatonnes per year. "/>
                    <pic:cNvPicPr>
                      <a:picLocks noChangeAspect="1" noChangeArrowheads="1"/>
                    </pic:cNvPicPr>
                  </pic:nvPicPr>
                  <pic:blipFill>
                    <a:blip r:embed="rId16">
                      <a:extLst>
                        <a:ext uri="{96DAC541-7B7A-43D3-8B79-37D633B846F1}">
                          <asvg:svgBlip xmlns:asvg="http://schemas.microsoft.com/office/drawing/2016/SVG/main" r:embed="rId17"/>
                        </a:ext>
                      </a:extLst>
                    </a:blip>
                    <a:stretch>
                      <a:fillRect/>
                    </a:stretch>
                  </pic:blipFill>
                  <pic:spPr bwMode="auto">
                    <a:xfrm>
                      <a:off x="0" y="0"/>
                      <a:ext cx="6540500" cy="6030307"/>
                    </a:xfrm>
                    <a:prstGeom prst="rect">
                      <a:avLst/>
                    </a:prstGeom>
                  </pic:spPr>
                </pic:pic>
              </a:graphicData>
            </a:graphic>
          </wp:inline>
        </w:drawing>
      </w:r>
    </w:p>
    <w:p w14:paraId="64C8C49D" w14:textId="64ED8FD9" w:rsidR="00F77EED" w:rsidRDefault="00F77EED" w:rsidP="00D24058">
      <w:pPr>
        <w:pStyle w:val="ReportFigureSource"/>
      </w:pPr>
      <w:r>
        <w:t>Source:</w:t>
      </w:r>
      <w:r w:rsidR="00B61BDF" w:rsidRPr="00B61BDF">
        <w:t xml:space="preserve"> (Saunois et al. 2025)</w:t>
      </w:r>
    </w:p>
    <w:p w14:paraId="12BA3BC0" w14:textId="551A4F6A" w:rsidR="00B36734" w:rsidRDefault="00B36734" w:rsidP="00D24058">
      <w:pPr>
        <w:pStyle w:val="ReportFigureSource"/>
        <w:rPr>
          <w:i w:val="0"/>
        </w:rPr>
      </w:pPr>
      <w:r>
        <w:rPr>
          <w:i w:val="0"/>
          <w:iCs/>
        </w:rPr>
        <w:t xml:space="preserve">Note: </w:t>
      </w:r>
      <w:r w:rsidR="003E708C">
        <w:rPr>
          <w:i w:val="0"/>
          <w:iCs/>
        </w:rPr>
        <w:t>units</w:t>
      </w:r>
      <w:r w:rsidR="00E67F6C">
        <w:rPr>
          <w:i w:val="0"/>
          <w:iCs/>
        </w:rPr>
        <w:t xml:space="preserve"> are </w:t>
      </w:r>
      <w:r w:rsidR="0086160F">
        <w:rPr>
          <w:i w:val="0"/>
          <w:iCs/>
        </w:rPr>
        <w:t>megatonnes of methane, not carbon dioxide equivalent</w:t>
      </w:r>
    </w:p>
    <w:p w14:paraId="1BE2E8AF" w14:textId="77777777" w:rsidR="00B32925" w:rsidRPr="00DF2359" w:rsidRDefault="00B32925" w:rsidP="00D24058">
      <w:pPr>
        <w:pStyle w:val="ReportFigureSource"/>
        <w:rPr>
          <w:i w:val="0"/>
          <w:iCs/>
        </w:rPr>
      </w:pPr>
    </w:p>
    <w:p w14:paraId="6EE6D414" w14:textId="5F96CDF5" w:rsidR="00165690" w:rsidRDefault="008C1FEE" w:rsidP="008C1FEE">
      <w:r>
        <w:t xml:space="preserve">Historically, there has been balance between the methane sinks and sources, meaning </w:t>
      </w:r>
      <w:r w:rsidRPr="00977AFA">
        <w:t>atmospheric methane concentrations remained relatively stable</w:t>
      </w:r>
      <w:r w:rsidRPr="00A4119B">
        <w:rPr>
          <w:rFonts w:ascii="Open Sans" w:hAnsi="Open Sans" w:cs="Open Sans"/>
          <w:color w:val="555658"/>
          <w:spacing w:val="-3"/>
          <w:shd w:val="clear" w:color="auto" w:fill="FFFFFF"/>
        </w:rPr>
        <w:t xml:space="preserve"> </w:t>
      </w:r>
      <w:r w:rsidRPr="00A4119B">
        <w:t>for most of the past 2000 years</w:t>
      </w:r>
      <w:r>
        <w:t xml:space="preserve"> </w:t>
      </w:r>
      <w:r w:rsidRPr="00DA77C2">
        <w:rPr>
          <w:color w:val="000000"/>
        </w:rPr>
        <w:t>(CSIRO n.d</w:t>
      </w:r>
      <w:r w:rsidRPr="00BA56C9">
        <w:rPr>
          <w:color w:val="000000"/>
        </w:rPr>
        <w:t>.</w:t>
      </w:r>
      <w:r w:rsidR="0092285C">
        <w:rPr>
          <w:color w:val="000000"/>
        </w:rPr>
        <w:t>-a</w:t>
      </w:r>
      <w:r w:rsidRPr="00BA56C9">
        <w:rPr>
          <w:color w:val="000000"/>
        </w:rPr>
        <w:t>)</w:t>
      </w:r>
      <w:r w:rsidRPr="00977AFA">
        <w:t>.</w:t>
      </w:r>
      <w:r>
        <w:t xml:space="preserve"> Human activity, particularly since the industrial revolution, </w:t>
      </w:r>
      <w:r w:rsidRPr="00977AFA">
        <w:t>has disrupted</w:t>
      </w:r>
      <w:r>
        <w:t xml:space="preserve"> this equilibrium</w:t>
      </w:r>
      <w:r w:rsidRPr="00977AFA">
        <w:t xml:space="preserve">, </w:t>
      </w:r>
      <w:r>
        <w:t xml:space="preserve">and methane is rapidly accumulating in the atmosphere </w:t>
      </w:r>
      <w:r w:rsidRPr="000A4F23">
        <w:rPr>
          <w:color w:val="000000"/>
        </w:rPr>
        <w:t>(CSIRO n.d.-a</w:t>
      </w:r>
      <w:r>
        <w:t xml:space="preserve">; </w:t>
      </w:r>
      <w:r w:rsidRPr="004977BB">
        <w:rPr>
          <w:b/>
          <w:bCs/>
        </w:rPr>
        <w:t>Figure 2</w:t>
      </w:r>
      <w:r>
        <w:t>)</w:t>
      </w:r>
      <w:r w:rsidRPr="00977AFA">
        <w:t>.</w:t>
      </w:r>
      <w:r>
        <w:t xml:space="preserve"> Over the last 200 years, the concentration of methane in the atmosphere has increased almost 2.7 times </w:t>
      </w:r>
      <w:r w:rsidRPr="00DA77C2">
        <w:rPr>
          <w:color w:val="000000"/>
        </w:rPr>
        <w:t>(IEA</w:t>
      </w:r>
      <w:r w:rsidRPr="00BA56C9">
        <w:rPr>
          <w:color w:val="000000"/>
        </w:rPr>
        <w:t xml:space="preserve"> 2026b)</w:t>
      </w:r>
      <w:r>
        <w:t xml:space="preserve">. Over the past 5 years, methane concentrations have increased at a record pace </w:t>
      </w:r>
      <w:r w:rsidRPr="00DA77C2">
        <w:rPr>
          <w:color w:val="000000"/>
        </w:rPr>
        <w:t>(Stanford Report 2024</w:t>
      </w:r>
      <w:r w:rsidRPr="00BA56C9">
        <w:rPr>
          <w:color w:val="000000"/>
        </w:rPr>
        <w:t>)</w:t>
      </w:r>
      <w:r>
        <w:t xml:space="preserve">. </w:t>
      </w:r>
    </w:p>
    <w:p w14:paraId="404757E0" w14:textId="77777777" w:rsidR="004A27A1" w:rsidRDefault="004A27A1" w:rsidP="008C1FEE"/>
    <w:p w14:paraId="15C6DB1A" w14:textId="7E06429E" w:rsidR="00165690" w:rsidRDefault="00165690" w:rsidP="004060BF">
      <w:pPr>
        <w:pStyle w:val="ReportFigureTitle"/>
      </w:pPr>
      <w:r>
        <w:t xml:space="preserve">Figure </w:t>
      </w:r>
      <w:r>
        <w:fldChar w:fldCharType="begin"/>
      </w:r>
      <w:r>
        <w:instrText>SEQ Figure \* ARABIC</w:instrText>
      </w:r>
      <w:r>
        <w:fldChar w:fldCharType="separate"/>
      </w:r>
      <w:r>
        <w:rPr>
          <w:noProof/>
        </w:rPr>
        <w:t>2</w:t>
      </w:r>
      <w:r>
        <w:fldChar w:fldCharType="end"/>
      </w:r>
      <w:r>
        <w:t>: Change in atmospheric methane concentration over time</w:t>
      </w:r>
    </w:p>
    <w:p w14:paraId="08D036D6" w14:textId="6CF24829" w:rsidR="00165690" w:rsidRDefault="00EC6FC5" w:rsidP="00165690">
      <w:pPr>
        <w:keepNext/>
        <w:jc w:val="center"/>
      </w:pPr>
      <w:r>
        <w:rPr>
          <w:noProof/>
        </w:rPr>
        <w:drawing>
          <wp:inline distT="0" distB="0" distL="0" distR="0" wp14:anchorId="7DF8F1E6" wp14:editId="743CF73B">
            <wp:extent cx="5760000" cy="3498883"/>
            <wp:effectExtent l="0" t="0" r="0" b="0"/>
            <wp:docPr id="189577041" name="Picture 18" descr="Chart showing dramatic increase in atmospheric methane concentration over time. Incrrease occurs rom the mid 1800s at 700 parts per million to over 1900 parts per million in the 202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77041" name="Picture 18" descr="Chart showing dramatic increase in atmospheric methane concentration over time. Incrrease occurs rom the mid 1800s at 700 parts per million to over 1900 parts per million in the 2020s."/>
                    <pic:cNvPicPr>
                      <a:picLocks noChangeAspect="1" noChangeArrowheads="1"/>
                    </pic:cNvPicPr>
                  </pic:nvPicPr>
                  <pic:blipFill>
                    <a:blip r:embed="rId18">
                      <a:extLst>
                        <a:ext uri="{96DAC541-7B7A-43D3-8B79-37D633B846F1}">
                          <asvg:svgBlip xmlns:asvg="http://schemas.microsoft.com/office/drawing/2016/SVG/main" r:embed="rId19"/>
                        </a:ext>
                      </a:extLst>
                    </a:blip>
                    <a:stretch>
                      <a:fillRect/>
                    </a:stretch>
                  </pic:blipFill>
                  <pic:spPr bwMode="auto">
                    <a:xfrm>
                      <a:off x="0" y="0"/>
                      <a:ext cx="5760000" cy="3498883"/>
                    </a:xfrm>
                    <a:prstGeom prst="rect">
                      <a:avLst/>
                    </a:prstGeom>
                  </pic:spPr>
                </pic:pic>
              </a:graphicData>
            </a:graphic>
          </wp:inline>
        </w:drawing>
      </w:r>
    </w:p>
    <w:p w14:paraId="36D460AC" w14:textId="04E2A421" w:rsidR="00165690" w:rsidRDefault="00625FB8" w:rsidP="00165690">
      <w:pPr>
        <w:pStyle w:val="ReportFigureSource"/>
      </w:pPr>
      <w:r w:rsidRPr="00625FB8">
        <w:t>Source: (2 Degrees Institute 2026).</w:t>
      </w:r>
    </w:p>
    <w:p w14:paraId="207F20F7" w14:textId="77777777" w:rsidR="007A7413" w:rsidRDefault="007A7413" w:rsidP="00E3684D">
      <w:pPr>
        <w:pStyle w:val="L2Sub-heading"/>
      </w:pPr>
      <w:bookmarkStart w:id="48" w:name="_Toc227942648"/>
      <w:bookmarkStart w:id="49" w:name="_Toc231298021"/>
      <w:bookmarkStart w:id="50" w:name="_Toc231557409"/>
      <w:bookmarkStart w:id="51" w:name="_Toc232079490"/>
      <w:r>
        <w:t xml:space="preserve">1.2 </w:t>
      </w:r>
      <w:r w:rsidRPr="004E0163">
        <w:t>Methane has an outsized impact on warming in the near term</w:t>
      </w:r>
      <w:bookmarkEnd w:id="48"/>
      <w:bookmarkEnd w:id="49"/>
      <w:bookmarkEnd w:id="50"/>
      <w:bookmarkEnd w:id="51"/>
      <w:r w:rsidRPr="00A933B5">
        <w:t> </w:t>
      </w:r>
    </w:p>
    <w:p w14:paraId="2E0C6D7B" w14:textId="09DD8623" w:rsidR="0010237F" w:rsidRDefault="0010237F" w:rsidP="0058776B">
      <w:pPr>
        <w:rPr>
          <w:lang w:val="en-US"/>
        </w:rPr>
      </w:pPr>
      <w:r w:rsidRPr="00294DD9">
        <w:t>Methane</w:t>
      </w:r>
      <w:r>
        <w:t xml:space="preserve"> </w:t>
      </w:r>
      <w:r w:rsidRPr="00294DD9">
        <w:t>is a greenhouse gas</w:t>
      </w:r>
      <w:r w:rsidDel="00BE43F4">
        <w:t>,</w:t>
      </w:r>
      <w:r>
        <w:t xml:space="preserve"> like carbon dioxide, that traps </w:t>
      </w:r>
      <w:r w:rsidRPr="00294DD9">
        <w:t xml:space="preserve">heat in the atmosphere and </w:t>
      </w:r>
      <w:r>
        <w:t xml:space="preserve">drives climate change </w:t>
      </w:r>
      <w:r w:rsidRPr="00DA77C2">
        <w:rPr>
          <w:color w:val="000000"/>
        </w:rPr>
        <w:t>(CSIRO n.d</w:t>
      </w:r>
      <w:r w:rsidRPr="00BA56C9">
        <w:rPr>
          <w:color w:val="000000"/>
        </w:rPr>
        <w:t>.</w:t>
      </w:r>
      <w:r w:rsidR="00601E63">
        <w:rPr>
          <w:color w:val="000000"/>
        </w:rPr>
        <w:t>-b</w:t>
      </w:r>
      <w:r w:rsidRPr="00BA56C9">
        <w:rPr>
          <w:color w:val="000000"/>
        </w:rPr>
        <w:t>)</w:t>
      </w:r>
      <w:r>
        <w:t>. After carbon dioxide,</w:t>
      </w:r>
      <w:r w:rsidRPr="00883364">
        <w:t xml:space="preserve"> </w:t>
      </w:r>
      <w:r>
        <w:t>i</w:t>
      </w:r>
      <w:r w:rsidRPr="00883364">
        <w:t>t is the second most abundant</w:t>
      </w:r>
      <w:r>
        <w:t xml:space="preserve"> human-caused</w:t>
      </w:r>
      <w:r w:rsidRPr="00883364">
        <w:t xml:space="preserve"> </w:t>
      </w:r>
      <w:r>
        <w:t>greenhouse gas</w:t>
      </w:r>
      <w:r w:rsidRPr="00883364">
        <w:t xml:space="preserve">, making up </w:t>
      </w:r>
      <w:r>
        <w:t>around 19%</w:t>
      </w:r>
      <w:r w:rsidRPr="00883364">
        <w:t xml:space="preserve"> of global emissions </w:t>
      </w:r>
      <w:r>
        <w:t>and 29</w:t>
      </w:r>
      <w:r w:rsidRPr="00927BA4">
        <w:t>% of Australia’s emissions</w:t>
      </w:r>
      <w:r>
        <w:t xml:space="preserve"> </w:t>
      </w:r>
      <w:r w:rsidRPr="00BA56C9">
        <w:rPr>
          <w:color w:val="000000"/>
        </w:rPr>
        <w:t xml:space="preserve">(WRI 2026; </w:t>
      </w:r>
      <w:r w:rsidRPr="00DA77C2">
        <w:rPr>
          <w:color w:val="000000"/>
        </w:rPr>
        <w:t>DCCEEW</w:t>
      </w:r>
      <w:r w:rsidRPr="00BA56C9">
        <w:rPr>
          <w:color w:val="000000"/>
        </w:rPr>
        <w:t xml:space="preserve"> 2026b)</w:t>
      </w:r>
      <w:r w:rsidRPr="00883364">
        <w:t xml:space="preserve">. </w:t>
      </w:r>
      <w:r>
        <w:t xml:space="preserve">Human-caused methane emissions are responsible for about 0.3 °C of warming since pre-industrial levels </w:t>
      </w:r>
      <w:r w:rsidRPr="00DA77C2">
        <w:rPr>
          <w:color w:val="000000"/>
        </w:rPr>
        <w:t>(OECD 2025</w:t>
      </w:r>
      <w:r w:rsidRPr="00BA56C9">
        <w:rPr>
          <w:color w:val="000000"/>
        </w:rPr>
        <w:t>)</w:t>
      </w:r>
      <w:r>
        <w:t xml:space="preserve">. </w:t>
      </w:r>
    </w:p>
    <w:p w14:paraId="2DD0DCE1" w14:textId="328A84B5" w:rsidR="00E37F1E" w:rsidRDefault="0010237F" w:rsidP="0010237F">
      <w:r>
        <w:t xml:space="preserve">Methane lasts for an average of 12 years in the atmosphere </w:t>
      </w:r>
      <w:r w:rsidRPr="00035F41">
        <w:t xml:space="preserve">before naturally breaking down into carbon dioxide and water </w:t>
      </w:r>
      <w:r w:rsidRPr="00DA77C2">
        <w:rPr>
          <w:color w:val="000000"/>
        </w:rPr>
        <w:t>(WRI 2025</w:t>
      </w:r>
      <w:r w:rsidRPr="00BA56C9">
        <w:rPr>
          <w:color w:val="000000"/>
        </w:rPr>
        <w:t>)</w:t>
      </w:r>
      <w:r w:rsidRPr="00035F41">
        <w:t xml:space="preserve">. The resulting carbon dioxide, like direct carbon dioxide emissions, can remain </w:t>
      </w:r>
      <w:r>
        <w:t xml:space="preserve">in the atmosphere </w:t>
      </w:r>
      <w:r w:rsidRPr="00035F41">
        <w:t xml:space="preserve">for hundreds to thousands of years </w:t>
      </w:r>
      <w:r w:rsidRPr="00DA77C2">
        <w:rPr>
          <w:color w:val="000000"/>
        </w:rPr>
        <w:t>(WRI 2025</w:t>
      </w:r>
      <w:r w:rsidRPr="00BA56C9">
        <w:rPr>
          <w:color w:val="000000"/>
        </w:rPr>
        <w:t>)</w:t>
      </w:r>
      <w:r>
        <w:t>. W</w:t>
      </w:r>
      <w:r w:rsidRPr="007237BB">
        <w:t xml:space="preserve">hile methane is in the atmosphere, it has a much higher ability </w:t>
      </w:r>
      <w:r>
        <w:t xml:space="preserve">than carbon dioxide </w:t>
      </w:r>
      <w:r w:rsidRPr="007237BB">
        <w:t xml:space="preserve">to absorb energy, trapping more heat </w:t>
      </w:r>
      <w:r w:rsidRPr="00DA77C2">
        <w:rPr>
          <w:color w:val="000000"/>
        </w:rPr>
        <w:t>(IPCC 2021</w:t>
      </w:r>
      <w:r w:rsidRPr="00BA56C9">
        <w:rPr>
          <w:color w:val="000000"/>
        </w:rPr>
        <w:t>)</w:t>
      </w:r>
      <w:r w:rsidRPr="007237BB">
        <w:t>. It therefore has a higher ‘Global Warming Potential’ (GWP) than carbon dioxide over 100 years, and a</w:t>
      </w:r>
      <w:r>
        <w:t xml:space="preserve">n even </w:t>
      </w:r>
      <w:r w:rsidRPr="007237BB">
        <w:t xml:space="preserve">higher warming potential </w:t>
      </w:r>
      <w:r>
        <w:t xml:space="preserve">when considered </w:t>
      </w:r>
      <w:r w:rsidRPr="007237BB">
        <w:t>over 20 years (</w:t>
      </w:r>
      <w:r w:rsidRPr="007237BB">
        <w:rPr>
          <w:b/>
          <w:bCs/>
        </w:rPr>
        <w:t>Box 1</w:t>
      </w:r>
      <w:r w:rsidRPr="007237BB">
        <w:t>).</w:t>
      </w:r>
    </w:p>
    <w:p w14:paraId="0711F1A5" w14:textId="77777777" w:rsidR="00E37F1E" w:rsidRDefault="00E37F1E">
      <w:pPr>
        <w:spacing w:before="0" w:after="160" w:line="279" w:lineRule="auto"/>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FF7FD"/>
        <w:tblCellMar>
          <w:top w:w="113" w:type="dxa"/>
          <w:bottom w:w="113" w:type="dxa"/>
        </w:tblCellMar>
        <w:tblLook w:val="04A0" w:firstRow="1" w:lastRow="0" w:firstColumn="1" w:lastColumn="0" w:noHBand="0" w:noVBand="1"/>
      </w:tblPr>
      <w:tblGrid>
        <w:gridCol w:w="10092"/>
      </w:tblGrid>
      <w:tr w:rsidR="007A7413" w:rsidRPr="004F135F" w14:paraId="463673F5" w14:textId="77777777" w:rsidTr="00BE390D">
        <w:trPr>
          <w:trHeight w:val="880"/>
        </w:trPr>
        <w:tc>
          <w:tcPr>
            <w:tcW w:w="5000" w:type="pct"/>
            <w:shd w:val="clear" w:color="auto" w:fill="DFF7FD"/>
          </w:tcPr>
          <w:p w14:paraId="7BC9B5CD" w14:textId="77777777" w:rsidR="00EF74B8" w:rsidRDefault="00EF74B8" w:rsidP="0058776B">
            <w:pPr>
              <w:rPr>
                <w:rFonts w:eastAsiaTheme="majorEastAsia" w:cstheme="majorBidi"/>
                <w:b/>
                <w:iCs/>
                <w:color w:val="0777A3"/>
                <w:sz w:val="36"/>
              </w:rPr>
            </w:pPr>
            <w:r w:rsidRPr="00EF74B8">
              <w:rPr>
                <w:rFonts w:eastAsiaTheme="majorEastAsia" w:cstheme="majorBidi"/>
                <w:b/>
                <w:iCs/>
                <w:color w:val="0777A3"/>
                <w:sz w:val="36"/>
              </w:rPr>
              <w:lastRenderedPageBreak/>
              <w:t xml:space="preserve">Box 1: What is global warming potential? </w:t>
            </w:r>
          </w:p>
          <w:p w14:paraId="42265102" w14:textId="6262FD5C" w:rsidR="002E1B29" w:rsidRPr="00E934BF" w:rsidRDefault="002E1B29" w:rsidP="002E1B29">
            <w:pPr>
              <w:spacing w:before="114" w:after="114"/>
            </w:pPr>
            <w:r w:rsidRPr="00E934BF">
              <w:t xml:space="preserve">Global </w:t>
            </w:r>
            <w:r>
              <w:t>w</w:t>
            </w:r>
            <w:r w:rsidRPr="00E934BF">
              <w:t>arming potential (GWP) is a standard metric for comparing the warming impact of different greenhouse gases. It measures how much energy the emission of one tonne of a gas will absorb over a specified period, relative to one tonne of carbon dioxide</w:t>
            </w:r>
            <w:r>
              <w:t xml:space="preserve">. </w:t>
            </w:r>
            <w:r w:rsidRPr="00787818">
              <w:t xml:space="preserve">The larger the GWP, </w:t>
            </w:r>
            <w:r>
              <w:t>the higher the warming impact of the gas</w:t>
            </w:r>
            <w:r w:rsidRPr="00787818">
              <w:t>.</w:t>
            </w:r>
            <w:r>
              <w:t xml:space="preserve"> </w:t>
            </w:r>
            <w:r w:rsidRPr="00E934BF">
              <w:t xml:space="preserve">The </w:t>
            </w:r>
            <w:r>
              <w:t xml:space="preserve">globally accepted </w:t>
            </w:r>
            <w:r w:rsidRPr="00E934BF">
              <w:t xml:space="preserve">time period for emissions reporting and policy is 100 years </w:t>
            </w:r>
            <w:r w:rsidRPr="00DA77C2">
              <w:rPr>
                <w:color w:val="000000"/>
              </w:rPr>
              <w:t>(IPCC 2021</w:t>
            </w:r>
            <w:r w:rsidRPr="00BA56C9">
              <w:rPr>
                <w:color w:val="000000"/>
              </w:rPr>
              <w:t>)</w:t>
            </w:r>
            <w:r>
              <w:t xml:space="preserve">. </w:t>
            </w:r>
          </w:p>
          <w:p w14:paraId="6F73BD6A" w14:textId="52FEA459" w:rsidR="007A7413" w:rsidRPr="004F135F" w:rsidRDefault="002E1B29" w:rsidP="002E1B29">
            <w:r>
              <w:t>B</w:t>
            </w:r>
            <w:r w:rsidRPr="00E934BF">
              <w:t>ecause it is short</w:t>
            </w:r>
            <w:r w:rsidRPr="00E934BF">
              <w:noBreakHyphen/>
              <w:t xml:space="preserve">lived but </w:t>
            </w:r>
            <w:r>
              <w:t>powerful,</w:t>
            </w:r>
            <w:r w:rsidRPr="00E934BF">
              <w:t xml:space="preserve"> </w:t>
            </w:r>
            <w:r>
              <w:t>m</w:t>
            </w:r>
            <w:r w:rsidRPr="00E934BF">
              <w:t xml:space="preserve">ethane’s warming impact is much higher over shorter timeframes. </w:t>
            </w:r>
            <w:r>
              <w:t>M</w:t>
            </w:r>
            <w:r w:rsidRPr="00E934BF">
              <w:t>ethane is around 28</w:t>
            </w:r>
            <w:r>
              <w:t xml:space="preserve"> </w:t>
            </w:r>
            <w:r w:rsidRPr="00E934BF">
              <w:t xml:space="preserve">times more potent than </w:t>
            </w:r>
            <w:r>
              <w:t>carbon dioxide</w:t>
            </w:r>
            <w:r w:rsidRPr="00E934BF">
              <w:t xml:space="preserve"> </w:t>
            </w:r>
            <w:r>
              <w:t xml:space="preserve">when averaged </w:t>
            </w:r>
            <w:r w:rsidRPr="00E934BF">
              <w:t>over 100 years (GWP</w:t>
            </w:r>
            <w:r w:rsidRPr="00E934BF">
              <w:noBreakHyphen/>
              <w:t>100), but around 86 times more potent over 20 years (GWP</w:t>
            </w:r>
            <w:r w:rsidRPr="00E934BF">
              <w:noBreakHyphen/>
              <w:t>20)</w:t>
            </w:r>
            <w:r>
              <w:t xml:space="preserve"> </w:t>
            </w:r>
            <w:r w:rsidRPr="00DA77C2">
              <w:rPr>
                <w:color w:val="000000"/>
              </w:rPr>
              <w:t>(CCAC n.d</w:t>
            </w:r>
            <w:r w:rsidRPr="00BA56C9">
              <w:rPr>
                <w:color w:val="000000"/>
              </w:rPr>
              <w:t>.)</w:t>
            </w:r>
            <w:r w:rsidRPr="00E934BF">
              <w:t>.</w:t>
            </w:r>
          </w:p>
        </w:tc>
      </w:tr>
    </w:tbl>
    <w:p w14:paraId="66F1156B" w14:textId="77777777" w:rsidR="00E37F1E" w:rsidRPr="00A602A0" w:rsidRDefault="00E37F1E" w:rsidP="0058776B">
      <w:r w:rsidRPr="00A602A0">
        <w:t>Because methane is short-lived</w:t>
      </w:r>
      <w:r>
        <w:t xml:space="preserve"> but powerful</w:t>
      </w:r>
      <w:r w:rsidRPr="00A602A0">
        <w:t xml:space="preserve">, reducing emissions now can </w:t>
      </w:r>
      <w:r>
        <w:t xml:space="preserve">contribute to reducing the concentration of methane in the atmosphere in the near term </w:t>
      </w:r>
      <w:r w:rsidRPr="00DA77C2">
        <w:rPr>
          <w:color w:val="000000"/>
        </w:rPr>
        <w:t>(Copernicus 2022</w:t>
      </w:r>
      <w:r w:rsidRPr="00BA56C9">
        <w:rPr>
          <w:color w:val="000000"/>
        </w:rPr>
        <w:t>)</w:t>
      </w:r>
      <w:r w:rsidRPr="00A602A0">
        <w:t>. That means cuts made today can have a measurable effect on warming within the next decade.</w:t>
      </w:r>
    </w:p>
    <w:p w14:paraId="49CFA2F4" w14:textId="77777777" w:rsidR="00E37F1E" w:rsidRDefault="00E37F1E" w:rsidP="0058776B">
      <w:r w:rsidRPr="00481C19">
        <w:t>This is important for</w:t>
      </w:r>
      <w:r>
        <w:t xml:space="preserve"> achieving the Paris Agreement temperature goal of holding warming well below 2 °C above pre-industrial levels, and p</w:t>
      </w:r>
      <w:r w:rsidRPr="00677CFD">
        <w:t>ursuing efforts to limit it to 1.5</w:t>
      </w:r>
      <w:r>
        <w:t xml:space="preserve"> </w:t>
      </w:r>
      <w:r w:rsidRPr="00677CFD">
        <w:t>°C</w:t>
      </w:r>
      <w:r>
        <w:t xml:space="preserve"> (</w:t>
      </w:r>
      <w:r w:rsidRPr="004977BB">
        <w:rPr>
          <w:b/>
          <w:bCs/>
        </w:rPr>
        <w:t>Box 2</w:t>
      </w:r>
      <w:r>
        <w:t xml:space="preserve">). </w:t>
      </w:r>
      <w:r w:rsidRPr="00315270">
        <w:t>Rapid methane reductions can support this</w:t>
      </w:r>
      <w:r>
        <w:t xml:space="preserve"> goal </w:t>
      </w:r>
      <w:r w:rsidRPr="00315270">
        <w:t>by slowing the pace of warming, limiting peak temperatures, and reducing the duration of any overshoot above 1.5</w:t>
      </w:r>
      <w:r>
        <w:t xml:space="preserve"> </w:t>
      </w:r>
      <w:r w:rsidRPr="00315270">
        <w:t>°C</w:t>
      </w:r>
      <w:r w:rsidRPr="00E54C3E">
        <w:t xml:space="preserve"> </w:t>
      </w:r>
      <w:r w:rsidRPr="00BA56C9">
        <w:rPr>
          <w:color w:val="000000"/>
          <w:lang w:val="en-US"/>
        </w:rPr>
        <w:t>(</w:t>
      </w:r>
      <w:r w:rsidRPr="00DA77C2">
        <w:rPr>
          <w:color w:val="000000"/>
          <w:lang w:val="en-US"/>
        </w:rPr>
        <w:t>OECD 2025</w:t>
      </w:r>
      <w:r w:rsidRPr="00BA56C9">
        <w:rPr>
          <w:color w:val="000000"/>
          <w:lang w:val="en-US"/>
        </w:rPr>
        <w:t>; CCA 2025a)</w:t>
      </w:r>
      <w:r w:rsidRPr="00E54C3E">
        <w:t>.</w:t>
      </w:r>
      <w:r>
        <w:t xml:space="preserve"> </w:t>
      </w:r>
      <w:r w:rsidRPr="00555CD5">
        <w:t>To limit warming to 1.5</w:t>
      </w:r>
      <w:r>
        <w:t xml:space="preserve"> </w:t>
      </w:r>
      <w:r w:rsidRPr="00555CD5">
        <w:t xml:space="preserve">°C with little or no overshoot, global </w:t>
      </w:r>
      <w:r>
        <w:t xml:space="preserve">studies suggest </w:t>
      </w:r>
      <w:r w:rsidRPr="00555CD5">
        <w:t xml:space="preserve">methane emissions </w:t>
      </w:r>
      <w:r>
        <w:t>would</w:t>
      </w:r>
      <w:r w:rsidRPr="00555CD5">
        <w:t xml:space="preserve"> need to fall by a</w:t>
      </w:r>
      <w:r>
        <w:t xml:space="preserve">n estimated </w:t>
      </w:r>
      <w:r w:rsidRPr="00555CD5">
        <w:t>34% by 2030 and 44% by 2040, relative to 2019 levels</w:t>
      </w:r>
      <w:r>
        <w:t xml:space="preserve"> </w:t>
      </w:r>
      <w:r w:rsidRPr="00BA56C9">
        <w:rPr>
          <w:color w:val="000000"/>
        </w:rPr>
        <w:t>(OECD 2025; IPCC 2023)</w:t>
      </w:r>
      <w:r>
        <w:t>.</w:t>
      </w:r>
    </w:p>
    <w:p w14:paraId="3DAB58DC" w14:textId="77777777" w:rsidR="00E37F1E" w:rsidRDefault="00E37F1E" w:rsidP="00E37F1E">
      <w:r>
        <w:t xml:space="preserve">In addition to its warming impact, methane is also a precursor for ground level ozone, formed through oxidation in the presence of sunlight and other pollutants. Ground level ozone is a harmful air pollutant that </w:t>
      </w:r>
      <w:r w:rsidRPr="004C6738">
        <w:t xml:space="preserve">can </w:t>
      </w:r>
      <w:r>
        <w:t>affect human health</w:t>
      </w:r>
      <w:r w:rsidRPr="004C6738">
        <w:t>, reduce crop yields, and harm ecosystems</w:t>
      </w:r>
      <w:r>
        <w:t xml:space="preserve">. Methane emissions contribute to roughly half of the observed rise in global ozone levels. Reducing methane emissions is therefore not just important for climate change benefits but also air quality </w:t>
      </w:r>
      <w:r w:rsidRPr="00166254">
        <w:t xml:space="preserve">and </w:t>
      </w:r>
      <w:r>
        <w:t xml:space="preserve">for health and environmental outcomes </w:t>
      </w:r>
      <w:r w:rsidRPr="00DA77C2">
        <w:rPr>
          <w:color w:val="000000"/>
        </w:rPr>
        <w:t>(CCAC n.d</w:t>
      </w:r>
      <w:r w:rsidRPr="00BA56C9">
        <w:rPr>
          <w:color w:val="000000"/>
        </w:rPr>
        <w:t>.)</w:t>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FF7FD"/>
        <w:tblCellMar>
          <w:top w:w="113" w:type="dxa"/>
          <w:bottom w:w="113" w:type="dxa"/>
        </w:tblCellMar>
        <w:tblLook w:val="04A0" w:firstRow="1" w:lastRow="0" w:firstColumn="1" w:lastColumn="0" w:noHBand="0" w:noVBand="1"/>
      </w:tblPr>
      <w:tblGrid>
        <w:gridCol w:w="10092"/>
      </w:tblGrid>
      <w:tr w:rsidR="00BE390D" w:rsidRPr="004F135F" w14:paraId="52CB4423" w14:textId="77777777" w:rsidTr="00BE390D">
        <w:trPr>
          <w:trHeight w:val="952"/>
        </w:trPr>
        <w:tc>
          <w:tcPr>
            <w:tcW w:w="5000" w:type="pct"/>
            <w:shd w:val="clear" w:color="auto" w:fill="DFF7FD"/>
          </w:tcPr>
          <w:p w14:paraId="6E19002A" w14:textId="77777777" w:rsidR="00C75D0D" w:rsidRDefault="00C75D0D" w:rsidP="0058776B">
            <w:pPr>
              <w:rPr>
                <w:rFonts w:eastAsiaTheme="majorEastAsia" w:cstheme="majorBidi"/>
                <w:b/>
                <w:iCs/>
                <w:color w:val="0777A3"/>
                <w:sz w:val="36"/>
              </w:rPr>
            </w:pPr>
            <w:r w:rsidRPr="00C75D0D">
              <w:rPr>
                <w:rFonts w:eastAsiaTheme="majorEastAsia" w:cstheme="majorBidi"/>
                <w:b/>
                <w:iCs/>
                <w:color w:val="0777A3"/>
                <w:sz w:val="36"/>
              </w:rPr>
              <w:t xml:space="preserve">Box 2: What is temperature overshoot? </w:t>
            </w:r>
          </w:p>
          <w:p w14:paraId="40FD4B19" w14:textId="77777777" w:rsidR="00393710" w:rsidRDefault="00393710" w:rsidP="00393710">
            <w:pPr>
              <w:spacing w:before="114" w:after="114"/>
            </w:pPr>
            <w:r w:rsidRPr="00481C19">
              <w:t xml:space="preserve">A decade ago, parties to the Paris Agreement, including Australia, committed to limiting the increase in global average temperature to well below </w:t>
            </w:r>
            <w:r>
              <w:t xml:space="preserve">2 </w:t>
            </w:r>
            <w:r w:rsidRPr="00481C19">
              <w:rPr>
                <w:rFonts w:cs="Aptos"/>
              </w:rPr>
              <w:t>°</w:t>
            </w:r>
            <w:r w:rsidRPr="00481C19">
              <w:t>C above pre-industrial levels, and to pursuing efforts to limit warming to 1.</w:t>
            </w:r>
            <w:r>
              <w:t xml:space="preserve">5 </w:t>
            </w:r>
            <w:r w:rsidRPr="00481C19">
              <w:rPr>
                <w:rFonts w:cs="Aptos"/>
              </w:rPr>
              <w:t>°</w:t>
            </w:r>
            <w:r w:rsidRPr="00481C19">
              <w:t>C</w:t>
            </w:r>
            <w:r>
              <w:t xml:space="preserve"> </w:t>
            </w:r>
            <w:r w:rsidRPr="00DA77C2">
              <w:rPr>
                <w:color w:val="000000"/>
              </w:rPr>
              <w:t>(UNFCCC 2015</w:t>
            </w:r>
            <w:r w:rsidRPr="00BA56C9">
              <w:rPr>
                <w:color w:val="000000"/>
              </w:rPr>
              <w:t>)</w:t>
            </w:r>
            <w:r>
              <w:t xml:space="preserve">. </w:t>
            </w:r>
            <w:r w:rsidRPr="005032D8">
              <w:t>These goals reflect scientific evidence that climate risks increase significantly beyond 1.5</w:t>
            </w:r>
            <w:r>
              <w:t xml:space="preserve"> </w:t>
            </w:r>
            <w:r w:rsidRPr="005032D8">
              <w:t>°C</w:t>
            </w:r>
            <w:r>
              <w:t xml:space="preserve"> </w:t>
            </w:r>
            <w:r w:rsidRPr="00DA77C2">
              <w:rPr>
                <w:color w:val="000000"/>
              </w:rPr>
              <w:t>(IPCC 2023</w:t>
            </w:r>
            <w:r w:rsidRPr="00BA56C9">
              <w:rPr>
                <w:color w:val="000000"/>
              </w:rPr>
              <w:t>)</w:t>
            </w:r>
            <w:r w:rsidRPr="005032D8">
              <w:t>.</w:t>
            </w:r>
          </w:p>
          <w:p w14:paraId="5036C5F0" w14:textId="77777777" w:rsidR="00393710" w:rsidRDefault="00393710" w:rsidP="00393710">
            <w:pPr>
              <w:spacing w:before="114" w:after="114"/>
            </w:pPr>
            <w:r w:rsidRPr="00756BE2">
              <w:t xml:space="preserve">Temperature overshoot occurs when global temperatures temporarily exceed these limits before falling back. Overshoot increases the risk of severe and, in some cases, irreversible impacts on human and natural systems </w:t>
            </w:r>
            <w:r w:rsidRPr="00DA77C2">
              <w:rPr>
                <w:color w:val="000000"/>
              </w:rPr>
              <w:t>(IPCC 2023</w:t>
            </w:r>
            <w:r w:rsidRPr="00BA56C9">
              <w:rPr>
                <w:color w:val="000000"/>
              </w:rPr>
              <w:t>)</w:t>
            </w:r>
            <w:r w:rsidRPr="005032D8">
              <w:t>.</w:t>
            </w:r>
          </w:p>
          <w:p w14:paraId="5844645E" w14:textId="6CC34212" w:rsidR="00BE390D" w:rsidRPr="004F135F" w:rsidRDefault="00393710" w:rsidP="00ED4B63">
            <w:pPr>
              <w:spacing w:before="114" w:after="114"/>
            </w:pPr>
            <w:r w:rsidRPr="00EE60D6">
              <w:rPr>
                <w:b/>
              </w:rPr>
              <w:t>Figure 3</w:t>
            </w:r>
            <w:r>
              <w:t xml:space="preserve"> shows how emissions levels shape temperature outcomes over time. </w:t>
            </w:r>
            <w:r w:rsidRPr="002E5332">
              <w:t xml:space="preserve">Higher emissions lead to more warming, while lower emissions slow and eventually stop further warming. Temperature largely follows the total amount of emissions over time, so delayed or </w:t>
            </w:r>
            <w:r>
              <w:t>slower</w:t>
            </w:r>
            <w:r w:rsidRPr="002E5332">
              <w:t xml:space="preserve"> reductions result in higher cumulative emissions and higher peak temperatures</w:t>
            </w:r>
            <w:r>
              <w:t xml:space="preserve"> </w:t>
            </w:r>
            <w:r w:rsidRPr="00DA77C2">
              <w:rPr>
                <w:color w:val="000000"/>
              </w:rPr>
              <w:t>(Climate Analytics 2021</w:t>
            </w:r>
            <w:r w:rsidRPr="00BA56C9">
              <w:rPr>
                <w:color w:val="000000"/>
              </w:rPr>
              <w:t>)</w:t>
            </w:r>
            <w:r w:rsidRPr="002E5332">
              <w:t>.</w:t>
            </w:r>
            <w:r>
              <w:t xml:space="preserve"> Delayed reductions also increase reliance on carbon removals in the future </w:t>
            </w:r>
            <w:r w:rsidRPr="00DA77C2">
              <w:rPr>
                <w:color w:val="000000"/>
              </w:rPr>
              <w:t>(Drouet et al</w:t>
            </w:r>
            <w:r w:rsidRPr="00BA56C9">
              <w:rPr>
                <w:color w:val="000000"/>
              </w:rPr>
              <w:t>.</w:t>
            </w:r>
            <w:r w:rsidRPr="00DA77C2">
              <w:rPr>
                <w:color w:val="000000"/>
              </w:rPr>
              <w:t xml:space="preserve"> 2021</w:t>
            </w:r>
            <w:r w:rsidRPr="00BA56C9">
              <w:rPr>
                <w:color w:val="000000"/>
              </w:rPr>
              <w:t>)</w:t>
            </w:r>
            <w:r>
              <w:t xml:space="preserve">.  </w:t>
            </w:r>
          </w:p>
        </w:tc>
      </w:tr>
      <w:tr w:rsidR="00ED4B63" w:rsidRPr="004F135F" w14:paraId="5C34A72D" w14:textId="77777777" w:rsidTr="0058776B">
        <w:trPr>
          <w:trHeight w:val="952"/>
        </w:trPr>
        <w:tc>
          <w:tcPr>
            <w:tcW w:w="5000" w:type="pct"/>
            <w:shd w:val="clear" w:color="auto" w:fill="DFF7FD"/>
          </w:tcPr>
          <w:p w14:paraId="6409EA45" w14:textId="61BA64F2" w:rsidR="00ED4B63" w:rsidRDefault="00ED4B63" w:rsidP="0058776B">
            <w:pPr>
              <w:pStyle w:val="ReportFigureTitle"/>
            </w:pPr>
            <w:bookmarkStart w:id="52" w:name="_Toc231298022"/>
            <w:r w:rsidRPr="00997E81">
              <w:rPr>
                <w:lang w:val="en-AU" w:eastAsia="en-US"/>
              </w:rPr>
              <w:lastRenderedPageBreak/>
              <w:t xml:space="preserve">Figure </w:t>
            </w:r>
            <w:r w:rsidRPr="00997E81">
              <w:rPr>
                <w:lang w:val="en-AU" w:eastAsia="en-US"/>
              </w:rPr>
              <w:fldChar w:fldCharType="begin"/>
            </w:r>
            <w:r w:rsidRPr="00997E81">
              <w:rPr>
                <w:lang w:val="en-AU" w:eastAsia="en-US"/>
              </w:rPr>
              <w:instrText>SEQ Figure \* ARABIC</w:instrText>
            </w:r>
            <w:r w:rsidRPr="00997E81">
              <w:rPr>
                <w:lang w:val="en-AU" w:eastAsia="en-US"/>
              </w:rPr>
              <w:fldChar w:fldCharType="separate"/>
            </w:r>
            <w:r w:rsidRPr="00997E81">
              <w:rPr>
                <w:noProof/>
                <w:lang w:val="en-AU" w:eastAsia="en-US"/>
              </w:rPr>
              <w:t>3</w:t>
            </w:r>
            <w:r w:rsidRPr="00997E81">
              <w:rPr>
                <w:lang w:val="en-AU" w:eastAsia="en-US"/>
              </w:rPr>
              <w:fldChar w:fldCharType="end"/>
            </w:r>
            <w:r w:rsidRPr="00997E81">
              <w:rPr>
                <w:lang w:val="en-AU" w:eastAsia="en-US"/>
              </w:rPr>
              <w:t>:  Relationship between emissions reduction and temperature overshoot.</w:t>
            </w:r>
            <w:r w:rsidR="00827982">
              <w:t xml:space="preserve"> </w:t>
            </w:r>
            <w:r w:rsidR="00827982" w:rsidRPr="00827982">
              <w:rPr>
                <w:lang w:val="en-AU" w:eastAsia="en-US"/>
              </w:rPr>
              <w:t>Illustration based on (</w:t>
            </w:r>
            <w:r w:rsidR="0082044C">
              <w:rPr>
                <w:lang w:val="en-AU" w:eastAsia="en-US"/>
              </w:rPr>
              <w:t>Nature Geoscience</w:t>
            </w:r>
            <w:r w:rsidR="00827982" w:rsidRPr="00827982">
              <w:rPr>
                <w:lang w:val="en-AU" w:eastAsia="en-US"/>
              </w:rPr>
              <w:t xml:space="preserve"> 2023).</w:t>
            </w:r>
          </w:p>
          <w:p w14:paraId="6B6D53CC" w14:textId="77777777" w:rsidR="00ED4B63" w:rsidRPr="004F135F" w:rsidRDefault="00ED4B63" w:rsidP="0058776B">
            <w:r>
              <w:rPr>
                <w:noProof/>
              </w:rPr>
              <w:drawing>
                <wp:inline distT="0" distB="0" distL="0" distR="0" wp14:anchorId="6AFE631B" wp14:editId="5C233291">
                  <wp:extent cx="6134936" cy="7086909"/>
                  <wp:effectExtent l="0" t="0" r="0" b="0"/>
                  <wp:docPr id="679493680" name="Picture 13" descr="Chart showing the relationship between emissions reduction and temperature overshoot. More emissions for longer will lead to higher peak temperature and bigger oversho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493680" name="Picture 13" descr="Chart showing the relationship between emissions reduction and temperature overshoot. More emissions for longer will lead to higher peak temperature and bigger overshoot. "/>
                          <pic:cNvPicPr>
                            <a:picLocks noChangeAspect="1" noChangeArrowheads="1"/>
                          </pic:cNvPicPr>
                        </pic:nvPicPr>
                        <pic:blipFill>
                          <a:blip r:embed="rId20">
                            <a:extLst>
                              <a:ext uri="{96DAC541-7B7A-43D3-8B79-37D633B846F1}">
                                <asvg:svgBlip xmlns:asvg="http://schemas.microsoft.com/office/drawing/2016/SVG/main" r:embed="rId21"/>
                              </a:ext>
                            </a:extLst>
                          </a:blip>
                          <a:stretch>
                            <a:fillRect/>
                          </a:stretch>
                        </pic:blipFill>
                        <pic:spPr bwMode="auto">
                          <a:xfrm>
                            <a:off x="0" y="0"/>
                            <a:ext cx="6134936" cy="7086909"/>
                          </a:xfrm>
                          <a:prstGeom prst="rect">
                            <a:avLst/>
                          </a:prstGeom>
                        </pic:spPr>
                      </pic:pic>
                    </a:graphicData>
                  </a:graphic>
                </wp:inline>
              </w:drawing>
            </w:r>
          </w:p>
        </w:tc>
      </w:tr>
    </w:tbl>
    <w:p w14:paraId="709B610D" w14:textId="77777777" w:rsidR="000A043C" w:rsidRDefault="000A043C" w:rsidP="00E3684D">
      <w:pPr>
        <w:pStyle w:val="L2Sub-heading"/>
      </w:pPr>
      <w:bookmarkStart w:id="53" w:name="_Toc231557410"/>
    </w:p>
    <w:p w14:paraId="548E7C4F" w14:textId="77777777" w:rsidR="000A043C" w:rsidRDefault="000A043C">
      <w:pPr>
        <w:spacing w:before="0" w:after="160" w:line="279" w:lineRule="auto"/>
        <w:rPr>
          <w:rFonts w:eastAsiaTheme="majorEastAsia" w:cstheme="majorBidi"/>
          <w:b/>
          <w:bCs/>
          <w:color w:val="10BFE8"/>
          <w:sz w:val="36"/>
          <w:szCs w:val="40"/>
        </w:rPr>
      </w:pPr>
      <w:r>
        <w:br w:type="page"/>
      </w:r>
    </w:p>
    <w:p w14:paraId="061FAEC4" w14:textId="4E775F43" w:rsidR="004060BF" w:rsidRDefault="004060BF" w:rsidP="00E3684D">
      <w:pPr>
        <w:pStyle w:val="L2Sub-heading"/>
      </w:pPr>
      <w:bookmarkStart w:id="54" w:name="_Toc232079491"/>
      <w:r>
        <w:lastRenderedPageBreak/>
        <w:t>1.3 Agriculture is the largest source of methane emissions</w:t>
      </w:r>
      <w:bookmarkEnd w:id="52"/>
      <w:bookmarkEnd w:id="53"/>
      <w:bookmarkEnd w:id="54"/>
    </w:p>
    <w:p w14:paraId="3946E3A8" w14:textId="77777777" w:rsidR="006D5793" w:rsidRDefault="006D5793" w:rsidP="0058776B">
      <w:r>
        <w:t>In Australia, agriculture is the largest contributor to human caused methane emissions at an estimated 49% (</w:t>
      </w:r>
      <w:r w:rsidRPr="00577E0E">
        <w:rPr>
          <w:b/>
          <w:bCs/>
        </w:rPr>
        <w:t>Figure 4</w:t>
      </w:r>
      <w:r>
        <w:t xml:space="preserve">). Agricultural methane is produced as a result of biological processes from dispersed emissions sources, which can make it more difficult to manage </w:t>
      </w:r>
      <w:r w:rsidRPr="00DA77C2">
        <w:rPr>
          <w:color w:val="000000"/>
        </w:rPr>
        <w:t>(CCAG 2025</w:t>
      </w:r>
      <w:r w:rsidRPr="00BA56C9">
        <w:rPr>
          <w:color w:val="000000"/>
        </w:rPr>
        <w:t>)</w:t>
      </w:r>
      <w:r>
        <w:t xml:space="preserve">. Some opportunities can be implemented now, such as changes to herd and manure management practices. Broadly, however, there are currently limited options commercially available to achieve significant abatement in the agriculture sector </w:t>
      </w:r>
      <w:r w:rsidRPr="00DA77C2">
        <w:rPr>
          <w:color w:val="000000"/>
        </w:rPr>
        <w:t>(DAFF 2025</w:t>
      </w:r>
      <w:r w:rsidRPr="00BA56C9">
        <w:rPr>
          <w:color w:val="000000"/>
        </w:rPr>
        <w:t>)</w:t>
      </w:r>
      <w:r>
        <w:t>.</w:t>
      </w:r>
    </w:p>
    <w:p w14:paraId="6F987A6C" w14:textId="77777777" w:rsidR="006D5793" w:rsidRDefault="006D5793" w:rsidP="0058776B">
      <w:r>
        <w:t xml:space="preserve">To overcome the barriers in the agriculture sector, existing programs are supporting research and development of abatement solutions such as feed supplements for livestock, including the Methane Emissions Reduction in Livestock Program </w:t>
      </w:r>
      <w:r w:rsidRPr="00DA77C2">
        <w:rPr>
          <w:color w:val="000000"/>
        </w:rPr>
        <w:t>(DCCEEW</w:t>
      </w:r>
      <w:r w:rsidRPr="00BA56C9">
        <w:rPr>
          <w:color w:val="000000"/>
        </w:rPr>
        <w:t xml:space="preserve"> 2025a)</w:t>
      </w:r>
      <w:r>
        <w:t xml:space="preserve">. Additional funding for early-stage commercialisation could further help address these challenges </w:t>
      </w:r>
      <w:r w:rsidRPr="00DA77C2">
        <w:rPr>
          <w:color w:val="000000"/>
        </w:rPr>
        <w:t>(CCA 2024</w:t>
      </w:r>
      <w:r w:rsidRPr="00BA56C9">
        <w:rPr>
          <w:color w:val="000000"/>
        </w:rPr>
        <w:t>)</w:t>
      </w:r>
      <w:r>
        <w:t xml:space="preserve">. </w:t>
      </w:r>
    </w:p>
    <w:p w14:paraId="479D6BA2" w14:textId="32B0CB70" w:rsidR="006D5793" w:rsidRPr="00FD7C08" w:rsidRDefault="006D5793" w:rsidP="006D5793">
      <w:r>
        <w:t>While this important work progresses, it makes sense to look for near-term abatement opportunities in the next highest emitting sector</w:t>
      </w:r>
      <w:r w:rsidR="007B140F">
        <w:t>—</w:t>
      </w:r>
      <w:r>
        <w:t>fossil fuel production and use.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FF7FD"/>
        <w:tblCellMar>
          <w:top w:w="113" w:type="dxa"/>
          <w:bottom w:w="113" w:type="dxa"/>
        </w:tblCellMar>
        <w:tblLook w:val="04A0" w:firstRow="1" w:lastRow="0" w:firstColumn="1" w:lastColumn="0" w:noHBand="0" w:noVBand="1"/>
      </w:tblPr>
      <w:tblGrid>
        <w:gridCol w:w="10092"/>
      </w:tblGrid>
      <w:tr w:rsidR="00750A66" w:rsidRPr="004F135F" w14:paraId="7EF6573D" w14:textId="77777777" w:rsidTr="0058776B">
        <w:trPr>
          <w:trHeight w:val="952"/>
        </w:trPr>
        <w:tc>
          <w:tcPr>
            <w:tcW w:w="5000" w:type="pct"/>
            <w:shd w:val="clear" w:color="auto" w:fill="DFF7FD"/>
          </w:tcPr>
          <w:p w14:paraId="21521E45" w14:textId="77777777" w:rsidR="00651BD4" w:rsidRDefault="00651BD4" w:rsidP="00750A66">
            <w:pPr>
              <w:spacing w:before="114" w:after="114"/>
              <w:rPr>
                <w:rFonts w:eastAsiaTheme="majorEastAsia" w:cstheme="majorBidi"/>
                <w:b/>
                <w:iCs/>
                <w:color w:val="0777A3"/>
                <w:sz w:val="36"/>
              </w:rPr>
            </w:pPr>
            <w:r w:rsidRPr="00651BD4">
              <w:rPr>
                <w:rFonts w:eastAsiaTheme="majorEastAsia" w:cstheme="majorBidi"/>
                <w:b/>
                <w:iCs/>
                <w:color w:val="0777A3"/>
                <w:sz w:val="36"/>
              </w:rPr>
              <w:t>Box 3: Australia’s international commitments on methane</w:t>
            </w:r>
          </w:p>
          <w:p w14:paraId="1F5BA0E4" w14:textId="77777777" w:rsidR="00903582" w:rsidRPr="008E21A1" w:rsidRDefault="00903582" w:rsidP="00081174">
            <w:pPr>
              <w:rPr>
                <w:bCs/>
              </w:rPr>
            </w:pPr>
            <w:r>
              <w:rPr>
                <w:bCs/>
              </w:rPr>
              <w:t xml:space="preserve">Australia and the world have committed to reducing methane emissions. It forms part of our national targets and policies and is a </w:t>
            </w:r>
            <w:r w:rsidRPr="00A54D3F">
              <w:rPr>
                <w:bCs/>
              </w:rPr>
              <w:t>focus of global collaboration.</w:t>
            </w:r>
            <w:r>
              <w:rPr>
                <w:bCs/>
              </w:rPr>
              <w:t xml:space="preserve"> </w:t>
            </w:r>
            <w:r w:rsidRPr="008E21A1">
              <w:rPr>
                <w:bCs/>
              </w:rPr>
              <w:t>Australia</w:t>
            </w:r>
            <w:r>
              <w:rPr>
                <w:bCs/>
              </w:rPr>
              <w:t>’s public and private sectors have joined</w:t>
            </w:r>
            <w:r w:rsidRPr="008E21A1">
              <w:rPr>
                <w:bCs/>
              </w:rPr>
              <w:t xml:space="preserve"> global initiatives to reduce methane emissions and improve measurement and reporting across key sectors</w:t>
            </w:r>
            <w:r>
              <w:rPr>
                <w:bCs/>
              </w:rPr>
              <w:t>, including the fossil fuel sector.</w:t>
            </w:r>
          </w:p>
          <w:p w14:paraId="19381562" w14:textId="14A944B1" w:rsidR="00903582" w:rsidRPr="00903582" w:rsidRDefault="00903582" w:rsidP="00081174">
            <w:pPr>
              <w:pStyle w:val="ListParagraph"/>
              <w:numPr>
                <w:ilvl w:val="0"/>
                <w:numId w:val="13"/>
              </w:numPr>
              <w:spacing w:after="120" w:line="300" w:lineRule="auto"/>
              <w:ind w:left="680" w:hanging="340"/>
              <w:contextualSpacing w:val="0"/>
              <w:rPr>
                <w:bCs/>
                <w:sz w:val="21"/>
                <w:szCs w:val="21"/>
              </w:rPr>
            </w:pPr>
            <w:r w:rsidRPr="00903582">
              <w:rPr>
                <w:b/>
                <w:sz w:val="21"/>
                <w:szCs w:val="21"/>
              </w:rPr>
              <w:t>Global Methane Pledge -</w:t>
            </w:r>
            <w:r w:rsidRPr="00903582">
              <w:rPr>
                <w:bCs/>
                <w:sz w:val="21"/>
                <w:szCs w:val="21"/>
              </w:rPr>
              <w:t xml:space="preserve"> Australia is a signatory to the Global Methane Pledge, in which 159 countries aim to collectively reduce global methane emissions by at least 30% by 2030 from 2020 levels. The pledge is voluntary and non</w:t>
            </w:r>
            <w:r w:rsidRPr="00903582">
              <w:rPr>
                <w:rFonts w:ascii="Cambria Math" w:hAnsi="Cambria Math" w:cs="Cambria Math"/>
                <w:bCs/>
                <w:sz w:val="21"/>
                <w:szCs w:val="21"/>
              </w:rPr>
              <w:t>‑</w:t>
            </w:r>
            <w:r w:rsidRPr="00903582">
              <w:rPr>
                <w:bCs/>
                <w:sz w:val="21"/>
                <w:szCs w:val="21"/>
              </w:rPr>
              <w:t xml:space="preserve">binding </w:t>
            </w:r>
            <w:r w:rsidRPr="00081174">
              <w:rPr>
                <w:sz w:val="21"/>
                <w:szCs w:val="21"/>
              </w:rPr>
              <w:t>(Global Methane Pledge 2026)</w:t>
            </w:r>
            <w:r w:rsidRPr="00903582">
              <w:rPr>
                <w:bCs/>
                <w:sz w:val="21"/>
                <w:szCs w:val="21"/>
              </w:rPr>
              <w:t>.</w:t>
            </w:r>
          </w:p>
          <w:p w14:paraId="1799202E" w14:textId="77777777" w:rsidR="00903582" w:rsidRPr="00903582" w:rsidRDefault="00903582" w:rsidP="00081174">
            <w:pPr>
              <w:pStyle w:val="ListParagraph"/>
              <w:numPr>
                <w:ilvl w:val="0"/>
                <w:numId w:val="13"/>
              </w:numPr>
              <w:spacing w:after="120" w:line="300" w:lineRule="auto"/>
              <w:ind w:left="680" w:hanging="340"/>
              <w:contextualSpacing w:val="0"/>
              <w:rPr>
                <w:bCs/>
                <w:sz w:val="21"/>
                <w:szCs w:val="21"/>
              </w:rPr>
            </w:pPr>
            <w:r w:rsidRPr="00903582">
              <w:rPr>
                <w:b/>
                <w:sz w:val="21"/>
                <w:szCs w:val="21"/>
              </w:rPr>
              <w:t xml:space="preserve">Oil and Gas Decarbonisation Charter – </w:t>
            </w:r>
            <w:r w:rsidRPr="00903582">
              <w:rPr>
                <w:bCs/>
                <w:sz w:val="21"/>
                <w:szCs w:val="21"/>
              </w:rPr>
              <w:t>participating firms, including firms based and/or operating in Australia, have committed to accelerate emissions reductions, including methane, and pursue near</w:t>
            </w:r>
            <w:r w:rsidRPr="00903582">
              <w:rPr>
                <w:rFonts w:ascii="Cambria Math" w:hAnsi="Cambria Math" w:cs="Cambria Math"/>
                <w:bCs/>
                <w:sz w:val="21"/>
                <w:szCs w:val="21"/>
              </w:rPr>
              <w:t xml:space="preserve"> </w:t>
            </w:r>
            <w:r w:rsidRPr="00903582">
              <w:rPr>
                <w:bCs/>
                <w:sz w:val="21"/>
                <w:szCs w:val="21"/>
              </w:rPr>
              <w:t xml:space="preserve">zero upstream methane emissions by 2030 </w:t>
            </w:r>
            <w:r w:rsidRPr="00903582">
              <w:rPr>
                <w:bCs/>
                <w:color w:val="000000"/>
                <w:sz w:val="21"/>
                <w:szCs w:val="21"/>
              </w:rPr>
              <w:t>(OGDC 2026)</w:t>
            </w:r>
            <w:r w:rsidRPr="00903582">
              <w:rPr>
                <w:bCs/>
                <w:sz w:val="21"/>
                <w:szCs w:val="21"/>
              </w:rPr>
              <w:t>.</w:t>
            </w:r>
          </w:p>
          <w:p w14:paraId="68743470" w14:textId="77777777" w:rsidR="00903582" w:rsidRPr="00903582" w:rsidRDefault="00903582" w:rsidP="00081174">
            <w:pPr>
              <w:pStyle w:val="ListParagraph"/>
              <w:numPr>
                <w:ilvl w:val="0"/>
                <w:numId w:val="13"/>
              </w:numPr>
              <w:spacing w:after="120" w:line="300" w:lineRule="auto"/>
              <w:ind w:left="680" w:hanging="340"/>
              <w:contextualSpacing w:val="0"/>
              <w:rPr>
                <w:bCs/>
                <w:sz w:val="21"/>
                <w:szCs w:val="21"/>
              </w:rPr>
            </w:pPr>
            <w:r w:rsidRPr="00903582">
              <w:rPr>
                <w:b/>
                <w:sz w:val="21"/>
                <w:szCs w:val="21"/>
              </w:rPr>
              <w:t xml:space="preserve">Oil &amp; Gas Methane Partnership (OGMP) 2.0 - </w:t>
            </w:r>
            <w:r w:rsidRPr="00903582">
              <w:rPr>
                <w:bCs/>
                <w:sz w:val="21"/>
                <w:szCs w:val="21"/>
              </w:rPr>
              <w:t>the United Nations Environment Programme’s (UNEP) OGMP</w:t>
            </w:r>
            <w:r w:rsidRPr="00903582">
              <w:rPr>
                <w:rFonts w:ascii="Arial" w:hAnsi="Arial" w:cs="Arial"/>
                <w:bCs/>
                <w:sz w:val="21"/>
                <w:szCs w:val="21"/>
              </w:rPr>
              <w:t> </w:t>
            </w:r>
            <w:r w:rsidRPr="00903582">
              <w:rPr>
                <w:bCs/>
                <w:sz w:val="21"/>
                <w:szCs w:val="21"/>
              </w:rPr>
              <w:t xml:space="preserve">2.0 reporting framework aims to enhance transparency and accuracy in methane emissions reporting from the oil and gas sector. Globally, 150 companies, including many based or with operations in Australia, have voluntarily joined this initiative </w:t>
            </w:r>
            <w:r w:rsidRPr="00903582">
              <w:rPr>
                <w:bCs/>
                <w:color w:val="000000"/>
                <w:sz w:val="21"/>
                <w:szCs w:val="21"/>
              </w:rPr>
              <w:t>(UNEP 2026)</w:t>
            </w:r>
            <w:r w:rsidRPr="00903582">
              <w:rPr>
                <w:bCs/>
                <w:sz w:val="21"/>
                <w:szCs w:val="21"/>
              </w:rPr>
              <w:t>.</w:t>
            </w:r>
          </w:p>
          <w:p w14:paraId="4D0CA193" w14:textId="77777777" w:rsidR="00903582" w:rsidRPr="00903582" w:rsidRDefault="00903582" w:rsidP="00081174">
            <w:pPr>
              <w:pStyle w:val="ListParagraph"/>
              <w:numPr>
                <w:ilvl w:val="0"/>
                <w:numId w:val="13"/>
              </w:numPr>
              <w:spacing w:after="120" w:line="300" w:lineRule="auto"/>
              <w:ind w:left="680" w:hanging="340"/>
              <w:contextualSpacing w:val="0"/>
              <w:rPr>
                <w:bCs/>
                <w:sz w:val="21"/>
                <w:szCs w:val="21"/>
              </w:rPr>
            </w:pPr>
            <w:r w:rsidRPr="00903582">
              <w:rPr>
                <w:b/>
                <w:sz w:val="21"/>
                <w:szCs w:val="21"/>
              </w:rPr>
              <w:t xml:space="preserve">Australia-UNEP IMEO Methane Measurement Study - </w:t>
            </w:r>
            <w:r w:rsidRPr="00903582">
              <w:rPr>
                <w:bCs/>
                <w:sz w:val="21"/>
                <w:szCs w:val="21"/>
              </w:rPr>
              <w:t>Australia is collaborating with UNEP’s International Methane Emissions Observatory (IMEO) on a world</w:t>
            </w:r>
            <w:r w:rsidRPr="00903582">
              <w:rPr>
                <w:rFonts w:ascii="Cambria Math" w:hAnsi="Cambria Math" w:cs="Cambria Math"/>
                <w:bCs/>
                <w:sz w:val="21"/>
                <w:szCs w:val="21"/>
              </w:rPr>
              <w:t>‑</w:t>
            </w:r>
            <w:r w:rsidRPr="00903582">
              <w:rPr>
                <w:bCs/>
                <w:sz w:val="21"/>
                <w:szCs w:val="21"/>
              </w:rPr>
              <w:t>first study testing ground, airborne and satellite measurement technologies. This work aims to improve understanding of the capability to detect and quantify fugitive methane emissions from open</w:t>
            </w:r>
            <w:r w:rsidRPr="00903582">
              <w:rPr>
                <w:rFonts w:ascii="Cambria Math" w:hAnsi="Cambria Math" w:cs="Cambria Math"/>
                <w:bCs/>
                <w:sz w:val="21"/>
                <w:szCs w:val="21"/>
              </w:rPr>
              <w:t>‑</w:t>
            </w:r>
            <w:r w:rsidRPr="00903582">
              <w:rPr>
                <w:bCs/>
                <w:sz w:val="21"/>
                <w:szCs w:val="21"/>
              </w:rPr>
              <w:t>cut coal mines</w:t>
            </w:r>
            <w:r w:rsidRPr="00903582" w:rsidDel="001E7245">
              <w:rPr>
                <w:bCs/>
                <w:sz w:val="21"/>
                <w:szCs w:val="21"/>
              </w:rPr>
              <w:t xml:space="preserve"> </w:t>
            </w:r>
            <w:r w:rsidRPr="00903582">
              <w:rPr>
                <w:bCs/>
                <w:color w:val="000000"/>
                <w:sz w:val="21"/>
                <w:szCs w:val="21"/>
              </w:rPr>
              <w:t>(UNEP 2025)</w:t>
            </w:r>
            <w:r w:rsidRPr="00903582">
              <w:rPr>
                <w:bCs/>
                <w:sz w:val="21"/>
                <w:szCs w:val="21"/>
              </w:rPr>
              <w:t>.</w:t>
            </w:r>
          </w:p>
          <w:p w14:paraId="141B8628" w14:textId="789F6C06" w:rsidR="00750A66" w:rsidRPr="004F135F" w:rsidRDefault="00903582" w:rsidP="00903582">
            <w:r w:rsidRPr="00C04FA7">
              <w:rPr>
                <w:bCs/>
              </w:rPr>
              <w:t xml:space="preserve">These international commitments and collaborations support stronger methane measurement, reporting and </w:t>
            </w:r>
            <w:r>
              <w:rPr>
                <w:bCs/>
              </w:rPr>
              <w:t>abatement</w:t>
            </w:r>
            <w:r w:rsidRPr="00C04FA7">
              <w:rPr>
                <w:bCs/>
              </w:rPr>
              <w:t xml:space="preserve"> outcomes</w:t>
            </w:r>
            <w:r>
              <w:rPr>
                <w:bCs/>
              </w:rPr>
              <w:t xml:space="preserve">. Countries and companies participate in different ways, with some drafting new regulations, improving leak detection programs and developing national action plans </w:t>
            </w:r>
            <w:r w:rsidRPr="00DA77C2">
              <w:rPr>
                <w:bCs/>
                <w:color w:val="000000"/>
              </w:rPr>
              <w:t>(CCAC 2025</w:t>
            </w:r>
            <w:r w:rsidRPr="00B445B2">
              <w:rPr>
                <w:bCs/>
                <w:color w:val="000000"/>
              </w:rPr>
              <w:t>)</w:t>
            </w:r>
            <w:r>
              <w:rPr>
                <w:bCs/>
              </w:rPr>
              <w:t>.</w:t>
            </w:r>
          </w:p>
        </w:tc>
      </w:tr>
    </w:tbl>
    <w:p w14:paraId="27D1A7AD" w14:textId="77777777" w:rsidR="00F467B2" w:rsidRDefault="00F467B2" w:rsidP="00F467B2">
      <w:bookmarkStart w:id="55" w:name="_Toc227942653"/>
      <w:bookmarkStart w:id="56" w:name="_Toc231298023"/>
    </w:p>
    <w:p w14:paraId="36B32B29" w14:textId="77777777" w:rsidR="000A043C" w:rsidRDefault="000A043C">
      <w:pPr>
        <w:spacing w:before="0" w:after="160" w:line="279" w:lineRule="auto"/>
        <w:rPr>
          <w:rFonts w:eastAsiaTheme="majorEastAsia" w:cstheme="majorBidi"/>
          <w:b/>
          <w:bCs/>
          <w:color w:val="10BFE8"/>
          <w:sz w:val="36"/>
          <w:szCs w:val="40"/>
        </w:rPr>
      </w:pPr>
      <w:bookmarkStart w:id="57" w:name="_Toc231557411"/>
      <w:r>
        <w:br w:type="page"/>
      </w:r>
    </w:p>
    <w:p w14:paraId="7B19DEC7" w14:textId="7943BCE9" w:rsidR="00F467B2" w:rsidRDefault="00F467B2" w:rsidP="00E3684D">
      <w:pPr>
        <w:pStyle w:val="L2Sub-heading"/>
      </w:pPr>
      <w:bookmarkStart w:id="58" w:name="_Toc232079492"/>
      <w:r>
        <w:lastRenderedPageBreak/>
        <w:t xml:space="preserve">1.4 </w:t>
      </w:r>
      <w:r w:rsidRPr="00E00E10">
        <w:t>Fossil methane </w:t>
      </w:r>
      <w:r>
        <w:t>is a practical</w:t>
      </w:r>
      <w:r w:rsidRPr="00E00E10">
        <w:t xml:space="preserve"> near-term abatement opportunity</w:t>
      </w:r>
      <w:bookmarkEnd w:id="55"/>
      <w:bookmarkEnd w:id="56"/>
      <w:bookmarkEnd w:id="57"/>
      <w:bookmarkEnd w:id="58"/>
    </w:p>
    <w:p w14:paraId="50124538" w14:textId="77777777" w:rsidR="00FD58CF" w:rsidRDefault="00FD58CF" w:rsidP="00FD58CF">
      <w:pPr>
        <w:rPr>
          <w:lang w:val="en-US"/>
        </w:rPr>
      </w:pPr>
      <w:r>
        <w:rPr>
          <w:lang w:val="en-US"/>
        </w:rPr>
        <w:t xml:space="preserve">The fossil fuel sectors that generate methane emissions are the coal, oil and gas sectors. In Australia, methane from fossil fuels makes up around 24% of Australia’s methane emissions. This is equivalent to 6% of Australia’s total greenhouse gas emissions. </w:t>
      </w:r>
    </w:p>
    <w:p w14:paraId="67F655B3" w14:textId="77777777" w:rsidR="00FD58CF" w:rsidRDefault="00FD58CF" w:rsidP="00FD58CF">
      <w:r w:rsidRPr="007C5F3A">
        <w:rPr>
          <w:lang w:val="en-US"/>
        </w:rPr>
        <w:t>In this paper, we focus on fugitive methane emissions</w:t>
      </w:r>
      <w:r>
        <w:rPr>
          <w:rStyle w:val="FootnoteReference"/>
          <w:lang w:val="en-US"/>
        </w:rPr>
        <w:footnoteReference w:id="2"/>
      </w:r>
      <w:r w:rsidRPr="007C5F3A">
        <w:rPr>
          <w:lang w:val="en-US"/>
        </w:rPr>
        <w:t xml:space="preserve"> from </w:t>
      </w:r>
      <w:r>
        <w:rPr>
          <w:lang w:val="en-US"/>
        </w:rPr>
        <w:t xml:space="preserve">the coal and gas sectors in Australia, given oil generates a relatively small share (less than 1%) </w:t>
      </w:r>
      <w:r w:rsidRPr="00DA77C2">
        <w:rPr>
          <w:color w:val="000000"/>
          <w:lang w:val="en-US"/>
        </w:rPr>
        <w:t>(DCCEEW</w:t>
      </w:r>
      <w:r w:rsidRPr="00B445B2">
        <w:rPr>
          <w:color w:val="000000"/>
          <w:lang w:val="en-US"/>
        </w:rPr>
        <w:t xml:space="preserve"> 2026a)</w:t>
      </w:r>
      <w:r>
        <w:rPr>
          <w:lang w:val="en-US"/>
        </w:rPr>
        <w:t xml:space="preserve">. We refer to the methane fugitive emissions from the coal and gas sectors </w:t>
      </w:r>
      <w:r w:rsidRPr="007C5F3A">
        <w:rPr>
          <w:lang w:val="en-US"/>
        </w:rPr>
        <w:t>as 'fossil methane'</w:t>
      </w:r>
      <w:r>
        <w:rPr>
          <w:lang w:val="en-US"/>
        </w:rPr>
        <w:t xml:space="preserve"> </w:t>
      </w:r>
      <w:r w:rsidRPr="3ABDF661">
        <w:rPr>
          <w:lang w:val="en-US"/>
        </w:rPr>
        <w:t>in this paper</w:t>
      </w:r>
      <w:r>
        <w:rPr>
          <w:rStyle w:val="FootnoteReference"/>
        </w:rPr>
        <w:footnoteReference w:id="3"/>
      </w:r>
      <w:r w:rsidRPr="007C5F3A">
        <w:rPr>
          <w:lang w:val="en-US"/>
        </w:rPr>
        <w:t>.</w:t>
      </w:r>
      <w:r>
        <w:rPr>
          <w:lang w:val="en-US"/>
        </w:rPr>
        <w:t xml:space="preserve"> </w:t>
      </w:r>
      <w:r w:rsidRPr="004977BB">
        <w:rPr>
          <w:b/>
          <w:bCs/>
        </w:rPr>
        <w:t>Appendix A</w:t>
      </w:r>
      <w:r>
        <w:t xml:space="preserve"> provides detail about the sources of methane emissions in these sectors.</w:t>
      </w:r>
    </w:p>
    <w:p w14:paraId="7CA92319" w14:textId="715455CE" w:rsidR="00A35ECF" w:rsidRDefault="00A35ECF" w:rsidP="00F71F23">
      <w:pPr>
        <w:pStyle w:val="ReportFigureTitle"/>
      </w:pPr>
      <w:r>
        <w:t xml:space="preserve">Figure </w:t>
      </w:r>
      <w:r>
        <w:fldChar w:fldCharType="begin"/>
      </w:r>
      <w:r>
        <w:instrText>SEQ Figure \* ARABIC</w:instrText>
      </w:r>
      <w:r>
        <w:fldChar w:fldCharType="separate"/>
      </w:r>
      <w:r>
        <w:rPr>
          <w:noProof/>
        </w:rPr>
        <w:t>4</w:t>
      </w:r>
      <w:r>
        <w:fldChar w:fldCharType="end"/>
      </w:r>
      <w:r>
        <w:t>: Proportion of Australian fossil methane emissions from the coal mining, natural gas and oil sectors</w:t>
      </w:r>
      <w:r>
        <w:rPr>
          <w:noProof/>
        </w:rPr>
        <w:t xml:space="preserve"> in Australia</w:t>
      </w:r>
    </w:p>
    <w:p w14:paraId="11CFD4A0" w14:textId="60E364C0" w:rsidR="00F71F23" w:rsidRDefault="00534FAC" w:rsidP="007E5BF3">
      <w:pPr>
        <w:spacing w:before="0" w:after="160" w:line="278" w:lineRule="auto"/>
      </w:pPr>
      <w:r>
        <w:rPr>
          <w:noProof/>
        </w:rPr>
        <w:drawing>
          <wp:inline distT="0" distB="0" distL="0" distR="0" wp14:anchorId="12BA4213" wp14:editId="1F9DD719">
            <wp:extent cx="6403337" cy="4290820"/>
            <wp:effectExtent l="0" t="0" r="0" b="0"/>
            <wp:docPr id="905516759" name="Picture 7" descr="Figure 4 shows how methane emissions are made up of waste, fossil fuel, agriculture and other sectors. Of the fossil fuels, coal dominates the proportion of fossil methane emissions, with gas also contributing 24% of fossil methane emiss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516759" name="Picture 7" descr="Figure 4 shows how methane emissions are made up of waste, fossil fuel, agriculture and other sectors. Of the fossil fuels, coal dominates the proportion of fossil methane emissions, with gas also contributing 24% of fossil methane emissions. "/>
                    <pic:cNvPicPr>
                      <a:picLocks noChangeAspect="1" noChangeArrowheads="1"/>
                    </pic:cNvPicPr>
                  </pic:nvPicPr>
                  <pic:blipFill>
                    <a:blip r:embed="rId22">
                      <a:extLst>
                        <a:ext uri="{96DAC541-7B7A-43D3-8B79-37D633B846F1}">
                          <asvg:svgBlip xmlns:asvg="http://schemas.microsoft.com/office/drawing/2016/SVG/main" r:embed="rId23"/>
                        </a:ext>
                      </a:extLst>
                    </a:blip>
                    <a:stretch>
                      <a:fillRect/>
                    </a:stretch>
                  </pic:blipFill>
                  <pic:spPr bwMode="auto">
                    <a:xfrm>
                      <a:off x="0" y="0"/>
                      <a:ext cx="6403337" cy="4290820"/>
                    </a:xfrm>
                    <a:prstGeom prst="rect">
                      <a:avLst/>
                    </a:prstGeom>
                  </pic:spPr>
                </pic:pic>
              </a:graphicData>
            </a:graphic>
          </wp:inline>
        </w:drawing>
      </w:r>
    </w:p>
    <w:p w14:paraId="2BCF19BB" w14:textId="60B00640" w:rsidR="00517BF4" w:rsidRDefault="00517BF4" w:rsidP="00517BF4">
      <w:pPr>
        <w:pStyle w:val="ReportFigureSource"/>
      </w:pPr>
      <w:r>
        <w:t xml:space="preserve">Source: </w:t>
      </w:r>
      <w:r w:rsidRPr="00DA77C2">
        <w:t>(DCCEEW</w:t>
      </w:r>
      <w:r w:rsidRPr="00B445B2">
        <w:t xml:space="preserve"> 2026a)</w:t>
      </w:r>
      <w:r w:rsidR="00517C32">
        <w:t>.</w:t>
      </w:r>
    </w:p>
    <w:p w14:paraId="2B4D12CD" w14:textId="65F87599" w:rsidR="00AA00F7" w:rsidRDefault="00AA00F7" w:rsidP="00FF36FF"/>
    <w:p w14:paraId="6A14D664" w14:textId="50D8E16E" w:rsidR="00FF36FF" w:rsidRDefault="00FF36FF" w:rsidP="00FF36FF">
      <w:r w:rsidRPr="009B42EF">
        <w:lastRenderedPageBreak/>
        <w:t>In the coal</w:t>
      </w:r>
      <w:r>
        <w:t xml:space="preserve"> and </w:t>
      </w:r>
      <w:r w:rsidRPr="009B42EF">
        <w:t xml:space="preserve">gas sectors, a large share of emissions </w:t>
      </w:r>
      <w:r>
        <w:t>come</w:t>
      </w:r>
      <w:r w:rsidRPr="009B42EF">
        <w:t xml:space="preserve"> from identifiable sources such as</w:t>
      </w:r>
      <w:r>
        <w:t xml:space="preserve"> venting, </w:t>
      </w:r>
      <w:r w:rsidRPr="009B42EF">
        <w:t>leaks, and incomplete combustion</w:t>
      </w:r>
      <w:r>
        <w:t xml:space="preserve"> </w:t>
      </w:r>
      <w:r w:rsidRPr="00DA77C2">
        <w:rPr>
          <w:color w:val="000000"/>
        </w:rPr>
        <w:t>(IEA</w:t>
      </w:r>
      <w:r w:rsidRPr="00B445B2">
        <w:rPr>
          <w:color w:val="000000"/>
        </w:rPr>
        <w:t xml:space="preserve"> 2026b)</w:t>
      </w:r>
      <w:r w:rsidRPr="009B42EF">
        <w:t xml:space="preserve">. </w:t>
      </w:r>
      <w:r w:rsidRPr="00E96A22">
        <w:t xml:space="preserve">There are already proven technologies </w:t>
      </w:r>
      <w:r>
        <w:t>that can tackle these emissions</w:t>
      </w:r>
      <w:r w:rsidRPr="00E96A22">
        <w:t>. These include leak detection and repair (LDAR), improved maintenance and operational practices, and replacing high-emitting equipment</w:t>
      </w:r>
      <w:r>
        <w:t xml:space="preserve"> </w:t>
      </w:r>
      <w:r w:rsidRPr="00DA77C2">
        <w:rPr>
          <w:color w:val="000000"/>
        </w:rPr>
        <w:t>(IEA</w:t>
      </w:r>
      <w:r w:rsidRPr="00B445B2">
        <w:rPr>
          <w:color w:val="000000"/>
        </w:rPr>
        <w:t xml:space="preserve"> 2026b)</w:t>
      </w:r>
      <w:r w:rsidRPr="00E96A22">
        <w:t xml:space="preserve">. In coal mining, additional measures such as pre-drainage of methane from coal seams, capturing </w:t>
      </w:r>
      <w:r>
        <w:t>methane</w:t>
      </w:r>
      <w:r w:rsidRPr="00E96A22">
        <w:t xml:space="preserve"> from ventilation air, and flaring or using drained gas can also reduce emissions</w:t>
      </w:r>
      <w:r>
        <w:t xml:space="preserve"> </w:t>
      </w:r>
      <w:r w:rsidRPr="00DA77C2">
        <w:rPr>
          <w:color w:val="000000"/>
        </w:rPr>
        <w:t>(NSW Net Zero Commission 2025</w:t>
      </w:r>
      <w:r w:rsidRPr="00B445B2">
        <w:rPr>
          <w:color w:val="000000"/>
        </w:rPr>
        <w:t>)</w:t>
      </w:r>
      <w:r w:rsidRPr="00E96A22">
        <w:t xml:space="preserve">. </w:t>
      </w:r>
      <w:r>
        <w:t xml:space="preserve">Further information about fossil methane abatement technologies is described in </w:t>
      </w:r>
      <w:r w:rsidRPr="00E4291B">
        <w:rPr>
          <w:b/>
          <w:bCs/>
        </w:rPr>
        <w:t>Appendix</w:t>
      </w:r>
      <w:r>
        <w:rPr>
          <w:b/>
          <w:bCs/>
        </w:rPr>
        <w:t> B</w:t>
      </w:r>
      <w:r w:rsidRPr="00E96A22">
        <w:t>.</w:t>
      </w:r>
    </w:p>
    <w:p w14:paraId="65B09D10" w14:textId="733D63B1" w:rsidR="00A86292" w:rsidRDefault="00A86292" w:rsidP="00A86292">
      <w:bookmarkStart w:id="59" w:name="_Toc231298024"/>
      <w:bookmarkStart w:id="60" w:name="_Toc231557412"/>
      <w:bookmarkStart w:id="61" w:name="_Toc227942658"/>
      <w:r>
        <w:t xml:space="preserve">The IEA’s 2026 methane tracker identifies a range of methane abatement options in Australia at low or no net cost </w:t>
      </w:r>
      <w:r w:rsidRPr="00DA77C2">
        <w:rPr>
          <w:color w:val="000000"/>
        </w:rPr>
        <w:t>(IEA</w:t>
      </w:r>
      <w:r w:rsidRPr="00B445B2">
        <w:rPr>
          <w:color w:val="000000"/>
        </w:rPr>
        <w:t xml:space="preserve"> 2026b)</w:t>
      </w:r>
      <w:r>
        <w:t>. In the gas sector,</w:t>
      </w:r>
      <w:r w:rsidRPr="00E96A22">
        <w:t xml:space="preserve"> the captured </w:t>
      </w:r>
      <w:r>
        <w:t>methane</w:t>
      </w:r>
      <w:r w:rsidRPr="00E96A22">
        <w:t xml:space="preserve"> can be sold or used </w:t>
      </w:r>
      <w:r w:rsidR="009F4046" w:rsidRPr="00E96A22">
        <w:t>onsite</w:t>
      </w:r>
      <w:r w:rsidR="009F4046" w:rsidRPr="00DA77C2">
        <w:rPr>
          <w:color w:val="000000"/>
        </w:rPr>
        <w:t xml:space="preserve"> (</w:t>
      </w:r>
      <w:r w:rsidRPr="00DA77C2">
        <w:rPr>
          <w:color w:val="000000"/>
        </w:rPr>
        <w:t>IEEFA 2024</w:t>
      </w:r>
      <w:r w:rsidRPr="00B445B2">
        <w:rPr>
          <w:color w:val="000000"/>
        </w:rPr>
        <w:t>)</w:t>
      </w:r>
      <w:r>
        <w:t xml:space="preserve">. For the coal sector, the IEA’s tracker identified a smaller amount of low or no net cost options </w:t>
      </w:r>
      <w:r w:rsidRPr="00B445B2">
        <w:rPr>
          <w:color w:val="000000"/>
        </w:rPr>
        <w:t>(IEA 2026a)</w:t>
      </w:r>
      <w:r>
        <w:t xml:space="preserve">. </w:t>
      </w:r>
    </w:p>
    <w:p w14:paraId="43864D26" w14:textId="77777777" w:rsidR="00A86292" w:rsidRDefault="00A86292" w:rsidP="00A86292">
      <w:r>
        <w:t>The fossil fuel sector has</w:t>
      </w:r>
      <w:r w:rsidRPr="009B42EF">
        <w:t xml:space="preserve"> a high technical abatement capacity</w:t>
      </w:r>
      <w:r>
        <w:t xml:space="preserve"> compared to other sectors that produce methane emissions</w:t>
      </w:r>
      <w:r w:rsidRPr="009B42EF">
        <w:t xml:space="preserve">. </w:t>
      </w:r>
      <w:r>
        <w:t>Fossil methane emissions</w:t>
      </w:r>
      <w:r w:rsidRPr="009B42EF">
        <w:t xml:space="preserve"> are often concentrated at a relatively small number of sites, making them easier to detect and address at scale. In addition, coal and gas operators are typically large, well-capitalised</w:t>
      </w:r>
      <w:r>
        <w:t xml:space="preserve"> companies</w:t>
      </w:r>
      <w:r w:rsidRPr="009B42EF">
        <w:t xml:space="preserve"> with the </w:t>
      </w:r>
      <w:r>
        <w:t>ability</w:t>
      </w:r>
      <w:r w:rsidRPr="009B42EF">
        <w:t xml:space="preserve"> to invest in abatement measures</w:t>
      </w:r>
      <w:r>
        <w:t xml:space="preserve"> </w:t>
      </w:r>
      <w:r w:rsidRPr="00B445B2">
        <w:rPr>
          <w:color w:val="000000"/>
        </w:rPr>
        <w:t>(IEA</w:t>
      </w:r>
      <w:r w:rsidRPr="00DA77C2">
        <w:rPr>
          <w:color w:val="000000"/>
        </w:rPr>
        <w:t xml:space="preserve"> 2026b; </w:t>
      </w:r>
      <w:r w:rsidRPr="00B445B2">
        <w:rPr>
          <w:color w:val="000000"/>
        </w:rPr>
        <w:t>CER</w:t>
      </w:r>
      <w:r w:rsidRPr="00DA77C2">
        <w:rPr>
          <w:color w:val="000000"/>
        </w:rPr>
        <w:t xml:space="preserve"> 2026a; IEEFA 2024</w:t>
      </w:r>
      <w:r w:rsidRPr="00B445B2">
        <w:rPr>
          <w:color w:val="000000"/>
        </w:rPr>
        <w:t>)</w:t>
      </w:r>
      <w:r w:rsidRPr="009B42EF">
        <w:t xml:space="preserve">. </w:t>
      </w:r>
    </w:p>
    <w:p w14:paraId="124A7895" w14:textId="6696403D" w:rsidR="00A86292" w:rsidRPr="007237BB" w:rsidRDefault="00A86292" w:rsidP="00A86292">
      <w:r w:rsidRPr="00EC091F">
        <w:t xml:space="preserve">While there are still barriers to the uptake of </w:t>
      </w:r>
      <w:r>
        <w:t>abatement</w:t>
      </w:r>
      <w:r w:rsidRPr="00EC091F">
        <w:t xml:space="preserve"> measures, there is strong potential to achieve substantial emissions reductions in the near</w:t>
      </w:r>
      <w:r>
        <w:t>-</w:t>
      </w:r>
      <w:r w:rsidRPr="00EC091F">
        <w:t xml:space="preserve">term using existing technologies. </w:t>
      </w:r>
      <w:r>
        <w:t xml:space="preserve">It should be noted, however, that methane </w:t>
      </w:r>
      <w:r w:rsidRPr="007237BB">
        <w:t>abatement of</w:t>
      </w:r>
      <w:r>
        <w:t xml:space="preserve">ten involves </w:t>
      </w:r>
      <w:r w:rsidRPr="007237BB">
        <w:t>converting the gas into carbon dioxide and water</w:t>
      </w:r>
      <w:r w:rsidRPr="007237BB">
        <w:fldChar w:fldCharType="begin"/>
      </w:r>
      <w:r w:rsidRPr="007237BB">
        <w:fldChar w:fldCharType="separate"/>
      </w:r>
      <w:r w:rsidRPr="007237BB">
        <w:rPr>
          <w:rStyle w:val="Hyperlink"/>
        </w:rPr>
        <w:t>Shaw et. al, 2023</w:t>
      </w:r>
      <w:r w:rsidRPr="007237BB">
        <w:fldChar w:fldCharType="end"/>
      </w:r>
      <w:r w:rsidRPr="007237BB">
        <w:t xml:space="preserve">. </w:t>
      </w:r>
      <w:r>
        <w:t>While t</w:t>
      </w:r>
      <w:r w:rsidRPr="007237BB">
        <w:t xml:space="preserve">his avoids the accelerated warming impacts of </w:t>
      </w:r>
      <w:r>
        <w:t>atmospheric</w:t>
      </w:r>
      <w:r w:rsidRPr="007237BB">
        <w:t xml:space="preserve"> methane</w:t>
      </w:r>
      <w:r>
        <w:t>, it</w:t>
      </w:r>
      <w:r w:rsidRPr="007237BB">
        <w:t xml:space="preserve"> does not </w:t>
      </w:r>
      <w:r>
        <w:t>eliminate</w:t>
      </w:r>
      <w:r w:rsidRPr="007237BB">
        <w:t xml:space="preserve"> the effect of the remaining carbon dioxide.</w:t>
      </w:r>
    </w:p>
    <w:p w14:paraId="0C5A3A5E" w14:textId="7ECE40A1" w:rsidR="00517BF4" w:rsidRDefault="00622C82">
      <w:pPr>
        <w:spacing w:before="0" w:after="160" w:line="279" w:lineRule="auto"/>
        <w:rPr>
          <w:rFonts w:eastAsiaTheme="majorEastAsia" w:cstheme="majorBidi"/>
          <w:b/>
          <w:bCs/>
          <w:color w:val="10BFE8"/>
          <w:sz w:val="36"/>
          <w:szCs w:val="40"/>
        </w:rPr>
      </w:pPr>
      <w:r w:rsidRPr="00A647E2">
        <w:rPr>
          <w:b/>
          <w:bCs/>
          <w:noProof/>
        </w:rPr>
        <mc:AlternateContent>
          <mc:Choice Requires="wps">
            <w:drawing>
              <wp:anchor distT="45720" distB="45720" distL="114300" distR="114300" simplePos="0" relativeHeight="251658262" behindDoc="0" locked="0" layoutInCell="1" allowOverlap="1" wp14:anchorId="49924BDC" wp14:editId="393D65E9">
                <wp:simplePos x="0" y="0"/>
                <wp:positionH relativeFrom="column">
                  <wp:posOffset>-551231</wp:posOffset>
                </wp:positionH>
                <wp:positionV relativeFrom="paragraph">
                  <wp:posOffset>5480033</wp:posOffset>
                </wp:positionV>
                <wp:extent cx="4300151" cy="287079"/>
                <wp:effectExtent l="0" t="0" r="24765" b="17780"/>
                <wp:wrapNone/>
                <wp:docPr id="682828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151" cy="287079"/>
                        </a:xfrm>
                        <a:prstGeom prst="rect">
                          <a:avLst/>
                        </a:prstGeom>
                        <a:solidFill>
                          <a:schemeClr val="bg1">
                            <a:alpha val="80000"/>
                          </a:schemeClr>
                        </a:solidFill>
                        <a:ln w="9525">
                          <a:solidFill>
                            <a:srgbClr val="FD904D"/>
                          </a:solidFill>
                          <a:miter lim="800000"/>
                          <a:headEnd/>
                          <a:tailEnd/>
                        </a:ln>
                      </wps:spPr>
                      <wps:txbx>
                        <w:txbxContent>
                          <w:p w14:paraId="608F9183" w14:textId="34865297" w:rsidR="00622C82" w:rsidRPr="00F418D8" w:rsidRDefault="003E1CF3" w:rsidP="00622C82">
                            <w:pPr>
                              <w:spacing w:before="0" w:after="0"/>
                              <w:rPr>
                                <w:sz w:val="20"/>
                                <w:szCs w:val="22"/>
                                <w:lang w:val="en-AU"/>
                              </w:rPr>
                            </w:pPr>
                            <w:r>
                              <w:rPr>
                                <w:sz w:val="20"/>
                                <w:szCs w:val="22"/>
                                <w:lang w:val="en-AU"/>
                              </w:rPr>
                              <w:t xml:space="preserve">White industrial pipelines transport methane gas across a </w:t>
                            </w:r>
                            <w:r w:rsidR="003B418D">
                              <w:rPr>
                                <w:sz w:val="20"/>
                                <w:szCs w:val="22"/>
                                <w:lang w:val="en-AU"/>
                              </w:rPr>
                              <w:t xml:space="preserve">green field.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924BDC" id="_x0000_s1031" type="#_x0000_t202" style="position:absolute;margin-left:-43.4pt;margin-top:431.5pt;width:338.6pt;height:22.6pt;z-index:25165826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" fillcolor="white [3212]" strokecolor="#fd904d">
                <v:fill opacity="52428f"/>
                <v:textbox>
                  <w:txbxContent>
                    <w:p w14:paraId="608F9183" w14:textId="34865297" w:rsidR="00622C82" w:rsidRPr="00F418D8" w:rsidRDefault="003E1CF3" w:rsidP="00622C82">
                      <w:pPr>
                        <w:spacing w:before="0" w:after="0"/>
                        <w:rPr>
                          <w:sz w:val="20"/>
                          <w:szCs w:val="22"/>
                          <w:lang w:val="en-AU"/>
                        </w:rPr>
                      </w:pPr>
                      <w:r>
                        <w:rPr>
                          <w:sz w:val="20"/>
                          <w:szCs w:val="22"/>
                          <w:lang w:val="en-AU"/>
                        </w:rPr>
                        <w:t xml:space="preserve">White industrial pipelines transport methane gas across a </w:t>
                      </w:r>
                      <w:r w:rsidR="003B418D">
                        <w:rPr>
                          <w:sz w:val="20"/>
                          <w:szCs w:val="22"/>
                          <w:lang w:val="en-AU"/>
                        </w:rPr>
                        <w:t xml:space="preserve">green field. </w:t>
                      </w:r>
                    </w:p>
                  </w:txbxContent>
                </v:textbox>
              </v:shape>
            </w:pict>
          </mc:Fallback>
        </mc:AlternateContent>
      </w:r>
      <w:r w:rsidR="0024613E">
        <w:rPr>
          <w:noProof/>
        </w:rPr>
        <mc:AlternateContent>
          <mc:Choice Requires="wps">
            <w:drawing>
              <wp:anchor distT="0" distB="0" distL="114300" distR="114300" simplePos="0" relativeHeight="251658241" behindDoc="0" locked="0" layoutInCell="1" allowOverlap="1" wp14:anchorId="134A619C" wp14:editId="74A5D808">
                <wp:simplePos x="0" y="0"/>
                <wp:positionH relativeFrom="column">
                  <wp:posOffset>-833120</wp:posOffset>
                </wp:positionH>
                <wp:positionV relativeFrom="paragraph">
                  <wp:posOffset>757956</wp:posOffset>
                </wp:positionV>
                <wp:extent cx="7823427" cy="5106299"/>
                <wp:effectExtent l="0" t="0" r="6350" b="0"/>
                <wp:wrapNone/>
                <wp:docPr id="13872639" name="Rectangle 28"/>
                <wp:cNvGraphicFramePr/>
                <a:graphic xmlns:a="http://schemas.openxmlformats.org/drawingml/2006/main">
                  <a:graphicData uri="http://schemas.microsoft.com/office/word/2010/wordprocessingShape">
                    <wps:wsp>
                      <wps:cNvSpPr/>
                      <wps:spPr>
                        <a:xfrm>
                          <a:off x="0" y="0"/>
                          <a:ext cx="7823427" cy="5106299"/>
                        </a:xfrm>
                        <a:prstGeom prst="rect">
                          <a:avLst/>
                        </a:prstGeom>
                        <a:solidFill>
                          <a:srgbClr val="FD904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15990D" id="Rectangle 28" o:spid="_x0000_s1026" style="position:absolute;margin-left:-65.6pt;margin-top:59.7pt;width:616pt;height:402.0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" fillcolor="#fd904d" stroked="f" strokeweight="1pt"/>
            </w:pict>
          </mc:Fallback>
        </mc:AlternateContent>
      </w:r>
      <w:r w:rsidR="0024613E">
        <w:rPr>
          <w:noProof/>
        </w:rPr>
        <w:drawing>
          <wp:anchor distT="0" distB="0" distL="114300" distR="114300" simplePos="0" relativeHeight="251658255" behindDoc="0" locked="0" layoutInCell="1" allowOverlap="1" wp14:anchorId="5FB4DAED" wp14:editId="6B47F149">
            <wp:simplePos x="0" y="0"/>
            <wp:positionH relativeFrom="column">
              <wp:posOffset>-660066</wp:posOffset>
            </wp:positionH>
            <wp:positionV relativeFrom="paragraph">
              <wp:posOffset>1250950</wp:posOffset>
            </wp:positionV>
            <wp:extent cx="6934642" cy="4630388"/>
            <wp:effectExtent l="0" t="0" r="0" b="0"/>
            <wp:wrapNone/>
            <wp:docPr id="176698955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989556" name="Picture 26">
                      <a:extLst>
                        <a:ext uri="{C183D7F6-B498-43B3-948B-1728B52AA6E4}">
                          <adec:decorative xmlns:adec="http://schemas.microsoft.com/office/drawing/2017/decorative" val="1"/>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934642" cy="46303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7BF4">
        <w:br w:type="page"/>
      </w:r>
    </w:p>
    <w:p w14:paraId="09BE2E48" w14:textId="3E9B085E" w:rsidR="00CA7004" w:rsidRDefault="00CA7004" w:rsidP="00E3684D">
      <w:pPr>
        <w:pStyle w:val="L2Sub-heading"/>
      </w:pPr>
      <w:bookmarkStart w:id="62" w:name="_Toc232079493"/>
      <w:r>
        <w:lastRenderedPageBreak/>
        <w:t>1.5 Australia’s f</w:t>
      </w:r>
      <w:r w:rsidRPr="001C7A31">
        <w:t xml:space="preserve">ossil methane emissions </w:t>
      </w:r>
      <w:r>
        <w:t xml:space="preserve">have </w:t>
      </w:r>
      <w:r w:rsidRPr="001C7A31">
        <w:t>declin</w:t>
      </w:r>
      <w:r>
        <w:t>ed</w:t>
      </w:r>
      <w:r w:rsidRPr="001C7A31">
        <w:t xml:space="preserve">, but </w:t>
      </w:r>
      <w:r>
        <w:t>future trends will depend on domestic and global drivers</w:t>
      </w:r>
      <w:bookmarkEnd w:id="59"/>
      <w:bookmarkEnd w:id="60"/>
      <w:bookmarkEnd w:id="62"/>
      <w:r>
        <w:t xml:space="preserve"> </w:t>
      </w:r>
    </w:p>
    <w:bookmarkEnd w:id="61"/>
    <w:p w14:paraId="4CC2B190" w14:textId="35BCE325" w:rsidR="00DC3E79" w:rsidRDefault="00DC3E79" w:rsidP="00DC3E79">
      <w:r w:rsidRPr="008B27D2">
        <w:t xml:space="preserve">Australia’s </w:t>
      </w:r>
      <w:r>
        <w:t>reported</w:t>
      </w:r>
      <w:r w:rsidRPr="008B27D2">
        <w:t xml:space="preserve"> </w:t>
      </w:r>
      <w:r>
        <w:t>methane</w:t>
      </w:r>
      <w:r w:rsidRPr="008B27D2">
        <w:t xml:space="preserve"> </w:t>
      </w:r>
      <w:r>
        <w:t>e</w:t>
      </w:r>
      <w:r w:rsidRPr="008B27D2">
        <w:t>missions from coal mining peaked in 2007 and have fallen since then</w:t>
      </w:r>
      <w:r>
        <w:t xml:space="preserve"> (</w:t>
      </w:r>
      <w:r w:rsidRPr="004977BB">
        <w:rPr>
          <w:b/>
          <w:bCs/>
        </w:rPr>
        <w:t xml:space="preserve">Figure </w:t>
      </w:r>
      <w:r>
        <w:rPr>
          <w:b/>
          <w:bCs/>
        </w:rPr>
        <w:t>5</w:t>
      </w:r>
      <w:r>
        <w:t>)</w:t>
      </w:r>
      <w:r w:rsidRPr="008B27D2">
        <w:t xml:space="preserve">. </w:t>
      </w:r>
      <w:r>
        <w:t>This reflects reductions from underground mining activities, but it should be noted that over the same period, emissions from open cut mining have increased. In general, open cut mining is less emissions-intensive than underground, so the shift in composition of mining activity has contributed to lower overall emissions from the sector. Reported m</w:t>
      </w:r>
      <w:r w:rsidRPr="008B27D2">
        <w:t xml:space="preserve">ethane emissions from gas production rose during the </w:t>
      </w:r>
      <w:r>
        <w:t>liquefied natural gas (</w:t>
      </w:r>
      <w:r w:rsidRPr="008B27D2">
        <w:t>LNG</w:t>
      </w:r>
      <w:r>
        <w:t>)</w:t>
      </w:r>
      <w:r w:rsidRPr="008B27D2">
        <w:t xml:space="preserve"> expansion of the 2010s, peaked in 2019, and have since declined. </w:t>
      </w:r>
    </w:p>
    <w:p w14:paraId="02A2662A" w14:textId="646E565F" w:rsidR="00CD3D4A" w:rsidRDefault="00CD3D4A" w:rsidP="00CD3D4A">
      <w:pPr>
        <w:pStyle w:val="ReportFigureTitle"/>
      </w:pPr>
      <w:r>
        <w:t>Figure 5</w:t>
      </w:r>
      <w:r w:rsidR="0054022F">
        <w:t>:</w:t>
      </w:r>
      <w:r w:rsidRPr="008A4622">
        <w:t xml:space="preserve"> </w:t>
      </w:r>
      <w:r>
        <w:t>Australian fossil methane emissions from coal mining and gas extraction</w:t>
      </w:r>
    </w:p>
    <w:p w14:paraId="40FE2BFD" w14:textId="25B285A7" w:rsidR="00F71F23" w:rsidRDefault="00BF1F4C" w:rsidP="007E5BF3">
      <w:pPr>
        <w:spacing w:before="0" w:after="160" w:line="278" w:lineRule="auto"/>
      </w:pPr>
      <w:r>
        <w:rPr>
          <w:noProof/>
        </w:rPr>
        <w:drawing>
          <wp:inline distT="0" distB="0" distL="0" distR="0" wp14:anchorId="7988B22A" wp14:editId="7ED1E227">
            <wp:extent cx="6489575" cy="4010411"/>
            <wp:effectExtent l="0" t="0" r="0" b="0"/>
            <wp:docPr id="1108998904" name="Picture 17" descr="Australia’s fossil methane emissions have declined, but future trends will depend on domestic and global drivers &#10;Australia’s reported methane emissions from coal mining peaked in 2007 and have fallen since t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998904" name="Picture 17" descr="Australia’s fossil methane emissions have declined, but future trends will depend on domestic and global drivers &#10;Australia’s reported methane emissions from coal mining peaked in 2007 and have fallen since then"/>
                    <pic:cNvPicPr>
                      <a:picLocks noChangeAspect="1" noChangeArrowheads="1"/>
                    </pic:cNvPicPr>
                  </pic:nvPicPr>
                  <pic:blipFill>
                    <a:blip r:embed="rId25">
                      <a:extLst>
                        <a:ext uri="{96DAC541-7B7A-43D3-8B79-37D633B846F1}">
                          <asvg:svgBlip xmlns:asvg="http://schemas.microsoft.com/office/drawing/2016/SVG/main" r:embed="rId26"/>
                        </a:ext>
                      </a:extLst>
                    </a:blip>
                    <a:stretch>
                      <a:fillRect/>
                    </a:stretch>
                  </pic:blipFill>
                  <pic:spPr bwMode="auto">
                    <a:xfrm>
                      <a:off x="0" y="0"/>
                      <a:ext cx="6489575" cy="4010411"/>
                    </a:xfrm>
                    <a:prstGeom prst="rect">
                      <a:avLst/>
                    </a:prstGeom>
                  </pic:spPr>
                </pic:pic>
              </a:graphicData>
            </a:graphic>
          </wp:inline>
        </w:drawing>
      </w:r>
    </w:p>
    <w:p w14:paraId="45CAE3FE" w14:textId="77777777" w:rsidR="005446CF" w:rsidRDefault="005446CF" w:rsidP="0006276A">
      <w:pPr>
        <w:rPr>
          <w:i/>
          <w:color w:val="auto"/>
          <w:sz w:val="18"/>
        </w:rPr>
      </w:pPr>
      <w:r w:rsidRPr="005446CF">
        <w:rPr>
          <w:i/>
          <w:color w:val="auto"/>
          <w:sz w:val="18"/>
        </w:rPr>
        <w:t>Source: (DCCEEW 2026a)</w:t>
      </w:r>
    </w:p>
    <w:p w14:paraId="326D9286" w14:textId="77777777" w:rsidR="00DD746F" w:rsidRDefault="00DD746F" w:rsidP="0058776B">
      <w:r w:rsidRPr="000B3654">
        <w:t xml:space="preserve">Whether this </w:t>
      </w:r>
      <w:r>
        <w:t xml:space="preserve">modest downward </w:t>
      </w:r>
      <w:r w:rsidRPr="000B3654">
        <w:t>tr</w:t>
      </w:r>
      <w:r>
        <w:t>ajectory</w:t>
      </w:r>
      <w:r w:rsidRPr="000B3654">
        <w:t xml:space="preserve"> continues depends</w:t>
      </w:r>
      <w:r>
        <w:t xml:space="preserve"> on domestic emissions reduction policies and o</w:t>
      </w:r>
      <w:r w:rsidRPr="000B3654">
        <w:t xml:space="preserve">n </w:t>
      </w:r>
      <w:r>
        <w:t xml:space="preserve">Australia’s fossil fuel </w:t>
      </w:r>
      <w:r w:rsidRPr="000B3654">
        <w:t xml:space="preserve">production </w:t>
      </w:r>
      <w:r>
        <w:t>outlook</w:t>
      </w:r>
      <w:r w:rsidRPr="000B3654">
        <w:t xml:space="preserve">. </w:t>
      </w:r>
      <w:r>
        <w:t>The Australian Government’s Emissions Projections show</w:t>
      </w:r>
      <w:r w:rsidRPr="00A904A8">
        <w:t xml:space="preserve"> </w:t>
      </w:r>
      <w:r>
        <w:t xml:space="preserve">that under current policy settings, </w:t>
      </w:r>
      <w:r w:rsidRPr="00A904A8">
        <w:t xml:space="preserve">fugitive emissions — including fossil methane — decline modestly </w:t>
      </w:r>
      <w:r>
        <w:t xml:space="preserve">by 2% by 2030 from 2025 levels, and 25% by 2040 </w:t>
      </w:r>
      <w:r w:rsidRPr="00DA77C2">
        <w:rPr>
          <w:color w:val="000000"/>
        </w:rPr>
        <w:t>(DCCEEW</w:t>
      </w:r>
      <w:r w:rsidRPr="00B445B2">
        <w:rPr>
          <w:color w:val="000000"/>
        </w:rPr>
        <w:t xml:space="preserve"> 2025g)</w:t>
      </w:r>
      <w:r w:rsidRPr="00A904A8">
        <w:t>.</w:t>
      </w:r>
      <w:r>
        <w:t xml:space="preserve"> Australia’s policies and regulations are discussed further in </w:t>
      </w:r>
      <w:r w:rsidRPr="004977BB">
        <w:rPr>
          <w:b/>
          <w:bCs/>
        </w:rPr>
        <w:t>Part</w:t>
      </w:r>
      <w:r>
        <w:rPr>
          <w:b/>
        </w:rPr>
        <w:t> </w:t>
      </w:r>
      <w:r w:rsidRPr="004977BB">
        <w:rPr>
          <w:b/>
          <w:bCs/>
        </w:rPr>
        <w:t>2</w:t>
      </w:r>
      <w:r>
        <w:t>.</w:t>
      </w:r>
      <w:r w:rsidRPr="00A904A8">
        <w:t xml:space="preserve"> </w:t>
      </w:r>
    </w:p>
    <w:p w14:paraId="309AFAD8" w14:textId="77777777" w:rsidR="00DD746F" w:rsidRDefault="00DD746F" w:rsidP="00DD746F">
      <w:r>
        <w:t>Because</w:t>
      </w:r>
      <w:r w:rsidRPr="00BC2782">
        <w:t xml:space="preserve"> </w:t>
      </w:r>
      <w:r w:rsidRPr="000B3654">
        <w:t xml:space="preserve">Australia exports most of </w:t>
      </w:r>
      <w:r>
        <w:t>its</w:t>
      </w:r>
      <w:r w:rsidRPr="000B3654">
        <w:t xml:space="preserve"> coal and gas </w:t>
      </w:r>
      <w:r w:rsidRPr="00DA77C2">
        <w:rPr>
          <w:color w:val="000000"/>
        </w:rPr>
        <w:t>(DCCEEW</w:t>
      </w:r>
      <w:r w:rsidRPr="00B445B2">
        <w:rPr>
          <w:color w:val="000000"/>
        </w:rPr>
        <w:t xml:space="preserve"> 2025b)</w:t>
      </w:r>
      <w:r w:rsidRPr="00BC2782">
        <w:t xml:space="preserve">, global </w:t>
      </w:r>
      <w:r>
        <w:t>demand</w:t>
      </w:r>
      <w:r w:rsidRPr="00BC2782">
        <w:t xml:space="preserve"> and decisions by </w:t>
      </w:r>
      <w:r>
        <w:t>Australia’s</w:t>
      </w:r>
      <w:r w:rsidRPr="00BC2782">
        <w:t xml:space="preserve"> trading partners will play a large role </w:t>
      </w:r>
      <w:r>
        <w:t xml:space="preserve">in shaping future </w:t>
      </w:r>
      <w:r w:rsidRPr="00BC2782">
        <w:t>production</w:t>
      </w:r>
      <w:r>
        <w:t xml:space="preserve"> and, in turn, future</w:t>
      </w:r>
      <w:r w:rsidRPr="00BC2782">
        <w:t xml:space="preserve"> fossil methane emissions.</w:t>
      </w:r>
      <w:r>
        <w:t xml:space="preserve"> The remainder of this part of the paper explores whether trends in global fossil fuel production and demand will significantly reduce Australian fossil methane emissions.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FF7FD"/>
        <w:tblCellMar>
          <w:top w:w="113" w:type="dxa"/>
          <w:bottom w:w="113" w:type="dxa"/>
        </w:tblCellMar>
        <w:tblLook w:val="04A0" w:firstRow="1" w:lastRow="0" w:firstColumn="1" w:lastColumn="0" w:noHBand="0" w:noVBand="1"/>
      </w:tblPr>
      <w:tblGrid>
        <w:gridCol w:w="10092"/>
      </w:tblGrid>
      <w:tr w:rsidR="004F4FEF" w:rsidRPr="004F135F" w14:paraId="0D7BD602" w14:textId="77777777" w:rsidTr="0058776B">
        <w:trPr>
          <w:trHeight w:val="952"/>
        </w:trPr>
        <w:tc>
          <w:tcPr>
            <w:tcW w:w="5000" w:type="pct"/>
            <w:shd w:val="clear" w:color="auto" w:fill="DFF7FD"/>
          </w:tcPr>
          <w:p w14:paraId="2AE6B44A" w14:textId="77777777" w:rsidR="008E400E" w:rsidRDefault="008E400E" w:rsidP="00025937">
            <w:pPr>
              <w:spacing w:before="114" w:after="0"/>
              <w:rPr>
                <w:rFonts w:eastAsiaTheme="majorEastAsia" w:cstheme="majorBidi"/>
                <w:b/>
                <w:iCs/>
                <w:color w:val="0777A3"/>
                <w:sz w:val="36"/>
              </w:rPr>
            </w:pPr>
            <w:r w:rsidRPr="008E400E">
              <w:rPr>
                <w:rFonts w:eastAsiaTheme="majorEastAsia" w:cstheme="majorBidi"/>
                <w:b/>
                <w:iCs/>
                <w:color w:val="0777A3"/>
                <w:sz w:val="36"/>
              </w:rPr>
              <w:lastRenderedPageBreak/>
              <w:t>Box 4: IEA scenarios and projections</w:t>
            </w:r>
          </w:p>
          <w:p w14:paraId="0ECC9891" w14:textId="551D730E" w:rsidR="00E22E72" w:rsidRPr="00BA4B1F" w:rsidRDefault="00E22E72" w:rsidP="00025937">
            <w:pPr>
              <w:keepNext/>
              <w:spacing w:before="0"/>
            </w:pPr>
            <w:r>
              <w:t xml:space="preserve">The IEA conducts annual analyses of global energy pathways, based on global energy policies. These are then used to construct a series of scenarios illustrating possible energy supply and demand futures. The scenarios give an indication of the role of different energy sources in the coming decades and can illustrate how climate policy interacts with energy landscapes. </w:t>
            </w:r>
            <w:r w:rsidR="000C02A1" w:rsidRPr="004977BB">
              <w:rPr>
                <w:b/>
                <w:bCs/>
              </w:rPr>
              <w:t xml:space="preserve">Figures </w:t>
            </w:r>
            <w:r w:rsidR="000C02A1">
              <w:rPr>
                <w:b/>
                <w:bCs/>
              </w:rPr>
              <w:t>6</w:t>
            </w:r>
            <w:r w:rsidR="000C02A1" w:rsidRPr="004977BB">
              <w:rPr>
                <w:b/>
                <w:bCs/>
              </w:rPr>
              <w:t xml:space="preserve"> and </w:t>
            </w:r>
            <w:r w:rsidR="000C02A1">
              <w:rPr>
                <w:b/>
                <w:bCs/>
              </w:rPr>
              <w:t>7</w:t>
            </w:r>
            <w:r w:rsidR="000C02A1">
              <w:t xml:space="preserve"> show global coal and gas demand under each of the IEA scenarios, out to 2050, compared to demand in 2024.</w:t>
            </w:r>
          </w:p>
          <w:tbl>
            <w:tblPr>
              <w:tblStyle w:val="GridTable5Dark-Accent1"/>
              <w:tblW w:w="5000" w:type="pct"/>
              <w:tblLook w:val="04A0" w:firstRow="1" w:lastRow="0" w:firstColumn="1" w:lastColumn="0" w:noHBand="0" w:noVBand="1"/>
            </w:tblPr>
            <w:tblGrid>
              <w:gridCol w:w="2405"/>
              <w:gridCol w:w="7461"/>
            </w:tblGrid>
            <w:tr w:rsidR="00E22B94" w14:paraId="71356DF5" w14:textId="77777777" w:rsidTr="00E22B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7822FC49" w14:textId="77777777" w:rsidR="00E22B94" w:rsidRPr="00ED2133" w:rsidRDefault="00E22B94" w:rsidP="00E22B94">
                  <w:pPr>
                    <w:spacing w:before="114" w:after="114"/>
                    <w:rPr>
                      <w:sz w:val="20"/>
                      <w:szCs w:val="20"/>
                    </w:rPr>
                  </w:pPr>
                  <w:r w:rsidRPr="007311C5">
                    <w:rPr>
                      <w:color w:val="FFFFFF" w:themeColor="background1"/>
                      <w:sz w:val="20"/>
                      <w:szCs w:val="20"/>
                    </w:rPr>
                    <w:t>International Energy Agency scenarios</w:t>
                  </w:r>
                </w:p>
              </w:tc>
            </w:tr>
            <w:tr w:rsidR="00E22B94" w14:paraId="20FA2EEC" w14:textId="77777777" w:rsidTr="00E22B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9" w:type="pct"/>
                </w:tcPr>
                <w:p w14:paraId="29C85082" w14:textId="77777777" w:rsidR="00E22B94" w:rsidRPr="000A1A08" w:rsidRDefault="00E22B94" w:rsidP="00E22B94">
                  <w:pPr>
                    <w:spacing w:before="114" w:after="114"/>
                    <w:rPr>
                      <w:sz w:val="20"/>
                      <w:szCs w:val="20"/>
                    </w:rPr>
                  </w:pPr>
                  <w:r w:rsidRPr="007311C5">
                    <w:rPr>
                      <w:color w:val="FFFFFF" w:themeColor="background1"/>
                      <w:sz w:val="20"/>
                      <w:szCs w:val="20"/>
                    </w:rPr>
                    <w:t>Current Policies Scenario (CPS)</w:t>
                  </w:r>
                </w:p>
              </w:tc>
              <w:tc>
                <w:tcPr>
                  <w:tcW w:w="3781" w:type="pct"/>
                </w:tcPr>
                <w:p w14:paraId="04C5527D" w14:textId="77777777" w:rsidR="00E22B94" w:rsidRPr="00ED2133" w:rsidRDefault="00E22B94" w:rsidP="00E22B94">
                  <w:pPr>
                    <w:spacing w:before="114" w:after="114"/>
                    <w:cnfStyle w:val="000000100000" w:firstRow="0" w:lastRow="0" w:firstColumn="0" w:lastColumn="0" w:oddVBand="0" w:evenVBand="0" w:oddHBand="1" w:evenHBand="0" w:firstRowFirstColumn="0" w:firstRowLastColumn="0" w:lastRowFirstColumn="0" w:lastRowLastColumn="0"/>
                    <w:rPr>
                      <w:sz w:val="20"/>
                      <w:szCs w:val="20"/>
                    </w:rPr>
                  </w:pPr>
                  <w:r w:rsidRPr="00ED2133">
                    <w:rPr>
                      <w:sz w:val="20"/>
                      <w:szCs w:val="20"/>
                    </w:rPr>
                    <w:t>Includes policies and regulations that are already in place and takes a generally cautious perspective on the speed at which new energy technologies can be deployed in the energy system.</w:t>
                  </w:r>
                </w:p>
              </w:tc>
            </w:tr>
            <w:tr w:rsidR="00E22B94" w14:paraId="47F50511" w14:textId="77777777" w:rsidTr="00E22B94">
              <w:tc>
                <w:tcPr>
                  <w:cnfStyle w:val="001000000000" w:firstRow="0" w:lastRow="0" w:firstColumn="1" w:lastColumn="0" w:oddVBand="0" w:evenVBand="0" w:oddHBand="0" w:evenHBand="0" w:firstRowFirstColumn="0" w:firstRowLastColumn="0" w:lastRowFirstColumn="0" w:lastRowLastColumn="0"/>
                  <w:tcW w:w="1219" w:type="pct"/>
                </w:tcPr>
                <w:p w14:paraId="38E6DF56" w14:textId="77777777" w:rsidR="00E22B94" w:rsidRPr="007311C5" w:rsidRDefault="00E22B94" w:rsidP="00E22B94">
                  <w:pPr>
                    <w:spacing w:before="114" w:after="114"/>
                    <w:rPr>
                      <w:color w:val="FFFFFF" w:themeColor="background1"/>
                      <w:sz w:val="20"/>
                      <w:szCs w:val="20"/>
                    </w:rPr>
                  </w:pPr>
                  <w:r w:rsidRPr="007311C5">
                    <w:rPr>
                      <w:color w:val="FFFFFF" w:themeColor="background1"/>
                      <w:sz w:val="20"/>
                      <w:szCs w:val="20"/>
                    </w:rPr>
                    <w:t>Stated Policies Scenario (STEPS)</w:t>
                  </w:r>
                </w:p>
              </w:tc>
              <w:tc>
                <w:tcPr>
                  <w:tcW w:w="3781" w:type="pct"/>
                </w:tcPr>
                <w:p w14:paraId="0C12CAA6" w14:textId="77777777" w:rsidR="00E22B94" w:rsidRPr="00ED2133" w:rsidRDefault="00E22B94" w:rsidP="00E22B94">
                  <w:pPr>
                    <w:spacing w:before="114" w:after="114"/>
                    <w:cnfStyle w:val="000000000000" w:firstRow="0" w:lastRow="0" w:firstColumn="0" w:lastColumn="0" w:oddVBand="0" w:evenVBand="0" w:oddHBand="0" w:evenHBand="0" w:firstRowFirstColumn="0" w:firstRowLastColumn="0" w:lastRowFirstColumn="0" w:lastRowLastColumn="0"/>
                    <w:rPr>
                      <w:sz w:val="20"/>
                      <w:szCs w:val="20"/>
                    </w:rPr>
                  </w:pPr>
                  <w:r w:rsidRPr="00ED2133">
                    <w:rPr>
                      <w:sz w:val="20"/>
                      <w:szCs w:val="20"/>
                    </w:rPr>
                    <w:t>Includes a broader range of policies, including those that have been announced but not yet adopted, as well as official government strategies. This scenario does not assume that aspirational targets are met.</w:t>
                  </w:r>
                </w:p>
              </w:tc>
            </w:tr>
            <w:tr w:rsidR="00E22B94" w14:paraId="32A231DF" w14:textId="77777777" w:rsidTr="00E22B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9" w:type="pct"/>
                </w:tcPr>
                <w:p w14:paraId="1DD030F3" w14:textId="77777777" w:rsidR="00E22B94" w:rsidRPr="007311C5" w:rsidRDefault="00E22B94" w:rsidP="00E22B94">
                  <w:pPr>
                    <w:spacing w:before="114" w:after="114"/>
                    <w:rPr>
                      <w:color w:val="FFFFFF" w:themeColor="background1"/>
                      <w:sz w:val="20"/>
                      <w:szCs w:val="20"/>
                    </w:rPr>
                  </w:pPr>
                  <w:r w:rsidRPr="007311C5">
                    <w:rPr>
                      <w:color w:val="FFFFFF" w:themeColor="background1"/>
                      <w:sz w:val="20"/>
                      <w:szCs w:val="20"/>
                    </w:rPr>
                    <w:t>Announced Pledges Scenario (APS)</w:t>
                  </w:r>
                </w:p>
              </w:tc>
              <w:tc>
                <w:tcPr>
                  <w:tcW w:w="3781" w:type="pct"/>
                </w:tcPr>
                <w:p w14:paraId="56F29099" w14:textId="77777777" w:rsidR="00E22B94" w:rsidRPr="00ED2133" w:rsidRDefault="00E22B94" w:rsidP="00E22B94">
                  <w:pPr>
                    <w:spacing w:before="114" w:after="114"/>
                    <w:cnfStyle w:val="000000100000" w:firstRow="0" w:lastRow="0" w:firstColumn="0" w:lastColumn="0" w:oddVBand="0" w:evenVBand="0" w:oddHBand="1" w:evenHBand="0" w:firstRowFirstColumn="0" w:firstRowLastColumn="0" w:lastRowFirstColumn="0" w:lastRowLastColumn="0"/>
                    <w:rPr>
                      <w:sz w:val="20"/>
                      <w:szCs w:val="20"/>
                    </w:rPr>
                  </w:pPr>
                  <w:r w:rsidRPr="00ED2133">
                    <w:rPr>
                      <w:sz w:val="20"/>
                      <w:szCs w:val="20"/>
                    </w:rPr>
                    <w:t>A trajectory for the energy sector that assumes all national energy and climate pledges, including long-term net zero emissions goals, are met on time and in full.</w:t>
                  </w:r>
                </w:p>
              </w:tc>
            </w:tr>
            <w:tr w:rsidR="00E22B94" w14:paraId="5FE2A849" w14:textId="77777777" w:rsidTr="00E22B94">
              <w:tc>
                <w:tcPr>
                  <w:cnfStyle w:val="001000000000" w:firstRow="0" w:lastRow="0" w:firstColumn="1" w:lastColumn="0" w:oddVBand="0" w:evenVBand="0" w:oddHBand="0" w:evenHBand="0" w:firstRowFirstColumn="0" w:firstRowLastColumn="0" w:lastRowFirstColumn="0" w:lastRowLastColumn="0"/>
                  <w:tcW w:w="1219" w:type="pct"/>
                </w:tcPr>
                <w:p w14:paraId="13600E42" w14:textId="77777777" w:rsidR="00E22B94" w:rsidRPr="007311C5" w:rsidRDefault="00E22B94" w:rsidP="00E22B94">
                  <w:pPr>
                    <w:spacing w:before="114" w:after="114"/>
                    <w:rPr>
                      <w:color w:val="FFFFFF" w:themeColor="background1"/>
                      <w:sz w:val="20"/>
                      <w:szCs w:val="20"/>
                    </w:rPr>
                  </w:pPr>
                  <w:r w:rsidRPr="007311C5">
                    <w:rPr>
                      <w:color w:val="FFFFFF" w:themeColor="background1"/>
                      <w:sz w:val="20"/>
                      <w:szCs w:val="20"/>
                    </w:rPr>
                    <w:t>Net Zero Emissions by 2050 (NZE) Scenario</w:t>
                  </w:r>
                </w:p>
              </w:tc>
              <w:tc>
                <w:tcPr>
                  <w:tcW w:w="3781" w:type="pct"/>
                </w:tcPr>
                <w:p w14:paraId="670FB013" w14:textId="77777777" w:rsidR="00E22B94" w:rsidRPr="00ED2133" w:rsidRDefault="00E22B94" w:rsidP="00E22B94">
                  <w:pPr>
                    <w:spacing w:before="114" w:after="114"/>
                    <w:cnfStyle w:val="000000000000" w:firstRow="0" w:lastRow="0" w:firstColumn="0" w:lastColumn="0" w:oddVBand="0" w:evenVBand="0" w:oddHBand="0" w:evenHBand="0" w:firstRowFirstColumn="0" w:firstRowLastColumn="0" w:lastRowFirstColumn="0" w:lastRowLastColumn="0"/>
                    <w:rPr>
                      <w:sz w:val="20"/>
                      <w:szCs w:val="20"/>
                    </w:rPr>
                  </w:pPr>
                  <w:r w:rsidRPr="00ED2133">
                    <w:rPr>
                      <w:sz w:val="20"/>
                      <w:szCs w:val="20"/>
                    </w:rPr>
                    <w:t xml:space="preserve">A global pathway for the energy sector to achieve net zero </w:t>
                  </w:r>
                  <w:r>
                    <w:rPr>
                      <w:sz w:val="20"/>
                      <w:szCs w:val="20"/>
                    </w:rPr>
                    <w:t>carbon dioxide</w:t>
                  </w:r>
                  <w:r w:rsidRPr="00ED2133">
                    <w:rPr>
                      <w:sz w:val="20"/>
                      <w:szCs w:val="20"/>
                    </w:rPr>
                    <w:t xml:space="preserve"> emissions by 2050, based on a</w:t>
                  </w:r>
                  <w:r>
                    <w:rPr>
                      <w:sz w:val="20"/>
                      <w:szCs w:val="20"/>
                    </w:rPr>
                    <w:t>n</w:t>
                  </w:r>
                  <w:r w:rsidRPr="00ED2133">
                    <w:rPr>
                      <w:sz w:val="20"/>
                      <w:szCs w:val="20"/>
                    </w:rPr>
                    <w:t xml:space="preserve"> overshoot of 1.5</w:t>
                  </w:r>
                  <w:r>
                    <w:rPr>
                      <w:sz w:val="20"/>
                      <w:szCs w:val="20"/>
                    </w:rPr>
                    <w:t xml:space="preserve"> </w:t>
                  </w:r>
                  <w:r w:rsidRPr="00ED2133">
                    <w:rPr>
                      <w:sz w:val="20"/>
                      <w:szCs w:val="20"/>
                    </w:rPr>
                    <w:t>°C and a return to 1.5</w:t>
                  </w:r>
                  <w:r>
                    <w:rPr>
                      <w:sz w:val="20"/>
                      <w:szCs w:val="20"/>
                    </w:rPr>
                    <w:t xml:space="preserve"> </w:t>
                  </w:r>
                  <w:r w:rsidRPr="00ED2133">
                    <w:rPr>
                      <w:sz w:val="20"/>
                      <w:szCs w:val="20"/>
                    </w:rPr>
                    <w:t>°C by 2100.</w:t>
                  </w:r>
                </w:p>
              </w:tc>
            </w:tr>
          </w:tbl>
          <w:p w14:paraId="730935F6" w14:textId="77777777" w:rsidR="00E22B94" w:rsidRDefault="00E22B94" w:rsidP="001B7981">
            <w:pPr>
              <w:pStyle w:val="ReportFigureTitle"/>
            </w:pPr>
            <w:r>
              <w:t xml:space="preserve">Figure 6: Global coal demand in 2035 and 2050 across IEA scenarios </w:t>
            </w:r>
          </w:p>
          <w:p w14:paraId="6C8DD0C7" w14:textId="77777777" w:rsidR="004F4FEF" w:rsidRDefault="001B7981" w:rsidP="0058776B">
            <w:r>
              <w:rPr>
                <w:noProof/>
              </w:rPr>
              <w:drawing>
                <wp:inline distT="0" distB="0" distL="0" distR="0" wp14:anchorId="4C1AED86" wp14:editId="4248CAAA">
                  <wp:extent cx="5448300" cy="3268981"/>
                  <wp:effectExtent l="0" t="0" r="0" b="0"/>
                  <wp:docPr id="1902798263" name="Picture 16" descr="Figures 6 and 7 show global coal and gas demand under each of the IEA scenarios, out to 2050, compared to demand in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798263" name="Picture 16" descr="Figures 6 and 7 show global coal and gas demand under each of the IEA scenarios, out to 2050, compared to demand in 2024."/>
                          <pic:cNvPicPr>
                            <a:picLocks noChangeAspect="1" noChangeArrowheads="1"/>
                          </pic:cNvPicPr>
                        </pic:nvPicPr>
                        <pic:blipFill>
                          <a:blip r:embed="rId27">
                            <a:extLst>
                              <a:ext uri="{96DAC541-7B7A-43D3-8B79-37D633B846F1}">
                                <asvg:svgBlip xmlns:asvg="http://schemas.microsoft.com/office/drawing/2016/SVG/main" r:embed="rId28"/>
                              </a:ext>
                            </a:extLst>
                          </a:blip>
                          <a:stretch>
                            <a:fillRect/>
                          </a:stretch>
                        </pic:blipFill>
                        <pic:spPr bwMode="auto">
                          <a:xfrm>
                            <a:off x="0" y="0"/>
                            <a:ext cx="5456325" cy="3273796"/>
                          </a:xfrm>
                          <a:prstGeom prst="rect">
                            <a:avLst/>
                          </a:prstGeom>
                        </pic:spPr>
                      </pic:pic>
                    </a:graphicData>
                  </a:graphic>
                </wp:inline>
              </w:drawing>
            </w:r>
          </w:p>
          <w:p w14:paraId="145FCE60" w14:textId="4239C45B" w:rsidR="00DB44EC" w:rsidRDefault="00DB44EC" w:rsidP="006D014F">
            <w:pPr>
              <w:pStyle w:val="ReportFigureNotesandFootnotes"/>
              <w:spacing w:before="0" w:after="0"/>
              <w:rPr>
                <w:i/>
              </w:rPr>
            </w:pPr>
            <w:r w:rsidRPr="00DB44EC">
              <w:rPr>
                <w:i/>
              </w:rPr>
              <w:t>Source: (IEA 2025b, 2024)</w:t>
            </w:r>
            <w:r w:rsidR="00CE4622">
              <w:rPr>
                <w:i/>
              </w:rPr>
              <w:t>.</w:t>
            </w:r>
          </w:p>
          <w:p w14:paraId="7C472CD5" w14:textId="2BA54649" w:rsidR="008A55AE" w:rsidRPr="00977C68" w:rsidRDefault="008A55AE" w:rsidP="009A175F">
            <w:pPr>
              <w:pStyle w:val="ReportFigureNotesandFootnotes"/>
              <w:spacing w:before="0"/>
            </w:pPr>
            <w:r>
              <w:t xml:space="preserve">Note: APS and NZE figures are not provided in WEO 2025, so figures from WEO 2024 are used. STEPS and CPS </w:t>
            </w:r>
            <w:r w:rsidR="00547754">
              <w:t>figures are</w:t>
            </w:r>
            <w:r>
              <w:t xml:space="preserve"> from WEO 2025</w:t>
            </w:r>
            <w:r w:rsidRPr="00297F3D">
              <w:t>.</w:t>
            </w:r>
          </w:p>
          <w:p w14:paraId="07F57F8E" w14:textId="77777777" w:rsidR="00310FCE" w:rsidRPr="00432DF3" w:rsidRDefault="00310FCE" w:rsidP="00310FCE">
            <w:pPr>
              <w:pStyle w:val="Caption"/>
              <w:rPr>
                <w:rFonts w:asciiTheme="minorHAnsi" w:eastAsiaTheme="minorEastAsia" w:hAnsiTheme="minorHAnsi"/>
                <w:i w:val="0"/>
                <w:color w:val="00679F"/>
                <w:sz w:val="24"/>
                <w:szCs w:val="21"/>
                <w:lang w:val="en-GB" w:eastAsia="ja-JP"/>
              </w:rPr>
            </w:pPr>
            <w:r w:rsidRPr="00432DF3">
              <w:rPr>
                <w:rFonts w:asciiTheme="minorHAnsi" w:eastAsiaTheme="minorEastAsia" w:hAnsiTheme="minorHAnsi"/>
                <w:i w:val="0"/>
                <w:color w:val="00679F"/>
                <w:sz w:val="24"/>
                <w:szCs w:val="21"/>
                <w:lang w:val="en-GB" w:eastAsia="ja-JP"/>
              </w:rPr>
              <w:lastRenderedPageBreak/>
              <w:t>Figure 7: Global gas demand in 2035 and 2050 across IEA scenarios</w:t>
            </w:r>
          </w:p>
          <w:p w14:paraId="0CB378F9" w14:textId="77777777" w:rsidR="001B7981" w:rsidRDefault="00310FCE" w:rsidP="0058776B">
            <w:r>
              <w:rPr>
                <w:noProof/>
              </w:rPr>
              <w:drawing>
                <wp:inline distT="0" distB="0" distL="0" distR="0" wp14:anchorId="2FCE2437" wp14:editId="6A214A57">
                  <wp:extent cx="5866410" cy="3519845"/>
                  <wp:effectExtent l="0" t="0" r="0" b="0"/>
                  <wp:docPr id="945457340" name="Picture 17" descr="Figures 6 and 7 show global coal and gas demand under each of the IEA scenarios, out to 2050, compared to demand in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457340" name="Picture 17" descr="Figures 6 and 7 show global coal and gas demand under each of the IEA scenarios, out to 2050, compared to demand in 2024."/>
                          <pic:cNvPicPr>
                            <a:picLocks noChangeAspect="1" noChangeArrowheads="1"/>
                          </pic:cNvPicPr>
                        </pic:nvPicPr>
                        <pic:blipFill>
                          <a:blip r:embed="rId29">
                            <a:extLst>
                              <a:ext uri="{96DAC541-7B7A-43D3-8B79-37D633B846F1}">
                                <asvg:svgBlip xmlns:asvg="http://schemas.microsoft.com/office/drawing/2016/SVG/main" r:embed="rId30"/>
                              </a:ext>
                            </a:extLst>
                          </a:blip>
                          <a:stretch>
                            <a:fillRect/>
                          </a:stretch>
                        </pic:blipFill>
                        <pic:spPr bwMode="auto">
                          <a:xfrm>
                            <a:off x="0" y="0"/>
                            <a:ext cx="5894899" cy="3536939"/>
                          </a:xfrm>
                          <a:prstGeom prst="rect">
                            <a:avLst/>
                          </a:prstGeom>
                        </pic:spPr>
                      </pic:pic>
                    </a:graphicData>
                  </a:graphic>
                </wp:inline>
              </w:drawing>
            </w:r>
          </w:p>
          <w:p w14:paraId="528EFE0D" w14:textId="77777777" w:rsidR="00682757" w:rsidRDefault="00682757" w:rsidP="00BA6D19">
            <w:pPr>
              <w:pStyle w:val="ReportFigureNotesandFootnotes"/>
              <w:rPr>
                <w:i/>
              </w:rPr>
            </w:pPr>
            <w:r w:rsidRPr="00682757">
              <w:rPr>
                <w:i/>
              </w:rPr>
              <w:t>Source: (IEA 2024, 2025b)</w:t>
            </w:r>
          </w:p>
          <w:p w14:paraId="13CF299B" w14:textId="549A5CC0" w:rsidR="00310FCE" w:rsidRPr="004F135F" w:rsidRDefault="00BA6D19" w:rsidP="00BA6D19">
            <w:pPr>
              <w:pStyle w:val="ReportFigureNotesandFootnotes"/>
            </w:pPr>
            <w:r>
              <w:t>Note: APS and NZE figures are not provided in WEO 2025, so figures from WEO 2024 are used. STEPS and CPS figures are from WEO 2025.</w:t>
            </w:r>
          </w:p>
        </w:tc>
      </w:tr>
    </w:tbl>
    <w:p w14:paraId="6EE79FFB" w14:textId="77777777" w:rsidR="00354E13" w:rsidRDefault="00354E13" w:rsidP="00354E13">
      <w:bookmarkStart w:id="63" w:name="_Toc231298025"/>
    </w:p>
    <w:p w14:paraId="702C5258" w14:textId="620B8484" w:rsidR="00354E13" w:rsidRDefault="00354E13" w:rsidP="007867BC">
      <w:pPr>
        <w:pStyle w:val="L3SectionHeading"/>
        <w:spacing w:before="0"/>
      </w:pPr>
      <w:r>
        <w:t>Current global policy settings do not point to significant reductions in fossil fuel production</w:t>
      </w:r>
      <w:bookmarkEnd w:id="63"/>
    </w:p>
    <w:p w14:paraId="16ABE26B" w14:textId="77777777" w:rsidR="001B34C8" w:rsidRDefault="001B34C8" w:rsidP="0058776B">
      <w:r>
        <w:t>The IEA’s Current Policies Scenario (</w:t>
      </w:r>
      <w:r w:rsidRPr="004977BB">
        <w:rPr>
          <w:b/>
          <w:bCs/>
        </w:rPr>
        <w:t xml:space="preserve">Box </w:t>
      </w:r>
      <w:r>
        <w:rPr>
          <w:b/>
          <w:bCs/>
        </w:rPr>
        <w:t>4</w:t>
      </w:r>
      <w:r>
        <w:t xml:space="preserve">) projects that under current settings, global demand for coal is likely to decline modestly, by around 8%, between 2024 and 2035. Gas demand is projected to rise by around 19% in the same period </w:t>
      </w:r>
      <w:r w:rsidRPr="00DA77C2">
        <w:rPr>
          <w:color w:val="000000"/>
        </w:rPr>
        <w:t>(IEA</w:t>
      </w:r>
      <w:r w:rsidRPr="00B445B2">
        <w:rPr>
          <w:color w:val="000000"/>
        </w:rPr>
        <w:t xml:space="preserve"> 2025b)</w:t>
      </w:r>
      <w:r>
        <w:t xml:space="preserve">. </w:t>
      </w:r>
    </w:p>
    <w:p w14:paraId="5B19E0B0" w14:textId="1A830713" w:rsidR="001B34C8" w:rsidRDefault="001B34C8" w:rsidP="001B34C8">
      <w:r>
        <w:t>Australia’s Emissions Projections</w:t>
      </w:r>
      <w:r w:rsidR="006F2A2B">
        <w:t>—</w:t>
      </w:r>
      <w:r>
        <w:t xml:space="preserve"> which also assume current policies and measures</w:t>
      </w:r>
      <w:r w:rsidR="006F2A2B">
        <w:t>—</w:t>
      </w:r>
      <w:r>
        <w:t xml:space="preserve">estimate total Australian production of black coal falls 15% between 2025 and 2035. Metallurgical coal production grows to 2030 and then declines, while thermal coal is flat to 2030 then declines. Brown coal production is estimated to decline 92% over the period, but accounts for only a small share of total production and is not exported. LNG production (gas for export) is projected to fall 5% between 2025 and 2035, peaking in 2028 and then declining </w:t>
      </w:r>
      <w:r w:rsidRPr="00DA77C2">
        <w:rPr>
          <w:color w:val="000000"/>
        </w:rPr>
        <w:t>(DCCEEW</w:t>
      </w:r>
      <w:r w:rsidRPr="00B445B2">
        <w:rPr>
          <w:color w:val="000000"/>
        </w:rPr>
        <w:t xml:space="preserve"> 2025g)</w:t>
      </w:r>
      <w:r w:rsidRPr="00746F3B">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FF7FD"/>
        <w:tblCellMar>
          <w:top w:w="113" w:type="dxa"/>
          <w:bottom w:w="113" w:type="dxa"/>
        </w:tblCellMar>
        <w:tblLook w:val="04A0" w:firstRow="1" w:lastRow="0" w:firstColumn="1" w:lastColumn="0" w:noHBand="0" w:noVBand="1"/>
      </w:tblPr>
      <w:tblGrid>
        <w:gridCol w:w="10092"/>
      </w:tblGrid>
      <w:tr w:rsidR="00354E13" w:rsidRPr="004F135F" w14:paraId="2D1DD901" w14:textId="77777777" w:rsidTr="00354E13">
        <w:trPr>
          <w:trHeight w:val="952"/>
        </w:trPr>
        <w:tc>
          <w:tcPr>
            <w:tcW w:w="5000" w:type="pct"/>
            <w:shd w:val="clear" w:color="auto" w:fill="DFF7FD"/>
          </w:tcPr>
          <w:p w14:paraId="7F59504C" w14:textId="41F5A7CF" w:rsidR="00354E13" w:rsidRPr="004F135F" w:rsidRDefault="00F309FD" w:rsidP="0058776B">
            <w:pPr>
              <w:pStyle w:val="BoxTitle"/>
            </w:pPr>
            <w:r w:rsidRPr="00F309FD">
              <w:lastRenderedPageBreak/>
              <w:t>Box 5: Australia’s coal exports</w:t>
            </w:r>
          </w:p>
          <w:p w14:paraId="497E4F0A" w14:textId="4644BA28" w:rsidR="00BE660C" w:rsidRDefault="00BE660C" w:rsidP="00BE660C">
            <w:pPr>
              <w:spacing w:before="114" w:after="114"/>
            </w:pPr>
            <w:r>
              <w:t>Australia exports coal for 2 main uses:</w:t>
            </w:r>
          </w:p>
          <w:p w14:paraId="0DAB0069" w14:textId="59E4FD0D" w:rsidR="00BE660C" w:rsidRDefault="00BE660C" w:rsidP="00BE660C">
            <w:pPr>
              <w:spacing w:before="114" w:after="114"/>
              <w:ind w:left="720"/>
            </w:pPr>
            <w:r w:rsidRPr="00B92755">
              <w:rPr>
                <w:b/>
                <w:bCs/>
              </w:rPr>
              <w:t xml:space="preserve">Thermal coal </w:t>
            </w:r>
            <w:r w:rsidRPr="004D68E4">
              <w:t>(also known as steam coal)</w:t>
            </w:r>
            <w:r w:rsidRPr="00B92755">
              <w:rPr>
                <w:b/>
                <w:bCs/>
              </w:rPr>
              <w:t xml:space="preserve"> </w:t>
            </w:r>
            <w:r>
              <w:t xml:space="preserve">is burned to generate electricity. Demand for thermal coal from Australia’s trade partners is expected to decline gradually as these countries replace coal power generation with lower-carbon alternatives </w:t>
            </w:r>
            <w:r w:rsidR="00A06D1F" w:rsidRPr="00DA77C2">
              <w:rPr>
                <w:color w:val="000000"/>
              </w:rPr>
              <w:t>(DISR</w:t>
            </w:r>
            <w:r w:rsidR="00A06D1F" w:rsidRPr="00B445B2">
              <w:rPr>
                <w:color w:val="000000"/>
              </w:rPr>
              <w:t xml:space="preserve"> 2025a; IEA</w:t>
            </w:r>
            <w:r w:rsidR="00A06D1F" w:rsidRPr="00DA77C2">
              <w:rPr>
                <w:color w:val="000000"/>
              </w:rPr>
              <w:t xml:space="preserve"> 2025b</w:t>
            </w:r>
            <w:r w:rsidR="00A06D1F" w:rsidRPr="00B445B2">
              <w:rPr>
                <w:color w:val="000000"/>
              </w:rPr>
              <w:t>)</w:t>
            </w:r>
            <w:r w:rsidR="00A06D1F">
              <w:t>.</w:t>
            </w:r>
          </w:p>
          <w:p w14:paraId="743B8473" w14:textId="75A704E6" w:rsidR="00BE660C" w:rsidRDefault="00BE660C" w:rsidP="00BE660C">
            <w:pPr>
              <w:keepNext/>
              <w:ind w:left="720"/>
            </w:pPr>
            <w:r w:rsidRPr="00536561">
              <w:rPr>
                <w:b/>
                <w:bCs/>
              </w:rPr>
              <w:t>Metallurgical</w:t>
            </w:r>
            <w:r w:rsidRPr="00E56234">
              <w:t xml:space="preserve"> </w:t>
            </w:r>
            <w:r w:rsidRPr="00B92755">
              <w:rPr>
                <w:b/>
                <w:bCs/>
              </w:rPr>
              <w:t xml:space="preserve">coal </w:t>
            </w:r>
            <w:r w:rsidRPr="00E56234">
              <w:t xml:space="preserve">(also known as met coal or coking coal) </w:t>
            </w:r>
            <w:r>
              <w:t xml:space="preserve">is used in steelmaking and other industrial processes. Demand for Australian </w:t>
            </w:r>
            <w:r w:rsidRPr="00E56234">
              <w:t>met</w:t>
            </w:r>
            <w:r>
              <w:t>allurgical</w:t>
            </w:r>
            <w:r w:rsidRPr="00E56234">
              <w:t xml:space="preserve"> </w:t>
            </w:r>
            <w:r>
              <w:t xml:space="preserve">coal is expected to be more stable in the medium term, in part because low-emissions alternatives are less commercially mature and more costly </w:t>
            </w:r>
            <w:r w:rsidR="009C6FE2" w:rsidRPr="00DA77C2">
              <w:rPr>
                <w:color w:val="000000"/>
              </w:rPr>
              <w:t>(IEA</w:t>
            </w:r>
            <w:r w:rsidR="009C6FE2" w:rsidRPr="00B445B2">
              <w:rPr>
                <w:color w:val="000000"/>
              </w:rPr>
              <w:t xml:space="preserve"> 2025c)</w:t>
            </w:r>
            <w:r w:rsidR="009C6FE2">
              <w:t>.</w:t>
            </w:r>
          </w:p>
          <w:p w14:paraId="2A55147C" w14:textId="32649289" w:rsidR="00BE660C" w:rsidRDefault="00BE660C" w:rsidP="00BE660C">
            <w:pPr>
              <w:spacing w:before="114" w:after="114"/>
            </w:pPr>
            <w:r>
              <w:t xml:space="preserve">Australia currently exports around 350 Mt of coal each year—around 200 Mt per year of thermal coal and 150Mt of metallurgical coal </w:t>
            </w:r>
            <w:r w:rsidR="00387185" w:rsidRPr="00DA77C2">
              <w:rPr>
                <w:color w:val="000000"/>
              </w:rPr>
              <w:t>(DISR</w:t>
            </w:r>
            <w:r w:rsidR="00387185" w:rsidRPr="00B445B2">
              <w:rPr>
                <w:color w:val="000000"/>
              </w:rPr>
              <w:t xml:space="preserve"> 2025a)</w:t>
            </w:r>
            <w:r w:rsidR="00387185">
              <w:t>.</w:t>
            </w:r>
          </w:p>
          <w:p w14:paraId="1CFF9152" w14:textId="5950EDE9" w:rsidR="00BE660C" w:rsidRDefault="00BE660C" w:rsidP="00BE660C">
            <w:pPr>
              <w:pStyle w:val="ReportFigureTitle"/>
            </w:pPr>
            <w:r>
              <w:t xml:space="preserve">Figure </w:t>
            </w:r>
            <w:r w:rsidR="0092656D">
              <w:t>8</w:t>
            </w:r>
            <w:r>
              <w:t>: Australian exports of thermal and met coal from 1990 to 2025</w:t>
            </w:r>
          </w:p>
          <w:p w14:paraId="17DF4BC6" w14:textId="0B45DA64" w:rsidR="00354E13" w:rsidRDefault="00B82B99" w:rsidP="0058776B">
            <w:r>
              <w:rPr>
                <w:noProof/>
              </w:rPr>
              <w:drawing>
                <wp:inline distT="0" distB="0" distL="0" distR="0" wp14:anchorId="774877E5" wp14:editId="6C1BC9B8">
                  <wp:extent cx="5716182" cy="3366585"/>
                  <wp:effectExtent l="0" t="0" r="0" b="0"/>
                  <wp:docPr id="1635158731" name="Picture 18" descr="Australia currently exports around 350 Mt of coal each year—around 200 Mt per year of thermal coal and 150Mt of metallurgical coal (DISR 202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158731" name="Picture 18" descr="Australia currently exports around 350 Mt of coal each year—around 200 Mt per year of thermal coal and 150Mt of metallurgical coal (DISR 2025a)."/>
                          <pic:cNvPicPr>
                            <a:picLocks noChangeAspect="1" noChangeArrowheads="1"/>
                          </pic:cNvPicPr>
                        </pic:nvPicPr>
                        <pic:blipFill>
                          <a:blip r:embed="rId31">
                            <a:extLst>
                              <a:ext uri="{96DAC541-7B7A-43D3-8B79-37D633B846F1}">
                                <asvg:svgBlip xmlns:asvg="http://schemas.microsoft.com/office/drawing/2016/SVG/main" r:embed="rId32"/>
                              </a:ext>
                            </a:extLst>
                          </a:blip>
                          <a:stretch>
                            <a:fillRect/>
                          </a:stretch>
                        </pic:blipFill>
                        <pic:spPr bwMode="auto">
                          <a:xfrm>
                            <a:off x="0" y="0"/>
                            <a:ext cx="5716182" cy="3366585"/>
                          </a:xfrm>
                          <a:prstGeom prst="rect">
                            <a:avLst/>
                          </a:prstGeom>
                        </pic:spPr>
                      </pic:pic>
                    </a:graphicData>
                  </a:graphic>
                </wp:inline>
              </w:drawing>
            </w:r>
          </w:p>
          <w:p w14:paraId="206A67D3" w14:textId="5E2F31EA" w:rsidR="00B82B99" w:rsidRPr="004F135F" w:rsidRDefault="007A06C9" w:rsidP="00E5590E">
            <w:pPr>
              <w:pStyle w:val="ReportFigureSource"/>
            </w:pPr>
            <w:r w:rsidRPr="007A06C9">
              <w:t>Source: (DISR 2025a)</w:t>
            </w:r>
          </w:p>
        </w:tc>
      </w:tr>
    </w:tbl>
    <w:p w14:paraId="0C722C05" w14:textId="14E7CACF" w:rsidR="00492A0C" w:rsidRDefault="00492A0C" w:rsidP="005145C4">
      <w:pPr>
        <w:pStyle w:val="L3SectionHeading"/>
      </w:pPr>
      <w:bookmarkStart w:id="64" w:name="_Toc231298026"/>
    </w:p>
    <w:p w14:paraId="2F1232E4" w14:textId="77777777" w:rsidR="00530505" w:rsidRDefault="00530505">
      <w:pPr>
        <w:spacing w:before="0" w:after="160" w:line="279" w:lineRule="auto"/>
        <w:rPr>
          <w:rFonts w:eastAsiaTheme="majorEastAsia" w:cstheme="majorBidi"/>
          <w:b/>
          <w:bCs/>
          <w:color w:val="0777A3"/>
          <w:sz w:val="24"/>
          <w:szCs w:val="20"/>
          <w:lang w:eastAsia="en-US"/>
        </w:rPr>
      </w:pPr>
      <w:r>
        <w:br w:type="page"/>
      </w:r>
    </w:p>
    <w:p w14:paraId="1A92DEE0" w14:textId="31D40D62" w:rsidR="005145C4" w:rsidRPr="00082357" w:rsidRDefault="005145C4" w:rsidP="005145C4">
      <w:pPr>
        <w:pStyle w:val="L3SectionHeading"/>
      </w:pPr>
      <w:r w:rsidRPr="00082357">
        <w:lastRenderedPageBreak/>
        <w:t xml:space="preserve">Global climate action will reduce fossil fuel demand, but substantial </w:t>
      </w:r>
      <w:r>
        <w:t>demand</w:t>
      </w:r>
      <w:r w:rsidRPr="00082357">
        <w:t xml:space="preserve"> </w:t>
      </w:r>
      <w:r>
        <w:t>will remain</w:t>
      </w:r>
      <w:r w:rsidRPr="00082357">
        <w:t xml:space="preserve"> in coming decades</w:t>
      </w:r>
      <w:bookmarkEnd w:id="64"/>
    </w:p>
    <w:p w14:paraId="625C7855" w14:textId="49EB264E" w:rsidR="00492A0C" w:rsidRDefault="00492A0C" w:rsidP="00492A0C">
      <w:r w:rsidRPr="006473C9">
        <w:t xml:space="preserve">Over 84% of global GDP is covered by net zero commitments including </w:t>
      </w:r>
      <w:r>
        <w:t>Australia’s</w:t>
      </w:r>
      <w:r w:rsidRPr="006473C9">
        <w:t xml:space="preserve"> major trading partners China, Japan and South Korea</w:t>
      </w:r>
      <w:r>
        <w:t xml:space="preserve"> </w:t>
      </w:r>
      <w:r w:rsidRPr="00DA77C2">
        <w:rPr>
          <w:color w:val="000000"/>
        </w:rPr>
        <w:t>(DCCEEW</w:t>
      </w:r>
      <w:r w:rsidRPr="00B445B2">
        <w:rPr>
          <w:color w:val="000000"/>
        </w:rPr>
        <w:t xml:space="preserve"> 2025c)</w:t>
      </w:r>
      <w:r>
        <w:t xml:space="preserve">. </w:t>
      </w:r>
      <w:r w:rsidRPr="00EB0717">
        <w:t>As climate action strengthens</w:t>
      </w:r>
      <w:r>
        <w:t xml:space="preserve"> in these countries</w:t>
      </w:r>
      <w:r w:rsidRPr="00EB0717">
        <w:t>, global demand for fossil fuels is expected to decline</w:t>
      </w:r>
      <w:r>
        <w:t>, in turn reducing</w:t>
      </w:r>
      <w:r w:rsidRPr="00EB0717">
        <w:t xml:space="preserve"> fossil methane emissions over time. </w:t>
      </w:r>
      <w:r>
        <w:t>However</w:t>
      </w:r>
      <w:r w:rsidRPr="00FB697F">
        <w:t>, substantial fossil fuel production is still expected to continue for decades under all major scenarios</w:t>
      </w:r>
      <w:r>
        <w:t xml:space="preserve"> </w:t>
      </w:r>
      <w:r w:rsidRPr="00DA77C2">
        <w:rPr>
          <w:color w:val="000000"/>
        </w:rPr>
        <w:t>(IEA</w:t>
      </w:r>
      <w:r w:rsidRPr="00B445B2">
        <w:rPr>
          <w:color w:val="000000"/>
        </w:rPr>
        <w:t xml:space="preserve"> 2025b)</w:t>
      </w:r>
      <w:r w:rsidRPr="00FB697F">
        <w:t>. IEA scenarios (</w:t>
      </w:r>
      <w:r w:rsidRPr="004977BB">
        <w:rPr>
          <w:b/>
          <w:bCs/>
        </w:rPr>
        <w:t xml:space="preserve">Box </w:t>
      </w:r>
      <w:r>
        <w:rPr>
          <w:b/>
          <w:bCs/>
        </w:rPr>
        <w:t>4</w:t>
      </w:r>
      <w:r w:rsidRPr="00FB697F">
        <w:t>) show that coal demand falls most sharply under stronger climate action, especially for thermal coal (</w:t>
      </w:r>
      <w:r w:rsidRPr="004977BB">
        <w:rPr>
          <w:b/>
          <w:bCs/>
        </w:rPr>
        <w:t xml:space="preserve">Figure </w:t>
      </w:r>
      <w:r w:rsidR="00B546B8">
        <w:rPr>
          <w:b/>
          <w:bCs/>
        </w:rPr>
        <w:t>6</w:t>
      </w:r>
      <w:r w:rsidRPr="00FB697F">
        <w:t>). The</w:t>
      </w:r>
      <w:r w:rsidRPr="00CE5107">
        <w:t xml:space="preserve"> outlook for gas is more mixed, and both gas and metallurgical coal are generally expected to persist longer than thermal coal because they are harder to replace </w:t>
      </w:r>
      <w:r>
        <w:t xml:space="preserve">with low emissions alternatives </w:t>
      </w:r>
      <w:r w:rsidRPr="00CE5107">
        <w:t>in some parts of the economy and in some markets</w:t>
      </w:r>
      <w:r>
        <w:t xml:space="preserve"> (</w:t>
      </w:r>
      <w:r w:rsidRPr="004977BB">
        <w:rPr>
          <w:b/>
          <w:bCs/>
        </w:rPr>
        <w:t xml:space="preserve">Figure </w:t>
      </w:r>
      <w:r w:rsidR="00273FF3">
        <w:rPr>
          <w:b/>
          <w:bCs/>
        </w:rPr>
        <w:t>7</w:t>
      </w:r>
      <w:r>
        <w:t xml:space="preserve">) </w:t>
      </w:r>
      <w:r w:rsidRPr="00B445B2">
        <w:rPr>
          <w:color w:val="000000"/>
        </w:rPr>
        <w:t>(IEA 2025b; DISR 2025a)</w:t>
      </w:r>
      <w:r w:rsidRPr="00CE5107">
        <w:t xml:space="preserve">. </w:t>
      </w:r>
    </w:p>
    <w:p w14:paraId="1081352A" w14:textId="6F44A8CB" w:rsidR="00492A0C" w:rsidRDefault="00492A0C" w:rsidP="00492A0C">
      <w:r w:rsidRPr="00746F3B">
        <w:t>The Australian outlook is broadly consistent with this international picture. Because Australia supplies into a global coal and gas market, lower global demand is expected to translate into lower Australian production and exports over time</w:t>
      </w:r>
      <w:r>
        <w:t xml:space="preserve"> </w:t>
      </w:r>
      <w:r w:rsidRPr="00DA77C2">
        <w:rPr>
          <w:color w:val="000000"/>
        </w:rPr>
        <w:t>(Australian Treasury 2025</w:t>
      </w:r>
      <w:r w:rsidRPr="00B445B2">
        <w:rPr>
          <w:color w:val="000000"/>
        </w:rPr>
        <w:t>)</w:t>
      </w:r>
      <w:r w:rsidRPr="00746F3B">
        <w:t xml:space="preserve">. Treasury’s 2025 modelling for the Australian Government’s Net Zero Plan </w:t>
      </w:r>
      <w:r>
        <w:t>points to</w:t>
      </w:r>
      <w:r w:rsidRPr="00746F3B">
        <w:t xml:space="preserve"> coal declines under all modelled scenarios, </w:t>
      </w:r>
      <w:r>
        <w:t>largely driven by</w:t>
      </w:r>
      <w:r w:rsidRPr="00746F3B">
        <w:t xml:space="preserve"> falls in thermal coal</w:t>
      </w:r>
      <w:r>
        <w:t xml:space="preserve"> demand</w:t>
      </w:r>
      <w:r w:rsidRPr="00746F3B">
        <w:t>, while gas also decline</w:t>
      </w:r>
      <w:r>
        <w:t>s</w:t>
      </w:r>
      <w:r w:rsidRPr="00746F3B">
        <w:t xml:space="preserve"> but more gradually </w:t>
      </w:r>
      <w:r w:rsidRPr="00DA77C2">
        <w:rPr>
          <w:color w:val="000000"/>
        </w:rPr>
        <w:t>(Australian Treasury 2025</w:t>
      </w:r>
      <w:r w:rsidRPr="00B445B2">
        <w:rPr>
          <w:color w:val="000000"/>
        </w:rPr>
        <w:t>)</w:t>
      </w:r>
      <w:r w:rsidRPr="00746F3B">
        <w:t>.</w:t>
      </w:r>
      <w:r>
        <w:t xml:space="preserve"> </w:t>
      </w:r>
      <w:r w:rsidRPr="00FB697F">
        <w:t xml:space="preserve">Even under stronger climate action scenarios, </w:t>
      </w:r>
      <w:r>
        <w:t xml:space="preserve">demand for </w:t>
      </w:r>
      <w:r w:rsidRPr="00FB697F">
        <w:t>coal and gas continue</w:t>
      </w:r>
      <w:r>
        <w:t>s</w:t>
      </w:r>
      <w:r w:rsidRPr="00FB697F">
        <w:t xml:space="preserve"> to 2050</w:t>
      </w:r>
      <w:r>
        <w:t xml:space="preserve"> </w:t>
      </w:r>
      <w:r w:rsidRPr="00B445B2">
        <w:rPr>
          <w:color w:val="000000"/>
        </w:rPr>
        <w:t>(IEA 2025b)</w:t>
      </w:r>
      <w:r w:rsidRPr="00FB697F">
        <w:t>.</w:t>
      </w:r>
    </w:p>
    <w:p w14:paraId="47E14F65" w14:textId="25EC95B6" w:rsidR="00492A0C" w:rsidRDefault="00492A0C" w:rsidP="00492A0C">
      <w:r w:rsidRPr="006149C4">
        <w:t xml:space="preserve">It is therefore worth examining whether practical measures could accelerate fossil methane abatement beyond what existing </w:t>
      </w:r>
      <w:r>
        <w:t xml:space="preserve">market </w:t>
      </w:r>
      <w:r w:rsidRPr="006149C4">
        <w:t>trends and policy settings would otherwise deliver.</w:t>
      </w:r>
      <w:r>
        <w:t xml:space="preserve"> </w:t>
      </w:r>
    </w:p>
    <w:p w14:paraId="2F9373F1" w14:textId="054A4BFF" w:rsidR="00D54A4B" w:rsidRDefault="00A51485">
      <w:pPr>
        <w:spacing w:before="0" w:after="160" w:line="279" w:lineRule="auto"/>
      </w:pPr>
      <w:r w:rsidRPr="00A647E2">
        <w:rPr>
          <w:b/>
          <w:bCs/>
          <w:noProof/>
        </w:rPr>
        <mc:AlternateContent>
          <mc:Choice Requires="wps">
            <w:drawing>
              <wp:anchor distT="45720" distB="45720" distL="114300" distR="114300" simplePos="0" relativeHeight="251658263" behindDoc="0" locked="0" layoutInCell="1" allowOverlap="1" wp14:anchorId="0E521F3A" wp14:editId="1C72EC68">
                <wp:simplePos x="0" y="0"/>
                <wp:positionH relativeFrom="page">
                  <wp:posOffset>89998</wp:posOffset>
                </wp:positionH>
                <wp:positionV relativeFrom="paragraph">
                  <wp:posOffset>5532343</wp:posOffset>
                </wp:positionV>
                <wp:extent cx="4926227" cy="296884"/>
                <wp:effectExtent l="0" t="0" r="27305" b="27305"/>
                <wp:wrapNone/>
                <wp:docPr id="6627935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6227" cy="296884"/>
                        </a:xfrm>
                        <a:prstGeom prst="rect">
                          <a:avLst/>
                        </a:prstGeom>
                        <a:solidFill>
                          <a:schemeClr val="bg1">
                            <a:alpha val="80000"/>
                          </a:schemeClr>
                        </a:solidFill>
                        <a:ln w="9525">
                          <a:solidFill>
                            <a:srgbClr val="FD904D"/>
                          </a:solidFill>
                          <a:miter lim="800000"/>
                          <a:headEnd/>
                          <a:tailEnd/>
                        </a:ln>
                      </wps:spPr>
                      <wps:txbx>
                        <w:txbxContent>
                          <w:p w14:paraId="08DC44DB" w14:textId="1C21FF71" w:rsidR="00A51485" w:rsidRPr="00F418D8" w:rsidRDefault="00277F9C" w:rsidP="00A51485">
                            <w:pPr>
                              <w:spacing w:before="0" w:after="0"/>
                              <w:rPr>
                                <w:sz w:val="20"/>
                                <w:szCs w:val="22"/>
                                <w:lang w:val="en-AU"/>
                              </w:rPr>
                            </w:pPr>
                            <w:r>
                              <w:rPr>
                                <w:sz w:val="20"/>
                                <w:szCs w:val="22"/>
                                <w:lang w:val="en-AU"/>
                              </w:rPr>
                              <w:t>Mining processing plant with illuminated conveyor belts and steel structures at dawn</w:t>
                            </w:r>
                            <w:r w:rsidR="005B674B">
                              <w:rPr>
                                <w:sz w:val="20"/>
                                <w:szCs w:val="22"/>
                                <w:lang w:val="en-A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521F3A" id="_x0000_s1032" type="#_x0000_t202" style="position:absolute;margin-left:7.1pt;margin-top:435.6pt;width:387.9pt;height:23.4pt;z-index:251658263;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" fillcolor="white [3212]" strokecolor="#fd904d">
                <v:fill opacity="52428f"/>
                <v:textbox>
                  <w:txbxContent>
                    <w:p w14:paraId="08DC44DB" w14:textId="1C21FF71" w:rsidR="00A51485" w:rsidRPr="00F418D8" w:rsidRDefault="00277F9C" w:rsidP="00A51485">
                      <w:pPr>
                        <w:spacing w:before="0" w:after="0"/>
                        <w:rPr>
                          <w:sz w:val="20"/>
                          <w:szCs w:val="22"/>
                          <w:lang w:val="en-AU"/>
                        </w:rPr>
                      </w:pPr>
                      <w:r>
                        <w:rPr>
                          <w:sz w:val="20"/>
                          <w:szCs w:val="22"/>
                          <w:lang w:val="en-AU"/>
                        </w:rPr>
                        <w:t>Mining processing plant with illuminated conveyor belts and steel structures at dawn</w:t>
                      </w:r>
                      <w:r w:rsidR="005B674B">
                        <w:rPr>
                          <w:sz w:val="20"/>
                          <w:szCs w:val="22"/>
                          <w:lang w:val="en-AU"/>
                        </w:rPr>
                        <w:t>.</w:t>
                      </w:r>
                    </w:p>
                  </w:txbxContent>
                </v:textbox>
                <w10:wrap anchorx="page"/>
              </v:shape>
            </w:pict>
          </mc:Fallback>
        </mc:AlternateContent>
      </w:r>
      <w:r w:rsidR="00530505">
        <w:rPr>
          <w:noProof/>
        </w:rPr>
        <w:drawing>
          <wp:anchor distT="0" distB="0" distL="114300" distR="114300" simplePos="0" relativeHeight="251658256" behindDoc="0" locked="0" layoutInCell="1" allowOverlap="1" wp14:anchorId="7782A6FB" wp14:editId="01168864">
            <wp:simplePos x="0" y="0"/>
            <wp:positionH relativeFrom="column">
              <wp:posOffset>-712423</wp:posOffset>
            </wp:positionH>
            <wp:positionV relativeFrom="paragraph">
              <wp:posOffset>1564005</wp:posOffset>
            </wp:positionV>
            <wp:extent cx="7137070" cy="4738314"/>
            <wp:effectExtent l="0" t="0" r="6985" b="5715"/>
            <wp:wrapNone/>
            <wp:docPr id="105734813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348137" name="Picture 27">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137070" cy="47383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0505">
        <w:rPr>
          <w:noProof/>
        </w:rPr>
        <mc:AlternateContent>
          <mc:Choice Requires="wps">
            <w:drawing>
              <wp:anchor distT="0" distB="0" distL="114300" distR="114300" simplePos="0" relativeHeight="251658244" behindDoc="0" locked="0" layoutInCell="1" allowOverlap="1" wp14:anchorId="0C3E9394" wp14:editId="054A1024">
                <wp:simplePos x="0" y="0"/>
                <wp:positionH relativeFrom="column">
                  <wp:posOffset>-575945</wp:posOffset>
                </wp:positionH>
                <wp:positionV relativeFrom="paragraph">
                  <wp:posOffset>1192444</wp:posOffset>
                </wp:positionV>
                <wp:extent cx="7564582" cy="5106299"/>
                <wp:effectExtent l="0" t="0" r="0" b="0"/>
                <wp:wrapNone/>
                <wp:docPr id="413289306" name="Rectangle 28"/>
                <wp:cNvGraphicFramePr/>
                <a:graphic xmlns:a="http://schemas.openxmlformats.org/drawingml/2006/main">
                  <a:graphicData uri="http://schemas.microsoft.com/office/word/2010/wordprocessingShape">
                    <wps:wsp>
                      <wps:cNvSpPr/>
                      <wps:spPr>
                        <a:xfrm>
                          <a:off x="0" y="0"/>
                          <a:ext cx="7564582" cy="5106299"/>
                        </a:xfrm>
                        <a:prstGeom prst="rect">
                          <a:avLst/>
                        </a:prstGeom>
                        <a:solidFill>
                          <a:srgbClr val="FD904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DD9580" id="Rectangle 28" o:spid="_x0000_s1026" style="position:absolute;margin-left:-45.35pt;margin-top:93.9pt;width:595.65pt;height:402.05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" fillcolor="#fd904d" stroked="f" strokeweight="1pt"/>
            </w:pict>
          </mc:Fallback>
        </mc:AlternateContent>
      </w:r>
      <w:r w:rsidR="00D54A4B">
        <w:br w:type="page"/>
      </w:r>
    </w:p>
    <w:p w14:paraId="46D3C356" w14:textId="77777777" w:rsidR="00D54A4B" w:rsidRDefault="00D54A4B" w:rsidP="00D54A4B">
      <w:pPr>
        <w:pStyle w:val="L1Heading"/>
      </w:pPr>
      <w:bookmarkStart w:id="65" w:name="_Toc231298027"/>
      <w:bookmarkStart w:id="66" w:name="_Toc231557413"/>
      <w:bookmarkStart w:id="67" w:name="_Toc227942668"/>
      <w:bookmarkStart w:id="68" w:name="_Toc232079494"/>
      <w:r w:rsidRPr="00DD025D">
        <w:lastRenderedPageBreak/>
        <w:t xml:space="preserve">Part 2: </w:t>
      </w:r>
      <w:r w:rsidRPr="009B6691">
        <w:t>How Australia could accelerate fossil methane abatement</w:t>
      </w:r>
      <w:bookmarkEnd w:id="65"/>
      <w:bookmarkEnd w:id="66"/>
      <w:bookmarkEnd w:id="68"/>
      <w:r w:rsidRPr="00DD025D">
        <w:t xml:space="preserve"> </w:t>
      </w:r>
    </w:p>
    <w:bookmarkEnd w:id="67"/>
    <w:p w14:paraId="44F98B77" w14:textId="428F5128" w:rsidR="00D54A4B" w:rsidRDefault="00D54A4B" w:rsidP="00D54A4B">
      <w:r>
        <w:t>T</w:t>
      </w:r>
      <w:r w:rsidRPr="00D844BA">
        <w:t xml:space="preserve">his </w:t>
      </w:r>
      <w:r>
        <w:t>section</w:t>
      </w:r>
      <w:r w:rsidRPr="00D844BA">
        <w:t xml:space="preserve"> seeks input on practical options to accelerate methane abatement from coal mining</w:t>
      </w:r>
      <w:r w:rsidR="008D4EBF">
        <w:t xml:space="preserve">, </w:t>
      </w:r>
      <w:r w:rsidRPr="00D844BA">
        <w:t xml:space="preserve">gas extraction and processing in the near term. The focus is on what current policy settings already do, where they may be falling short, and </w:t>
      </w:r>
      <w:r w:rsidR="009C7426">
        <w:t xml:space="preserve">what </w:t>
      </w:r>
      <w:r>
        <w:t>else</w:t>
      </w:r>
      <w:r w:rsidRPr="00D844BA">
        <w:t xml:space="preserve"> might bring forward additional abatement.</w:t>
      </w:r>
    </w:p>
    <w:p w14:paraId="34682A2D" w14:textId="6AAA4EAE" w:rsidR="00D54A4B" w:rsidRPr="00BA78D2" w:rsidRDefault="00D54A4B" w:rsidP="00E3684D">
      <w:pPr>
        <w:pStyle w:val="L2Sub-heading"/>
      </w:pPr>
      <w:bookmarkStart w:id="69" w:name="_Toc231298028"/>
      <w:bookmarkStart w:id="70" w:name="_Toc231557414"/>
      <w:bookmarkStart w:id="71" w:name="_Toc232079495"/>
      <w:r>
        <w:t xml:space="preserve">2.1 </w:t>
      </w:r>
      <w:r w:rsidRPr="008073C3">
        <w:t xml:space="preserve">Existing policies </w:t>
      </w:r>
      <w:r>
        <w:t xml:space="preserve">already </w:t>
      </w:r>
      <w:r w:rsidRPr="008073C3">
        <w:t>drive some fossil methane abatement</w:t>
      </w:r>
      <w:bookmarkEnd w:id="69"/>
      <w:bookmarkEnd w:id="70"/>
      <w:bookmarkEnd w:id="71"/>
    </w:p>
    <w:p w14:paraId="1B26C0F0" w14:textId="77777777" w:rsidR="00D54A4B" w:rsidRDefault="00D54A4B" w:rsidP="00D54A4B">
      <w:pPr>
        <w:pStyle w:val="L3SectionHeading"/>
      </w:pPr>
      <w:bookmarkStart w:id="72" w:name="_Toc231298029"/>
      <w:r>
        <w:t>Commonwealth policies and regulations</w:t>
      </w:r>
      <w:bookmarkEnd w:id="72"/>
      <w:r>
        <w:t xml:space="preserve"> </w:t>
      </w:r>
    </w:p>
    <w:p w14:paraId="1BF5750F" w14:textId="77777777" w:rsidR="00902D9D" w:rsidRDefault="00902D9D" w:rsidP="00902D9D">
      <w:bookmarkStart w:id="73" w:name="_Toc231298030"/>
      <w:r>
        <w:t>The</w:t>
      </w:r>
      <w:r w:rsidRPr="00E74160">
        <w:t xml:space="preserve"> NGER scheme</w:t>
      </w:r>
      <w:r>
        <w:t xml:space="preserve"> </w:t>
      </w:r>
      <w:r w:rsidRPr="00ED252A">
        <w:t xml:space="preserve">is a single national framework for reporting </w:t>
      </w:r>
      <w:r>
        <w:t xml:space="preserve">greenhouse gas emissions at the corporate and facility level </w:t>
      </w:r>
      <w:r w:rsidRPr="00DA77C2">
        <w:rPr>
          <w:color w:val="000000"/>
        </w:rPr>
        <w:t>(DCCEEW 2026g</w:t>
      </w:r>
      <w:r w:rsidRPr="00B445B2">
        <w:rPr>
          <w:color w:val="000000"/>
        </w:rPr>
        <w:t>)</w:t>
      </w:r>
      <w:r w:rsidRPr="00E74160">
        <w:t>.</w:t>
      </w:r>
      <w:r>
        <w:t xml:space="preserve"> It underpins t</w:t>
      </w:r>
      <w:r w:rsidRPr="00BA78D2">
        <w:t xml:space="preserve">he </w:t>
      </w:r>
      <w:r w:rsidRPr="00DD025D">
        <w:t>Safeguard Mechanism</w:t>
      </w:r>
      <w:r>
        <w:t>, which</w:t>
      </w:r>
      <w:r w:rsidRPr="00DD025D">
        <w:t xml:space="preserve"> is</w:t>
      </w:r>
      <w:r>
        <w:t xml:space="preserve"> the</w:t>
      </w:r>
      <w:r w:rsidRPr="00DD025D">
        <w:t xml:space="preserve"> main </w:t>
      </w:r>
      <w:r>
        <w:t xml:space="preserve">Commonwealth </w:t>
      </w:r>
      <w:r w:rsidRPr="00DD025D">
        <w:t>policy</w:t>
      </w:r>
      <w:r>
        <w:t xml:space="preserve"> to drive reductions in industrial emissions. The Safeguard Mechanism covers 75% of Australia’s fossil methane emissions </w:t>
      </w:r>
      <w:r w:rsidRPr="00B445B2">
        <w:rPr>
          <w:color w:val="000000"/>
        </w:rPr>
        <w:t xml:space="preserve">(DCCEEW 2026a; </w:t>
      </w:r>
      <w:r>
        <w:rPr>
          <w:color w:val="000000"/>
        </w:rPr>
        <w:t xml:space="preserve">CCA analysis of </w:t>
      </w:r>
      <w:r w:rsidRPr="00B445B2">
        <w:rPr>
          <w:color w:val="000000"/>
        </w:rPr>
        <w:t>CER 2026b)</w:t>
      </w:r>
      <w:r>
        <w:t>.</w:t>
      </w:r>
    </w:p>
    <w:p w14:paraId="3298915F" w14:textId="77777777" w:rsidR="00902D9D" w:rsidRDefault="00902D9D" w:rsidP="00902D9D">
      <w:r>
        <w:t>The Safeguard</w:t>
      </w:r>
      <w:r w:rsidRPr="00586923">
        <w:t xml:space="preserve"> creates a </w:t>
      </w:r>
      <w:r>
        <w:t xml:space="preserve">general </w:t>
      </w:r>
      <w:r w:rsidRPr="00586923">
        <w:t xml:space="preserve">financial incentive for </w:t>
      </w:r>
      <w:r>
        <w:t>large industrial</w:t>
      </w:r>
      <w:r w:rsidRPr="00586923">
        <w:t xml:space="preserve"> facilities to reduce </w:t>
      </w:r>
      <w:r>
        <w:t>their</w:t>
      </w:r>
      <w:r w:rsidRPr="00586923">
        <w:t xml:space="preserve"> greenhouse gas emissions</w:t>
      </w:r>
      <w:r>
        <w:t xml:space="preserve">, </w:t>
      </w:r>
      <w:r w:rsidRPr="00586923">
        <w:t xml:space="preserve">including </w:t>
      </w:r>
      <w:r>
        <w:t>fossil methane emissions, by imposing binding limits on their net greenhouse gas</w:t>
      </w:r>
      <w:r w:rsidDel="00B43BF6">
        <w:t xml:space="preserve"> emissions</w:t>
      </w:r>
      <w:r w:rsidRPr="00586923">
        <w:t xml:space="preserve"> </w:t>
      </w:r>
      <w:r w:rsidRPr="00DA77C2">
        <w:rPr>
          <w:color w:val="000000"/>
        </w:rPr>
        <w:t>(DCCEEW</w:t>
      </w:r>
      <w:r w:rsidRPr="00B445B2">
        <w:rPr>
          <w:color w:val="000000"/>
        </w:rPr>
        <w:t xml:space="preserve"> 2026c)</w:t>
      </w:r>
      <w:r w:rsidRPr="00586923">
        <w:t xml:space="preserve">. </w:t>
      </w:r>
    </w:p>
    <w:p w14:paraId="220DC9F2" w14:textId="1DE1E902" w:rsidR="00902D9D" w:rsidRDefault="00902D9D" w:rsidP="00902D9D">
      <w:r>
        <w:t xml:space="preserve">The NGER scheme and Safeguard </w:t>
      </w:r>
      <w:r w:rsidR="00BC2E22">
        <w:t>M</w:t>
      </w:r>
      <w:r>
        <w:t>echanism aggregate emissions of different greenhouse gases using a common ‘carbon dioxide equivalent’ (CO</w:t>
      </w:r>
      <w:r w:rsidRPr="001422E4">
        <w:rPr>
          <w:vertAlign w:val="subscript"/>
        </w:rPr>
        <w:t>2</w:t>
      </w:r>
      <w:r>
        <w:t>-e) metric. This allows comparison of emissions from different sources. It also underpins consideration of the relative cost-effectiveness of different abatement options by Safeguard facilities. This accounting is done on a ‘GWP-100’ basis</w:t>
      </w:r>
      <w:r w:rsidRPr="00F00E20">
        <w:t xml:space="preserve">, which is the standard 100-year global warming potential metric used in national and international greenhouse gas emissions accounting </w:t>
      </w:r>
      <w:r w:rsidRPr="00DA77C2">
        <w:rPr>
          <w:color w:val="000000"/>
        </w:rPr>
        <w:t>(IPCC 2014</w:t>
      </w:r>
      <w:r w:rsidRPr="00B445B2">
        <w:rPr>
          <w:color w:val="000000"/>
        </w:rPr>
        <w:t>)</w:t>
      </w:r>
      <w:r w:rsidRPr="00F00E20">
        <w:t xml:space="preserve">. </w:t>
      </w:r>
      <w:r>
        <w:t>This is the same way</w:t>
      </w:r>
      <w:r w:rsidRPr="00F00E20">
        <w:t xml:space="preserve"> methane is treated in Australia’s inventory</w:t>
      </w:r>
      <w:r>
        <w:t xml:space="preserve"> and other</w:t>
      </w:r>
      <w:r w:rsidRPr="00F00E20">
        <w:t xml:space="preserve"> domestic climate </w:t>
      </w:r>
      <w:r>
        <w:t>policy frameworks</w:t>
      </w:r>
      <w:r w:rsidRPr="00F00E20">
        <w:t xml:space="preserve"> </w:t>
      </w:r>
      <w:r w:rsidRPr="00DA77C2">
        <w:rPr>
          <w:color w:val="000000"/>
        </w:rPr>
        <w:t>(DCCEEW</w:t>
      </w:r>
      <w:r w:rsidRPr="00B445B2">
        <w:rPr>
          <w:color w:val="000000"/>
        </w:rPr>
        <w:t xml:space="preserve"> 2025d)</w:t>
      </w:r>
      <w:r w:rsidRPr="00F00E20">
        <w:t>.</w:t>
      </w:r>
    </w:p>
    <w:p w14:paraId="060919FE" w14:textId="258A3DA4" w:rsidR="00902D9D" w:rsidRPr="00CB082E" w:rsidRDefault="00902D9D" w:rsidP="00902D9D">
      <w:r w:rsidRPr="00807B2C">
        <w:t xml:space="preserve">For offshore petroleum facilities in Commonwealth waters, venting and flaring are regulated under the </w:t>
      </w:r>
      <w:r w:rsidRPr="00F35833">
        <w:rPr>
          <w:i/>
          <w:iCs/>
        </w:rPr>
        <w:t>Offshore Petroleum and Greenhouse Gas Storage Act 2006</w:t>
      </w:r>
      <w:r w:rsidRPr="00807B2C">
        <w:t xml:space="preserve"> and associated safety, resource management and environment</w:t>
      </w:r>
      <w:r w:rsidR="009C7426">
        <w:t>al</w:t>
      </w:r>
      <w:r w:rsidRPr="00807B2C">
        <w:t xml:space="preserve"> regulations. The </w:t>
      </w:r>
      <w:r>
        <w:t>g</w:t>
      </w:r>
      <w:r w:rsidRPr="00807B2C">
        <w:t xml:space="preserve">overnment’s </w:t>
      </w:r>
      <w:r w:rsidRPr="00E540AD">
        <w:rPr>
          <w:i/>
          <w:iCs/>
        </w:rPr>
        <w:t>2024 Future Gas Strategy</w:t>
      </w:r>
      <w:r w:rsidRPr="00807B2C">
        <w:t xml:space="preserve"> and complementary 2025 policy statement make clear that operators and regulators are expected to minimise venting and flaring and, where possible, eliminate them unless they are required for safety purposes</w:t>
      </w:r>
      <w:r>
        <w:t xml:space="preserve"> </w:t>
      </w:r>
      <w:r w:rsidRPr="00DA77C2">
        <w:rPr>
          <w:color w:val="000000"/>
        </w:rPr>
        <w:t>(DISR</w:t>
      </w:r>
      <w:r w:rsidRPr="00B445B2">
        <w:rPr>
          <w:color w:val="000000"/>
        </w:rPr>
        <w:t xml:space="preserve"> 2025</w:t>
      </w:r>
      <w:r w:rsidR="00401069">
        <w:rPr>
          <w:color w:val="000000"/>
        </w:rPr>
        <w:t>c</w:t>
      </w:r>
      <w:r w:rsidRPr="00B445B2">
        <w:rPr>
          <w:color w:val="000000"/>
        </w:rPr>
        <w:t>)</w:t>
      </w:r>
      <w:r w:rsidRPr="00CB082E">
        <w:t>.</w:t>
      </w:r>
    </w:p>
    <w:p w14:paraId="39310FDF" w14:textId="51058004" w:rsidR="00675702" w:rsidRPr="004C6AEF" w:rsidRDefault="00902D9D" w:rsidP="00902D9D">
      <w:r>
        <w:t xml:space="preserve">The Commonwealth Government has made funding available for abatement technology, including for coal mine methane abatement through the Powering the Regions fund </w:t>
      </w:r>
      <w:r w:rsidRPr="00DA77C2">
        <w:rPr>
          <w:color w:val="000000"/>
        </w:rPr>
        <w:t>(DCCEEW 2024b</w:t>
      </w:r>
      <w:r w:rsidRPr="00B445B2">
        <w:rPr>
          <w:color w:val="000000"/>
        </w:rPr>
        <w:t>)</w:t>
      </w:r>
      <w:r>
        <w:t>.</w:t>
      </w:r>
    </w:p>
    <w:p w14:paraId="699A4C58" w14:textId="77777777" w:rsidR="00675702" w:rsidRDefault="00675702">
      <w:pPr>
        <w:spacing w:before="0" w:after="160" w:line="279" w:lineRule="auto"/>
        <w:rPr>
          <w:rFonts w:eastAsiaTheme="majorEastAsia" w:cstheme="majorBidi"/>
          <w:b/>
          <w:bCs/>
          <w:color w:val="0777A3"/>
          <w:sz w:val="24"/>
          <w:szCs w:val="20"/>
          <w:lang w:eastAsia="en-US"/>
        </w:rPr>
      </w:pPr>
      <w:r>
        <w:br w:type="page"/>
      </w:r>
    </w:p>
    <w:p w14:paraId="788A229F" w14:textId="2D27C416" w:rsidR="00D54A4B" w:rsidRDefault="00D54A4B" w:rsidP="00D54A4B">
      <w:pPr>
        <w:pStyle w:val="L3SectionHeading"/>
      </w:pPr>
      <w:r>
        <w:lastRenderedPageBreak/>
        <w:t>State and territory policies and regulations</w:t>
      </w:r>
      <w:bookmarkEnd w:id="73"/>
      <w:r>
        <w:t xml:space="preserve"> </w:t>
      </w:r>
    </w:p>
    <w:p w14:paraId="276936B8" w14:textId="77777777" w:rsidR="00D01AC4" w:rsidRDefault="00D01AC4" w:rsidP="0058776B">
      <w:r w:rsidRPr="00864F39">
        <w:t>States and territories also influence methane outcomes through their regulation of onshore fossil fuel activities, including safety, planning and environmental requirements. This is particularly relevant in New South Wales and Queensland, which have the highest fossil methane emissions</w:t>
      </w:r>
      <w:r>
        <w:t xml:space="preserve">, mostly from coal mining (see </w:t>
      </w:r>
      <w:r w:rsidRPr="000F3B28">
        <w:rPr>
          <w:b/>
          <w:bCs/>
        </w:rPr>
        <w:t xml:space="preserve">Appendices A and </w:t>
      </w:r>
      <w:r>
        <w:rPr>
          <w:b/>
          <w:bCs/>
        </w:rPr>
        <w:t xml:space="preserve">C </w:t>
      </w:r>
      <w:r>
        <w:t>for detail).</w:t>
      </w:r>
    </w:p>
    <w:p w14:paraId="0A64FFBF" w14:textId="77777777" w:rsidR="00D01AC4" w:rsidRDefault="00D01AC4" w:rsidP="0058776B">
      <w:r w:rsidRPr="00F52F00">
        <w:t xml:space="preserve">In New South Wales, the </w:t>
      </w:r>
      <w:r>
        <w:t>Environment Protection Authority (</w:t>
      </w:r>
      <w:r w:rsidRPr="00F52F00">
        <w:t>EPA</w:t>
      </w:r>
      <w:r>
        <w:t>)</w:t>
      </w:r>
      <w:r w:rsidRPr="00F52F00">
        <w:t xml:space="preserve"> recently introduced new </w:t>
      </w:r>
      <w:r w:rsidRPr="003B6951">
        <w:t>climate change licence requirements, including specific requirements for major coal mines to reduce fossil methane emissions</w:t>
      </w:r>
      <w:r>
        <w:t xml:space="preserve"> </w:t>
      </w:r>
      <w:r w:rsidRPr="00DA77C2">
        <w:rPr>
          <w:color w:val="000000"/>
        </w:rPr>
        <w:t>(NSW EPA 2026a</w:t>
      </w:r>
      <w:r w:rsidRPr="00B445B2">
        <w:rPr>
          <w:color w:val="000000"/>
        </w:rPr>
        <w:t>)</w:t>
      </w:r>
      <w:r w:rsidRPr="003B6951">
        <w:t>. These include requirements for large underground mines to flare or use drained gas, minimise leakage from old workings, and install ventilation air methane abatement technology in certain circumstances, or achieve equivalent abatement</w:t>
      </w:r>
      <w:r>
        <w:t xml:space="preserve"> </w:t>
      </w:r>
      <w:r w:rsidRPr="00DA77C2">
        <w:rPr>
          <w:color w:val="000000"/>
        </w:rPr>
        <w:t>(NSW EPA 2026a</w:t>
      </w:r>
      <w:r w:rsidRPr="00B445B2">
        <w:rPr>
          <w:color w:val="000000"/>
        </w:rPr>
        <w:t>)</w:t>
      </w:r>
      <w:r>
        <w:t xml:space="preserve">. </w:t>
      </w:r>
      <w:r w:rsidRPr="00037364">
        <w:t xml:space="preserve">The requirements </w:t>
      </w:r>
      <w:r>
        <w:t>will</w:t>
      </w:r>
      <w:r w:rsidRPr="00037364">
        <w:t xml:space="preserve"> be phased in from 2027</w:t>
      </w:r>
      <w:r>
        <w:t xml:space="preserve"> </w:t>
      </w:r>
      <w:r w:rsidRPr="00F52F00">
        <w:t>and</w:t>
      </w:r>
      <w:r>
        <w:t xml:space="preserve"> are expected to drive</w:t>
      </w:r>
      <w:r w:rsidRPr="00F52F00" w:rsidDel="00030F73">
        <w:t xml:space="preserve"> </w:t>
      </w:r>
      <w:r w:rsidRPr="00F52F00">
        <w:t>abatement once they take effect</w:t>
      </w:r>
      <w:r>
        <w:t xml:space="preserve"> </w:t>
      </w:r>
      <w:r w:rsidRPr="00DA77C2">
        <w:rPr>
          <w:color w:val="000000"/>
        </w:rPr>
        <w:t>(NSW EPA 2026a; NSW Net Zero Commission 2025</w:t>
      </w:r>
      <w:r w:rsidRPr="00B445B2">
        <w:rPr>
          <w:color w:val="000000"/>
        </w:rPr>
        <w:t>)</w:t>
      </w:r>
      <w:r>
        <w:t>.</w:t>
      </w:r>
      <w:r w:rsidRPr="00037364">
        <w:t xml:space="preserve"> </w:t>
      </w:r>
    </w:p>
    <w:p w14:paraId="5FB40020" w14:textId="77777777" w:rsidR="00D01AC4" w:rsidRPr="00F52F00" w:rsidRDefault="00D01AC4" w:rsidP="0058776B">
      <w:r>
        <w:t>T</w:t>
      </w:r>
      <w:r w:rsidRPr="00037364">
        <w:t xml:space="preserve">he NSW Government’s </w:t>
      </w:r>
      <w:r w:rsidRPr="00037364">
        <w:rPr>
          <w:i/>
          <w:iCs/>
        </w:rPr>
        <w:t>Coal Industry 2026–50</w:t>
      </w:r>
      <w:r w:rsidRPr="00037364">
        <w:t xml:space="preserve"> policy states that it will not consider proposals for new standalone greenfield coal mines</w:t>
      </w:r>
      <w:r>
        <w:t>. A</w:t>
      </w:r>
      <w:r w:rsidRPr="00037364">
        <w:t xml:space="preserve">pplications to extend existing </w:t>
      </w:r>
      <w:r>
        <w:t xml:space="preserve">mines </w:t>
      </w:r>
      <w:r w:rsidRPr="00037364">
        <w:t>may still be considered, subject to environmental and emissions requirements</w:t>
      </w:r>
      <w:r>
        <w:t xml:space="preserve"> </w:t>
      </w:r>
      <w:r w:rsidRPr="00DA77C2">
        <w:rPr>
          <w:color w:val="000000"/>
        </w:rPr>
        <w:t>(NSW Government</w:t>
      </w:r>
      <w:r w:rsidRPr="00B445B2">
        <w:rPr>
          <w:color w:val="000000"/>
        </w:rPr>
        <w:t xml:space="preserve"> 2026a)</w:t>
      </w:r>
      <w:r w:rsidRPr="00037364">
        <w:t xml:space="preserve">. </w:t>
      </w:r>
      <w:r>
        <w:t xml:space="preserve">In relation to gas, however, the NSW Government has announced it will open new areas for exploration for the first time in more than a decade </w:t>
      </w:r>
      <w:r w:rsidRPr="00DA77C2">
        <w:rPr>
          <w:color w:val="000000"/>
        </w:rPr>
        <w:t>(NSW Government</w:t>
      </w:r>
      <w:r w:rsidRPr="00B445B2">
        <w:rPr>
          <w:color w:val="000000"/>
        </w:rPr>
        <w:t xml:space="preserve"> 2026b)</w:t>
      </w:r>
      <w:r>
        <w:t>.</w:t>
      </w:r>
    </w:p>
    <w:p w14:paraId="1775BF3E" w14:textId="41550647" w:rsidR="00D01AC4" w:rsidRDefault="00D01AC4" w:rsidP="0058776B">
      <w:r w:rsidRPr="002A51C3">
        <w:t xml:space="preserve">Queensland </w:t>
      </w:r>
      <w:r>
        <w:t xml:space="preserve">also </w:t>
      </w:r>
      <w:r w:rsidRPr="002A51C3">
        <w:t xml:space="preserve">has measures relevant to fossil methane. These include requirements under the </w:t>
      </w:r>
      <w:r w:rsidRPr="00434A09">
        <w:rPr>
          <w:i/>
        </w:rPr>
        <w:t>Mineral Resources Act 1989</w:t>
      </w:r>
      <w:r w:rsidRPr="00F52F00">
        <w:t xml:space="preserve"> (Qld) </w:t>
      </w:r>
      <w:r w:rsidRPr="002A51C3">
        <w:t xml:space="preserve">that restrict the release of coal mine waste gas and, in practice, require the methane component to be </w:t>
      </w:r>
      <w:r>
        <w:t>combusted (such that the methane is converted into carbon dioxide and water vapour)</w:t>
      </w:r>
      <w:r w:rsidRPr="002A51C3">
        <w:t xml:space="preserve"> or otherwise managed </w:t>
      </w:r>
      <w:r w:rsidRPr="00ED24EF">
        <w:t xml:space="preserve">where this is feasible </w:t>
      </w:r>
      <w:r w:rsidRPr="00DA77C2">
        <w:rPr>
          <w:color w:val="000000"/>
        </w:rPr>
        <w:t>(DCCEEW</w:t>
      </w:r>
      <w:r w:rsidRPr="00B445B2">
        <w:rPr>
          <w:color w:val="000000"/>
        </w:rPr>
        <w:t xml:space="preserve"> 2025e; Queensland Government</w:t>
      </w:r>
      <w:r w:rsidRPr="00DA77C2">
        <w:rPr>
          <w:color w:val="000000"/>
        </w:rPr>
        <w:t xml:space="preserve"> </w:t>
      </w:r>
      <w:r w:rsidR="00E16D25" w:rsidRPr="00E16D25">
        <w:rPr>
          <w:color w:val="000000"/>
        </w:rPr>
        <w:t>1989</w:t>
      </w:r>
      <w:r w:rsidRPr="00B445B2">
        <w:rPr>
          <w:color w:val="000000"/>
        </w:rPr>
        <w:t>)</w:t>
      </w:r>
      <w:r w:rsidRPr="00ED24EF">
        <w:t>.</w:t>
      </w:r>
      <w:r>
        <w:t xml:space="preserve"> </w:t>
      </w:r>
      <w:r w:rsidRPr="00A7592A">
        <w:t xml:space="preserve">In addition, the Low Emissions Investment Partnerships program </w:t>
      </w:r>
      <w:r>
        <w:t>aims</w:t>
      </w:r>
      <w:r w:rsidRPr="00A7592A">
        <w:t xml:space="preserve"> </w:t>
      </w:r>
      <w:r>
        <w:t xml:space="preserve">to </w:t>
      </w:r>
      <w:r w:rsidRPr="00A7592A">
        <w:t>reduc</w:t>
      </w:r>
      <w:r>
        <w:t>e</w:t>
      </w:r>
      <w:r w:rsidRPr="00A7592A">
        <w:t xml:space="preserve"> emissions from metallurgical coal mines covered by the Safeguard Mechanism. The program is intended to accelerate emissions reductions, with a preference for abatement that goes beyond Safeguard requirements and is delivered before 2030</w:t>
      </w:r>
      <w:r>
        <w:t xml:space="preserve"> </w:t>
      </w:r>
      <w:r w:rsidRPr="00DA77C2">
        <w:rPr>
          <w:color w:val="000000"/>
        </w:rPr>
        <w:t>(Queensland Treasury 2026</w:t>
      </w:r>
      <w:r w:rsidRPr="00B445B2">
        <w:rPr>
          <w:color w:val="000000"/>
        </w:rPr>
        <w:t>)</w:t>
      </w:r>
      <w:r>
        <w:t xml:space="preserve">. </w:t>
      </w:r>
    </w:p>
    <w:p w14:paraId="1B366B6B" w14:textId="0FB4FEA9" w:rsidR="00D01AC4" w:rsidRPr="00F52F00" w:rsidRDefault="00D01AC4" w:rsidP="0058776B">
      <w:r>
        <w:t xml:space="preserve">Queensland oil and gas regulation only allows flaring if it is not commercially or technically feasible to use the gas </w:t>
      </w:r>
      <w:r w:rsidRPr="00B445B2">
        <w:rPr>
          <w:color w:val="000000"/>
        </w:rPr>
        <w:t xml:space="preserve">(Queensland Government </w:t>
      </w:r>
      <w:r w:rsidR="00CE5F4C">
        <w:rPr>
          <w:color w:val="000000"/>
        </w:rPr>
        <w:t>2004</w:t>
      </w:r>
      <w:r w:rsidRPr="00B445B2">
        <w:rPr>
          <w:color w:val="000000"/>
        </w:rPr>
        <w:t xml:space="preserve">; </w:t>
      </w:r>
      <w:r>
        <w:rPr>
          <w:color w:val="000000"/>
        </w:rPr>
        <w:t xml:space="preserve">summarised by </w:t>
      </w:r>
      <w:r w:rsidRPr="00B445B2">
        <w:rPr>
          <w:color w:val="000000"/>
        </w:rPr>
        <w:t>IEA 2022)</w:t>
      </w:r>
      <w:r>
        <w:t>. It also states that, where it is safe to do so, waste gas must be preferentially flared over vented (which results in less methane being released into the atmosphere).</w:t>
      </w:r>
    </w:p>
    <w:p w14:paraId="11C39CB3" w14:textId="6ACC7E30" w:rsidR="00D01AC4" w:rsidRDefault="00D01AC4" w:rsidP="00D01AC4">
      <w:r w:rsidRPr="000F3B28">
        <w:rPr>
          <w:b/>
          <w:bCs/>
        </w:rPr>
        <w:t>Appendi</w:t>
      </w:r>
      <w:r>
        <w:rPr>
          <w:b/>
          <w:bCs/>
        </w:rPr>
        <w:t>x</w:t>
      </w:r>
      <w:r w:rsidRPr="000F3B28">
        <w:rPr>
          <w:b/>
          <w:bCs/>
        </w:rPr>
        <w:t xml:space="preserve"> </w:t>
      </w:r>
      <w:r>
        <w:rPr>
          <w:b/>
          <w:bCs/>
        </w:rPr>
        <w:t xml:space="preserve">C </w:t>
      </w:r>
      <w:r>
        <w:t xml:space="preserve">provides more detail about existing state and Commonwealth policies. </w:t>
      </w:r>
    </w:p>
    <w:tbl>
      <w:tblPr>
        <w:tblStyle w:val="TableGrid"/>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FF7FD"/>
        <w:tblCellMar>
          <w:top w:w="113" w:type="dxa"/>
          <w:bottom w:w="113" w:type="dxa"/>
        </w:tblCellMar>
        <w:tblLook w:val="04A0" w:firstRow="1" w:lastRow="0" w:firstColumn="1" w:lastColumn="0" w:noHBand="0" w:noVBand="1"/>
      </w:tblPr>
      <w:tblGrid>
        <w:gridCol w:w="10082"/>
      </w:tblGrid>
      <w:tr w:rsidR="00D54A4B" w:rsidRPr="004F135F" w14:paraId="48786C4F" w14:textId="77777777" w:rsidTr="00835C77">
        <w:trPr>
          <w:trHeight w:val="952"/>
        </w:trPr>
        <w:tc>
          <w:tcPr>
            <w:tcW w:w="5000" w:type="pct"/>
            <w:tcBorders>
              <w:top w:val="single" w:sz="4" w:space="0" w:color="FD904D"/>
              <w:left w:val="single" w:sz="4" w:space="0" w:color="FD904D"/>
              <w:bottom w:val="single" w:sz="4" w:space="0" w:color="FD904D"/>
              <w:right w:val="single" w:sz="4" w:space="0" w:color="FD904D"/>
            </w:tcBorders>
            <w:shd w:val="clear" w:color="auto" w:fill="DFF7FD"/>
          </w:tcPr>
          <w:p w14:paraId="3CEB1A31" w14:textId="77777777" w:rsidR="00804B64" w:rsidRDefault="002F0E4E" w:rsidP="0058776B">
            <w:pPr>
              <w:rPr>
                <w:rFonts w:eastAsiaTheme="majorEastAsia" w:cstheme="majorBidi"/>
                <w:b/>
                <w:iCs/>
                <w:color w:val="0777A3"/>
                <w:sz w:val="36"/>
              </w:rPr>
            </w:pPr>
            <w:r w:rsidRPr="002F0E4E">
              <w:rPr>
                <w:rFonts w:eastAsiaTheme="majorEastAsia" w:cstheme="majorBidi"/>
                <w:b/>
                <w:iCs/>
                <w:color w:val="0777A3"/>
                <w:sz w:val="36"/>
              </w:rPr>
              <w:t>Consultation questions on existing policies and measures</w:t>
            </w:r>
          </w:p>
          <w:p w14:paraId="45D7EBAF" w14:textId="77777777" w:rsidR="00804B64" w:rsidRDefault="00804B64" w:rsidP="00804B64">
            <w:pPr>
              <w:numPr>
                <w:ilvl w:val="0"/>
                <w:numId w:val="14"/>
              </w:numPr>
              <w:spacing w:before="0" w:after="160" w:line="278" w:lineRule="auto"/>
            </w:pPr>
            <w:r>
              <w:t>Do current policies and measures adequately cover the</w:t>
            </w:r>
            <w:r w:rsidRPr="00002B1B">
              <w:t xml:space="preserve"> </w:t>
            </w:r>
            <w:r>
              <w:t xml:space="preserve">material </w:t>
            </w:r>
            <w:r w:rsidRPr="00002B1B">
              <w:t>sources of fossil methane emissions</w:t>
            </w:r>
            <w:r>
              <w:t xml:space="preserve"> in </w:t>
            </w:r>
            <w:r w:rsidRPr="00002B1B">
              <w:t xml:space="preserve">Australia? </w:t>
            </w:r>
            <w:r>
              <w:t xml:space="preserve">For example, are emissions from decommissioned and abandoned mines material, and are they adequately monitored and mitigated?  </w:t>
            </w:r>
          </w:p>
          <w:p w14:paraId="6DA75BC4" w14:textId="4F1A7A70" w:rsidR="00D54A4B" w:rsidRPr="004F135F" w:rsidRDefault="00804B64" w:rsidP="00C54BE6">
            <w:pPr>
              <w:numPr>
                <w:ilvl w:val="0"/>
                <w:numId w:val="14"/>
              </w:numPr>
              <w:spacing w:before="0" w:after="0" w:line="278" w:lineRule="auto"/>
            </w:pPr>
            <w:r>
              <w:t>To what extent will Australia’s current policy settings, including the Safeguard Mechanism and state regulations, drive near term fossil methane abatement? Please provide relevant analysis or evidence.</w:t>
            </w:r>
          </w:p>
        </w:tc>
      </w:tr>
    </w:tbl>
    <w:p w14:paraId="24EA021C" w14:textId="77777777" w:rsidR="005145C4" w:rsidRDefault="005145C4" w:rsidP="0006276A"/>
    <w:p w14:paraId="1901A092" w14:textId="77777777" w:rsidR="00AD3A92" w:rsidRDefault="00AD3A92" w:rsidP="0006276A"/>
    <w:p w14:paraId="74FE9213" w14:textId="77777777" w:rsidR="00835C77" w:rsidRDefault="00835C77" w:rsidP="0006276A"/>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FF7FD"/>
        <w:tblCellMar>
          <w:top w:w="113" w:type="dxa"/>
          <w:bottom w:w="113" w:type="dxa"/>
        </w:tblCellMar>
        <w:tblLook w:val="04A0" w:firstRow="1" w:lastRow="0" w:firstColumn="1" w:lastColumn="0" w:noHBand="0" w:noVBand="1"/>
      </w:tblPr>
      <w:tblGrid>
        <w:gridCol w:w="10082"/>
      </w:tblGrid>
      <w:tr w:rsidR="00804B64" w:rsidRPr="004F135F" w14:paraId="3AE26A0E" w14:textId="77777777" w:rsidTr="00835C77">
        <w:trPr>
          <w:trHeight w:val="952"/>
        </w:trPr>
        <w:tc>
          <w:tcPr>
            <w:tcW w:w="5000" w:type="pct"/>
            <w:tcBorders>
              <w:top w:val="single" w:sz="4" w:space="0" w:color="FD904D"/>
              <w:left w:val="single" w:sz="4" w:space="0" w:color="FD904D"/>
              <w:bottom w:val="single" w:sz="4" w:space="0" w:color="FD904D"/>
              <w:right w:val="single" w:sz="4" w:space="0" w:color="FD904D"/>
            </w:tcBorders>
            <w:shd w:val="clear" w:color="auto" w:fill="DFF7FD"/>
          </w:tcPr>
          <w:p w14:paraId="50E94A09" w14:textId="185719D7" w:rsidR="00804B64" w:rsidRDefault="00804B64" w:rsidP="0058776B">
            <w:pPr>
              <w:rPr>
                <w:rFonts w:eastAsiaTheme="majorEastAsia" w:cstheme="majorBidi"/>
                <w:b/>
                <w:iCs/>
                <w:color w:val="0777A3"/>
                <w:sz w:val="36"/>
              </w:rPr>
            </w:pPr>
            <w:r w:rsidRPr="002F0E4E">
              <w:rPr>
                <w:rFonts w:eastAsiaTheme="majorEastAsia" w:cstheme="majorBidi"/>
                <w:b/>
                <w:iCs/>
                <w:color w:val="0777A3"/>
                <w:sz w:val="36"/>
              </w:rPr>
              <w:lastRenderedPageBreak/>
              <w:t xml:space="preserve">Consultation questions on </w:t>
            </w:r>
            <w:r w:rsidR="006F3AEE" w:rsidRPr="006F3AEE">
              <w:rPr>
                <w:rFonts w:eastAsiaTheme="majorEastAsia" w:cstheme="majorBidi"/>
                <w:b/>
                <w:iCs/>
                <w:color w:val="0777A3"/>
                <w:sz w:val="36"/>
              </w:rPr>
              <w:t>abatement opportunities</w:t>
            </w:r>
          </w:p>
          <w:p w14:paraId="079D0BE8" w14:textId="77777777" w:rsidR="00C54BE6" w:rsidRPr="00424F83" w:rsidRDefault="00C54BE6" w:rsidP="00C54BE6">
            <w:pPr>
              <w:numPr>
                <w:ilvl w:val="0"/>
                <w:numId w:val="14"/>
              </w:numPr>
              <w:spacing w:before="0" w:after="160" w:line="278" w:lineRule="auto"/>
            </w:pPr>
            <w:r w:rsidRPr="006B596E">
              <w:t xml:space="preserve">What </w:t>
            </w:r>
            <w:r>
              <w:t>fossil</w:t>
            </w:r>
            <w:r w:rsidRPr="006B596E">
              <w:t xml:space="preserve"> methane abatement technologies and practices are commercially ready, or likely to be viable in the near term in Australia? </w:t>
            </w:r>
            <w:r>
              <w:t>Where available, please provide indicative costs, timelines, and examples.</w:t>
            </w:r>
          </w:p>
          <w:p w14:paraId="063F0654" w14:textId="2EDE7110" w:rsidR="00804B64" w:rsidRPr="004F135F" w:rsidRDefault="00C54BE6" w:rsidP="00C54BE6">
            <w:pPr>
              <w:numPr>
                <w:ilvl w:val="0"/>
                <w:numId w:val="14"/>
              </w:numPr>
              <w:spacing w:before="0" w:after="0" w:line="278" w:lineRule="auto"/>
            </w:pPr>
            <w:r w:rsidRPr="0034158F">
              <w:t xml:space="preserve">What </w:t>
            </w:r>
            <w:r>
              <w:t xml:space="preserve">fossil methane </w:t>
            </w:r>
            <w:r w:rsidRPr="0034158F">
              <w:t xml:space="preserve">abatement activities have Safeguard entities </w:t>
            </w:r>
            <w:r>
              <w:t xml:space="preserve">planned, </w:t>
            </w:r>
            <w:r w:rsidRPr="0034158F">
              <w:t>started or completed since the commencement of</w:t>
            </w:r>
            <w:r>
              <w:t xml:space="preserve"> the</w:t>
            </w:r>
            <w:r w:rsidRPr="0034158F">
              <w:t xml:space="preserve"> Safeguard Mechanism reforms?</w:t>
            </w:r>
          </w:p>
        </w:tc>
      </w:tr>
    </w:tbl>
    <w:p w14:paraId="7270EA86" w14:textId="1A41C073" w:rsidR="00B5463A" w:rsidRDefault="00B5463A" w:rsidP="00B5463A"/>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FF7FD"/>
        <w:tblCellMar>
          <w:top w:w="113" w:type="dxa"/>
          <w:bottom w:w="113" w:type="dxa"/>
        </w:tblCellMar>
        <w:tblLook w:val="04A0" w:firstRow="1" w:lastRow="0" w:firstColumn="1" w:lastColumn="0" w:noHBand="0" w:noVBand="1"/>
      </w:tblPr>
      <w:tblGrid>
        <w:gridCol w:w="10082"/>
      </w:tblGrid>
      <w:tr w:rsidR="00C54BE6" w:rsidRPr="004F135F" w14:paraId="62C7D1D7" w14:textId="77777777" w:rsidTr="00835C77">
        <w:trPr>
          <w:trHeight w:val="952"/>
        </w:trPr>
        <w:tc>
          <w:tcPr>
            <w:tcW w:w="5000" w:type="pct"/>
            <w:tcBorders>
              <w:top w:val="single" w:sz="4" w:space="0" w:color="FD904D"/>
              <w:left w:val="single" w:sz="4" w:space="0" w:color="FD904D"/>
              <w:bottom w:val="single" w:sz="4" w:space="0" w:color="FD904D"/>
              <w:right w:val="single" w:sz="4" w:space="0" w:color="FD904D"/>
            </w:tcBorders>
            <w:shd w:val="clear" w:color="auto" w:fill="DFF7FD"/>
          </w:tcPr>
          <w:p w14:paraId="1CEA172C" w14:textId="7FE51480" w:rsidR="00C54BE6" w:rsidRDefault="00C54BE6" w:rsidP="0058776B">
            <w:pPr>
              <w:rPr>
                <w:rFonts w:eastAsiaTheme="majorEastAsia" w:cstheme="majorBidi"/>
                <w:b/>
                <w:iCs/>
                <w:color w:val="0777A3"/>
                <w:sz w:val="36"/>
              </w:rPr>
            </w:pPr>
            <w:r w:rsidRPr="002F0E4E">
              <w:rPr>
                <w:rFonts w:eastAsiaTheme="majorEastAsia" w:cstheme="majorBidi"/>
                <w:b/>
                <w:iCs/>
                <w:color w:val="0777A3"/>
                <w:sz w:val="36"/>
              </w:rPr>
              <w:t xml:space="preserve">Consultation questions on existing </w:t>
            </w:r>
            <w:r w:rsidR="00232784" w:rsidRPr="00232784">
              <w:rPr>
                <w:rFonts w:eastAsiaTheme="majorEastAsia" w:cstheme="majorBidi"/>
                <w:b/>
                <w:iCs/>
                <w:color w:val="0777A3"/>
                <w:sz w:val="36"/>
              </w:rPr>
              <w:t>barriers and enablers</w:t>
            </w:r>
          </w:p>
          <w:p w14:paraId="614F645E" w14:textId="512E4A34" w:rsidR="00552C7A" w:rsidRPr="00B91264" w:rsidRDefault="00552C7A" w:rsidP="00552C7A">
            <w:pPr>
              <w:numPr>
                <w:ilvl w:val="0"/>
                <w:numId w:val="14"/>
              </w:numPr>
              <w:spacing w:before="0" w:after="160" w:line="278" w:lineRule="auto"/>
            </w:pPr>
            <w:r w:rsidRPr="00B91264">
              <w:t xml:space="preserve">What </w:t>
            </w:r>
            <w:r>
              <w:t xml:space="preserve">are the main </w:t>
            </w:r>
            <w:r w:rsidRPr="00B91264">
              <w:t>barriers</w:t>
            </w:r>
            <w:r w:rsidR="000A10E8">
              <w:t>—</w:t>
            </w:r>
            <w:r>
              <w:t>whether commercial, regulatory, market or other</w:t>
            </w:r>
            <w:r w:rsidR="000A10E8">
              <w:t>—</w:t>
            </w:r>
            <w:r>
              <w:t xml:space="preserve"> </w:t>
            </w:r>
            <w:r w:rsidRPr="00B91264">
              <w:t>preventing</w:t>
            </w:r>
            <w:r>
              <w:t xml:space="preserve"> the</w:t>
            </w:r>
            <w:r w:rsidRPr="00B91264">
              <w:t xml:space="preserve"> uptake of fossil methane abatement opportunities</w:t>
            </w:r>
            <w:r>
              <w:t xml:space="preserve"> in Australia</w:t>
            </w:r>
            <w:r w:rsidRPr="00B91264">
              <w:t xml:space="preserve">? How could those barriers be overcome? </w:t>
            </w:r>
          </w:p>
          <w:p w14:paraId="3DCA4B68" w14:textId="77777777" w:rsidR="00552C7A" w:rsidRDefault="00552C7A" w:rsidP="00552C7A">
            <w:pPr>
              <w:numPr>
                <w:ilvl w:val="0"/>
                <w:numId w:val="14"/>
              </w:numPr>
              <w:spacing w:before="0" w:after="160" w:line="278" w:lineRule="auto"/>
            </w:pPr>
            <w:r>
              <w:t>What factors are constraining broad deployment of ventilation air methane (VAM) abatement in underground coal mines in Australia? Where possible, please identify any relevant safety, technical, regulatory, commercial or site-specific barriers, and provide evidence or operational experience.</w:t>
            </w:r>
          </w:p>
          <w:p w14:paraId="000F3744" w14:textId="14BBA5C8" w:rsidR="00C54BE6" w:rsidRPr="004F135F" w:rsidRDefault="00552C7A" w:rsidP="00552C7A">
            <w:pPr>
              <w:numPr>
                <w:ilvl w:val="0"/>
                <w:numId w:val="14"/>
              </w:numPr>
              <w:spacing w:before="0" w:after="0" w:line="278" w:lineRule="auto"/>
            </w:pPr>
            <w:r>
              <w:t>Do current approaches to measuring, reporting and verifying fossil methane emissions create any practical barriers to the uptake of abatement options in Australia? Please identify the relevant issue and explain how it affects abatement decisions, incentives or compliance outcomes.</w:t>
            </w:r>
          </w:p>
        </w:tc>
      </w:tr>
    </w:tbl>
    <w:p w14:paraId="4DE3D77C" w14:textId="061FB7BE" w:rsidR="00030BDB" w:rsidRDefault="00030BDB" w:rsidP="00030BDB">
      <w:bookmarkStart w:id="74" w:name="_Toc231298031"/>
    </w:p>
    <w:p w14:paraId="2F2E2C32" w14:textId="38AF2411" w:rsidR="004B2748" w:rsidRDefault="00277F9C">
      <w:pPr>
        <w:spacing w:before="0" w:after="160" w:line="279" w:lineRule="auto"/>
        <w:rPr>
          <w:rFonts w:eastAsiaTheme="majorEastAsia" w:cstheme="majorBidi"/>
          <w:b/>
          <w:bCs/>
          <w:color w:val="10BFE8"/>
          <w:sz w:val="36"/>
          <w:szCs w:val="40"/>
        </w:rPr>
      </w:pPr>
      <w:bookmarkStart w:id="75" w:name="_Toc231557415"/>
      <w:r w:rsidRPr="00A647E2">
        <w:rPr>
          <w:b/>
          <w:bCs/>
          <w:noProof/>
        </w:rPr>
        <mc:AlternateContent>
          <mc:Choice Requires="wps">
            <w:drawing>
              <wp:anchor distT="45720" distB="45720" distL="114300" distR="114300" simplePos="0" relativeHeight="251658264" behindDoc="0" locked="0" layoutInCell="1" allowOverlap="1" wp14:anchorId="3207663C" wp14:editId="6B20699E">
                <wp:simplePos x="0" y="0"/>
                <wp:positionH relativeFrom="margin">
                  <wp:posOffset>106663</wp:posOffset>
                </wp:positionH>
                <wp:positionV relativeFrom="paragraph">
                  <wp:posOffset>4957050</wp:posOffset>
                </wp:positionV>
                <wp:extent cx="5379308" cy="259308"/>
                <wp:effectExtent l="0" t="0" r="12065" b="26670"/>
                <wp:wrapNone/>
                <wp:docPr id="11052520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9308" cy="259308"/>
                        </a:xfrm>
                        <a:prstGeom prst="rect">
                          <a:avLst/>
                        </a:prstGeom>
                        <a:solidFill>
                          <a:schemeClr val="bg1">
                            <a:alpha val="80000"/>
                          </a:schemeClr>
                        </a:solidFill>
                        <a:ln w="9525">
                          <a:solidFill>
                            <a:srgbClr val="FD904D"/>
                          </a:solidFill>
                          <a:miter lim="800000"/>
                          <a:headEnd/>
                          <a:tailEnd/>
                        </a:ln>
                      </wps:spPr>
                      <wps:txbx>
                        <w:txbxContent>
                          <w:p w14:paraId="36FA3AD1" w14:textId="68214094" w:rsidR="00277F9C" w:rsidRPr="00F418D8" w:rsidRDefault="006C6BCF" w:rsidP="00277F9C">
                            <w:pPr>
                              <w:spacing w:before="0" w:after="0"/>
                              <w:rPr>
                                <w:sz w:val="20"/>
                                <w:szCs w:val="22"/>
                                <w:lang w:val="en-AU"/>
                              </w:rPr>
                            </w:pPr>
                            <w:r>
                              <w:rPr>
                                <w:sz w:val="20"/>
                                <w:szCs w:val="22"/>
                                <w:lang w:val="en-AU"/>
                              </w:rPr>
                              <w:t>A l</w:t>
                            </w:r>
                            <w:r w:rsidR="00A062CA">
                              <w:rPr>
                                <w:sz w:val="20"/>
                                <w:szCs w:val="22"/>
                                <w:lang w:val="en-AU"/>
                              </w:rPr>
                              <w:t>arge excavator loads black coal into a heavy dump truck at an open cut min</w:t>
                            </w:r>
                            <w:r w:rsidR="00600D27">
                              <w:rPr>
                                <w:sz w:val="20"/>
                                <w:szCs w:val="22"/>
                                <w:lang w:val="en-AU"/>
                              </w:rPr>
                              <w:t>e in Queensland</w:t>
                            </w:r>
                            <w:r w:rsidR="008711D5">
                              <w:rPr>
                                <w:sz w:val="20"/>
                                <w:szCs w:val="22"/>
                                <w:lang w:val="en-A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07663C" id="_x0000_s1033" type="#_x0000_t202" style="position:absolute;margin-left:8.4pt;margin-top:390.3pt;width:423.55pt;height:20.4pt;z-index:251658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" fillcolor="white [3212]" strokecolor="#fd904d">
                <v:fill opacity="52428f"/>
                <v:textbox>
                  <w:txbxContent>
                    <w:p w14:paraId="36FA3AD1" w14:textId="68214094" w:rsidR="00277F9C" w:rsidRPr="00F418D8" w:rsidRDefault="006C6BCF" w:rsidP="00277F9C">
                      <w:pPr>
                        <w:spacing w:before="0" w:after="0"/>
                        <w:rPr>
                          <w:sz w:val="20"/>
                          <w:szCs w:val="22"/>
                          <w:lang w:val="en-AU"/>
                        </w:rPr>
                      </w:pPr>
                      <w:r>
                        <w:rPr>
                          <w:sz w:val="20"/>
                          <w:szCs w:val="22"/>
                          <w:lang w:val="en-AU"/>
                        </w:rPr>
                        <w:t>A l</w:t>
                      </w:r>
                      <w:r w:rsidR="00A062CA">
                        <w:rPr>
                          <w:sz w:val="20"/>
                          <w:szCs w:val="22"/>
                          <w:lang w:val="en-AU"/>
                        </w:rPr>
                        <w:t>arge excavator loads black coal into a heavy dump truck at an open cut min</w:t>
                      </w:r>
                      <w:r w:rsidR="00600D27">
                        <w:rPr>
                          <w:sz w:val="20"/>
                          <w:szCs w:val="22"/>
                          <w:lang w:val="en-AU"/>
                        </w:rPr>
                        <w:t>e in Queensland</w:t>
                      </w:r>
                      <w:r w:rsidR="008711D5">
                        <w:rPr>
                          <w:sz w:val="20"/>
                          <w:szCs w:val="22"/>
                          <w:lang w:val="en-AU"/>
                        </w:rPr>
                        <w:t>.</w:t>
                      </w:r>
                    </w:p>
                  </w:txbxContent>
                </v:textbox>
                <w10:wrap anchorx="margin"/>
              </v:shape>
            </w:pict>
          </mc:Fallback>
        </mc:AlternateContent>
      </w:r>
      <w:r w:rsidR="004A44BA">
        <w:rPr>
          <w:noProof/>
        </w:rPr>
        <mc:AlternateContent>
          <mc:Choice Requires="wps">
            <w:drawing>
              <wp:anchor distT="0" distB="0" distL="114300" distR="114300" simplePos="0" relativeHeight="251658243" behindDoc="0" locked="0" layoutInCell="1" allowOverlap="1" wp14:anchorId="28AC6CFF" wp14:editId="3CBA9708">
                <wp:simplePos x="0" y="0"/>
                <wp:positionH relativeFrom="column">
                  <wp:posOffset>-671261</wp:posOffset>
                </wp:positionH>
                <wp:positionV relativeFrom="paragraph">
                  <wp:posOffset>361950</wp:posOffset>
                </wp:positionV>
                <wp:extent cx="7823427" cy="5106299"/>
                <wp:effectExtent l="0" t="0" r="6350" b="0"/>
                <wp:wrapNone/>
                <wp:docPr id="976519613" name="Rectangle 28"/>
                <wp:cNvGraphicFramePr/>
                <a:graphic xmlns:a="http://schemas.openxmlformats.org/drawingml/2006/main">
                  <a:graphicData uri="http://schemas.microsoft.com/office/word/2010/wordprocessingShape">
                    <wps:wsp>
                      <wps:cNvSpPr/>
                      <wps:spPr>
                        <a:xfrm>
                          <a:off x="0" y="0"/>
                          <a:ext cx="7823427" cy="5106299"/>
                        </a:xfrm>
                        <a:prstGeom prst="rect">
                          <a:avLst/>
                        </a:prstGeom>
                        <a:solidFill>
                          <a:srgbClr val="FD904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0F9314" id="Rectangle 28" o:spid="_x0000_s1026" style="position:absolute;margin-left:-52.85pt;margin-top:28.5pt;width:616pt;height:402.0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" fillcolor="#fd904d" stroked="f" strokeweight="1pt"/>
            </w:pict>
          </mc:Fallback>
        </mc:AlternateContent>
      </w:r>
      <w:r w:rsidR="004A44BA">
        <w:rPr>
          <w:noProof/>
        </w:rPr>
        <w:drawing>
          <wp:anchor distT="0" distB="0" distL="114300" distR="114300" simplePos="0" relativeHeight="251658257" behindDoc="0" locked="0" layoutInCell="1" allowOverlap="1" wp14:anchorId="4A2C8950" wp14:editId="587B1136">
            <wp:simplePos x="0" y="0"/>
            <wp:positionH relativeFrom="column">
              <wp:posOffset>-2739</wp:posOffset>
            </wp:positionH>
            <wp:positionV relativeFrom="paragraph">
              <wp:posOffset>785599</wp:posOffset>
            </wp:positionV>
            <wp:extent cx="7068820" cy="4674440"/>
            <wp:effectExtent l="0" t="0" r="0" b="0"/>
            <wp:wrapNone/>
            <wp:docPr id="759158042"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158042" name="Picture 30">
                      <a:extLst>
                        <a:ext uri="{C183D7F6-B498-43B3-948B-1728B52AA6E4}">
                          <adec:decorative xmlns:adec="http://schemas.microsoft.com/office/drawing/2017/decorative" val="1"/>
                        </a:ext>
                      </a:extLst>
                    </pic:cNvPr>
                    <pic:cNvPicPr>
                      <a:picLocks noChangeAspect="1" noChangeArrowheads="1"/>
                    </pic:cNvPicPr>
                  </pic:nvPicPr>
                  <pic:blipFill rotWithShape="1">
                    <a:blip r:embed="rId34">
                      <a:extLst>
                        <a:ext uri="{28A0092B-C50C-407E-A947-70E740481C1C}">
                          <a14:useLocalDpi xmlns:a14="http://schemas.microsoft.com/office/drawing/2010/main" val="0"/>
                        </a:ext>
                      </a:extLst>
                    </a:blip>
                    <a:srcRect t="11840"/>
                    <a:stretch>
                      <a:fillRect/>
                    </a:stretch>
                  </pic:blipFill>
                  <pic:spPr bwMode="auto">
                    <a:xfrm>
                      <a:off x="0" y="0"/>
                      <a:ext cx="7079723" cy="4681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2748">
        <w:br w:type="page"/>
      </w:r>
    </w:p>
    <w:p w14:paraId="6B081844" w14:textId="39E206DD" w:rsidR="00030BDB" w:rsidRPr="000F3B28" w:rsidRDefault="00030BDB" w:rsidP="00E3684D">
      <w:pPr>
        <w:pStyle w:val="L2Sub-heading"/>
      </w:pPr>
      <w:bookmarkStart w:id="76" w:name="_Toc232079496"/>
      <w:r>
        <w:lastRenderedPageBreak/>
        <w:t>2.2 The</w:t>
      </w:r>
      <w:r w:rsidRPr="002F780C">
        <w:t xml:space="preserve"> case for going further</w:t>
      </w:r>
      <w:bookmarkEnd w:id="74"/>
      <w:bookmarkEnd w:id="75"/>
      <w:bookmarkEnd w:id="76"/>
    </w:p>
    <w:p w14:paraId="3097D1E7" w14:textId="77777777" w:rsidR="00030BDB" w:rsidRPr="000403CA" w:rsidRDefault="00030BDB" w:rsidP="00030BDB">
      <w:r>
        <w:t>While these</w:t>
      </w:r>
      <w:r w:rsidRPr="000403CA">
        <w:t xml:space="preserve"> policies and </w:t>
      </w:r>
      <w:r>
        <w:t>measures</w:t>
      </w:r>
      <w:r w:rsidRPr="000403CA">
        <w:t xml:space="preserve"> should drive some fossil methane abatement, there </w:t>
      </w:r>
      <w:r>
        <w:t>is</w:t>
      </w:r>
      <w:r w:rsidRPr="000403CA">
        <w:t xml:space="preserve"> a </w:t>
      </w:r>
      <w:r>
        <w:t xml:space="preserve">significant </w:t>
      </w:r>
      <w:r w:rsidRPr="000403CA">
        <w:t xml:space="preserve">case for further action. Methane has a much stronger warming effect in the near term than is reflected </w:t>
      </w:r>
      <w:r>
        <w:t>in our</w:t>
      </w:r>
      <w:r w:rsidRPr="000403CA">
        <w:t xml:space="preserve"> standard </w:t>
      </w:r>
      <w:r>
        <w:t>(GWP-</w:t>
      </w:r>
      <w:r w:rsidRPr="000403CA">
        <w:t>100</w:t>
      </w:r>
      <w:r>
        <w:t>)</w:t>
      </w:r>
      <w:r w:rsidRPr="000403CA">
        <w:t xml:space="preserve"> emissions accounting. As a result, </w:t>
      </w:r>
      <w:r>
        <w:t>under policies like the Safeguard Mechanism</w:t>
      </w:r>
      <w:r w:rsidRPr="000403CA">
        <w:t xml:space="preserve">, methane abatement opportunities may appear less </w:t>
      </w:r>
      <w:r>
        <w:t>effective for reducing climate change</w:t>
      </w:r>
      <w:r w:rsidRPr="000403CA">
        <w:t xml:space="preserve"> than their near-term climate value would suggest.</w:t>
      </w:r>
    </w:p>
    <w:p w14:paraId="4B5C65A8" w14:textId="3B0B32B4" w:rsidR="00030BDB" w:rsidRDefault="00030BDB" w:rsidP="00030BDB">
      <w:r w:rsidRPr="000403CA">
        <w:t xml:space="preserve">This does not mean </w:t>
      </w:r>
      <w:r>
        <w:t xml:space="preserve">we need to change </w:t>
      </w:r>
      <w:r w:rsidRPr="000403CA">
        <w:t xml:space="preserve">Australia’s established emissions accounting and policy architecture. GWP-100 </w:t>
      </w:r>
      <w:r>
        <w:t>is</w:t>
      </w:r>
      <w:r w:rsidRPr="000403CA">
        <w:t xml:space="preserve"> the basis for international reporting, national inventories and Australia’s </w:t>
      </w:r>
      <w:r>
        <w:t>facility-level emissions reporting scheme</w:t>
      </w:r>
      <w:r w:rsidRPr="000403CA">
        <w:t xml:space="preserve">. The question for this </w:t>
      </w:r>
      <w:r w:rsidR="007271F7">
        <w:t xml:space="preserve">project </w:t>
      </w:r>
      <w:r w:rsidRPr="000403CA">
        <w:t>is whether practical measures within, or alongside, the existing framework could accelerate methane abatement in ways that better reflect its near-term climate benefits.</w:t>
      </w:r>
    </w:p>
    <w:p w14:paraId="32B4B699" w14:textId="77777777" w:rsidR="00030BDB" w:rsidRPr="004B5F6A" w:rsidRDefault="00030BDB" w:rsidP="00E3684D">
      <w:pPr>
        <w:pStyle w:val="L2Sub-heading"/>
      </w:pPr>
      <w:bookmarkStart w:id="77" w:name="_Toc231298032"/>
      <w:bookmarkStart w:id="78" w:name="_Toc231557416"/>
      <w:bookmarkStart w:id="79" w:name="_Toc232079497"/>
      <w:r>
        <w:t xml:space="preserve">2.3 </w:t>
      </w:r>
      <w:r w:rsidRPr="004B5F6A">
        <w:t>What kinds of policy response might accelerate methane abatement?</w:t>
      </w:r>
      <w:bookmarkEnd w:id="77"/>
      <w:bookmarkEnd w:id="78"/>
      <w:bookmarkEnd w:id="79"/>
    </w:p>
    <w:p w14:paraId="59CDD9E1" w14:textId="62EE8ADB" w:rsidR="00030BDB" w:rsidRPr="00630365" w:rsidRDefault="00030BDB" w:rsidP="00030BDB">
      <w:r w:rsidRPr="00630365">
        <w:t xml:space="preserve">A central question for this </w:t>
      </w:r>
      <w:r w:rsidR="007271F7">
        <w:t>project</w:t>
      </w:r>
      <w:r w:rsidRPr="00630365">
        <w:t xml:space="preserve"> is </w:t>
      </w:r>
      <w:r w:rsidR="002E0BE7">
        <w:t>understanding</w:t>
      </w:r>
      <w:r w:rsidRPr="00630365">
        <w:t xml:space="preserve"> why </w:t>
      </w:r>
      <w:r>
        <w:t>companies</w:t>
      </w:r>
      <w:r w:rsidRPr="00630365">
        <w:t xml:space="preserve"> </w:t>
      </w:r>
      <w:r w:rsidR="002E0BE7">
        <w:t>aren’t</w:t>
      </w:r>
      <w:r w:rsidRPr="00630365">
        <w:t xml:space="preserve"> taking up more methane abatement opportunities now. In some cases, practical barriers </w:t>
      </w:r>
      <w:r>
        <w:t xml:space="preserve">may be </w:t>
      </w:r>
      <w:r w:rsidRPr="00630365">
        <w:t xml:space="preserve">preventing investment in abatement options that should already be attractive </w:t>
      </w:r>
      <w:r>
        <w:t xml:space="preserve">even </w:t>
      </w:r>
      <w:r w:rsidRPr="00630365">
        <w:t xml:space="preserve">under current policy settings. In other cases, it may reflect a commercial judgement by </w:t>
      </w:r>
      <w:r>
        <w:t>companies</w:t>
      </w:r>
      <w:r w:rsidRPr="00630365">
        <w:t xml:space="preserve"> that methane abatement is not sufficiently attractive under current market and policy settings, even if barriers were removed. This distinction </w:t>
      </w:r>
      <w:r>
        <w:t>is relevant</w:t>
      </w:r>
      <w:r w:rsidRPr="00630365">
        <w:t xml:space="preserve"> because it points to </w:t>
      </w:r>
      <w:r>
        <w:t>two</w:t>
      </w:r>
      <w:r w:rsidRPr="00630365">
        <w:t xml:space="preserve"> kinds of policy response.</w:t>
      </w:r>
    </w:p>
    <w:p w14:paraId="492C85D2" w14:textId="77777777" w:rsidR="00030BDB" w:rsidRDefault="00030BDB" w:rsidP="00030BDB">
      <w:r w:rsidRPr="004E6500">
        <w:t>The first is to identify and remove barriers that are preventing uptake of methane abatement opportunities that should already be commercially attractive. These barriers could be technical, regulatory, informational, coordination-related, or site-specific. There may also be cases where firms are not investing because uncertainty, transaction costs, measurement and reporting arrangements, or approval processes</w:t>
      </w:r>
      <w:r>
        <w:t>,</w:t>
      </w:r>
      <w:r w:rsidRPr="004E6500">
        <w:t xml:space="preserve"> weaken the incentive to act, even where abatement would otherwise compare favourably with alternative compliance options. </w:t>
      </w:r>
    </w:p>
    <w:p w14:paraId="4C16B782" w14:textId="77777777" w:rsidR="00030BDB" w:rsidRPr="004E6500" w:rsidRDefault="00030BDB" w:rsidP="00030BDB">
      <w:r>
        <w:t>Policy responses to remove barriers could include</w:t>
      </w:r>
      <w:r w:rsidRPr="004E6500">
        <w:t xml:space="preserve"> better information, improved coordination between regulators, clearer approvals pathways, or targeted support to address specific implementation barriers.</w:t>
      </w:r>
    </w:p>
    <w:p w14:paraId="1E8AD77C" w14:textId="77777777" w:rsidR="00030BDB" w:rsidRDefault="00030BDB" w:rsidP="00030BDB">
      <w:r w:rsidRPr="00E918F2">
        <w:t xml:space="preserve">The second </w:t>
      </w:r>
      <w:r>
        <w:t xml:space="preserve">response </w:t>
      </w:r>
      <w:r w:rsidRPr="00E918F2">
        <w:t xml:space="preserve">is to consider whether policy should go further than current settings and bring forward </w:t>
      </w:r>
      <w:r>
        <w:t xml:space="preserve">additional </w:t>
      </w:r>
      <w:r w:rsidRPr="00E918F2">
        <w:t xml:space="preserve">methane abatement opportunities that are not commercially attractive </w:t>
      </w:r>
      <w:r>
        <w:t>(in particular, not attractive on a GWP-100 basis)</w:t>
      </w:r>
      <w:r w:rsidRPr="00E918F2">
        <w:t xml:space="preserve">. In these cases, the question is whether the near-term climate value of methane reduction justifies stronger intervention. Measures could include </w:t>
      </w:r>
      <w:r>
        <w:t>national goals,</w:t>
      </w:r>
      <w:r w:rsidRPr="00E918F2">
        <w:t xml:space="preserve"> more direct regulation, targeted funding, or other complementary policy support.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FF7FD"/>
        <w:tblCellMar>
          <w:top w:w="113" w:type="dxa"/>
          <w:bottom w:w="113" w:type="dxa"/>
        </w:tblCellMar>
        <w:tblLook w:val="04A0" w:firstRow="1" w:lastRow="0" w:firstColumn="1" w:lastColumn="0" w:noHBand="0" w:noVBand="1"/>
      </w:tblPr>
      <w:tblGrid>
        <w:gridCol w:w="10082"/>
      </w:tblGrid>
      <w:tr w:rsidR="00030BDB" w:rsidRPr="004F135F" w14:paraId="09046805" w14:textId="77777777" w:rsidTr="00835C77">
        <w:trPr>
          <w:trHeight w:val="952"/>
        </w:trPr>
        <w:tc>
          <w:tcPr>
            <w:tcW w:w="5000" w:type="pct"/>
            <w:tcBorders>
              <w:top w:val="single" w:sz="4" w:space="0" w:color="FD904D"/>
              <w:left w:val="single" w:sz="4" w:space="0" w:color="FD904D"/>
              <w:bottom w:val="single" w:sz="4" w:space="0" w:color="FD904D"/>
              <w:right w:val="single" w:sz="4" w:space="0" w:color="FD904D"/>
            </w:tcBorders>
            <w:shd w:val="clear" w:color="auto" w:fill="DFF7FD"/>
          </w:tcPr>
          <w:p w14:paraId="73F0F5B3" w14:textId="62F76211" w:rsidR="00030BDB" w:rsidRDefault="00030BDB" w:rsidP="0058776B">
            <w:pPr>
              <w:rPr>
                <w:rFonts w:eastAsiaTheme="majorEastAsia" w:cstheme="majorBidi"/>
                <w:b/>
                <w:iCs/>
                <w:color w:val="0777A3"/>
                <w:sz w:val="36"/>
              </w:rPr>
            </w:pPr>
            <w:r w:rsidRPr="002F0E4E">
              <w:rPr>
                <w:rFonts w:eastAsiaTheme="majorEastAsia" w:cstheme="majorBidi"/>
                <w:b/>
                <w:iCs/>
                <w:color w:val="0777A3"/>
                <w:sz w:val="36"/>
              </w:rPr>
              <w:t xml:space="preserve">Consultation questions on </w:t>
            </w:r>
            <w:r w:rsidR="000D7B0A" w:rsidRPr="000D7B0A">
              <w:rPr>
                <w:rFonts w:eastAsiaTheme="majorEastAsia" w:cstheme="majorBidi"/>
                <w:b/>
                <w:iCs/>
                <w:color w:val="0777A3"/>
                <w:sz w:val="36"/>
              </w:rPr>
              <w:t>further policies and measures</w:t>
            </w:r>
          </w:p>
          <w:p w14:paraId="765A8099" w14:textId="22079A58" w:rsidR="00030BDB" w:rsidRPr="004F135F" w:rsidRDefault="00BE190F" w:rsidP="0058776B">
            <w:pPr>
              <w:numPr>
                <w:ilvl w:val="0"/>
                <w:numId w:val="14"/>
              </w:numPr>
              <w:spacing w:before="0" w:after="0" w:line="278" w:lineRule="auto"/>
            </w:pPr>
            <w:r>
              <w:t xml:space="preserve">What </w:t>
            </w:r>
            <w:r w:rsidRPr="00DD025D">
              <w:t xml:space="preserve">practical </w:t>
            </w:r>
            <w:r>
              <w:t xml:space="preserve">policies and </w:t>
            </w:r>
            <w:r w:rsidRPr="00DD025D">
              <w:t xml:space="preserve">measures could drive more fossil methane abatement than existing policy settings would deliver? How would </w:t>
            </w:r>
            <w:r>
              <w:t>these</w:t>
            </w:r>
            <w:r w:rsidRPr="00DD025D">
              <w:t xml:space="preserve"> interact with the Safeguard Mechanism</w:t>
            </w:r>
            <w:r>
              <w:t>, and h</w:t>
            </w:r>
            <w:r w:rsidRPr="00DD025D">
              <w:t>ow should those interactions be managed?</w:t>
            </w:r>
          </w:p>
        </w:tc>
      </w:tr>
    </w:tbl>
    <w:p w14:paraId="0F5E7AC6" w14:textId="77777777" w:rsidR="008A3E5A" w:rsidRDefault="008A3E5A" w:rsidP="008A3E5A"/>
    <w:p w14:paraId="6968FBE0" w14:textId="77777777" w:rsidR="004A44BA" w:rsidRDefault="004A44BA">
      <w:pPr>
        <w:spacing w:before="0" w:after="160" w:line="279" w:lineRule="auto"/>
        <w:rPr>
          <w:rFonts w:eastAsiaTheme="majorEastAsia" w:cstheme="majorBidi"/>
          <w:b/>
          <w:bCs/>
          <w:color w:val="0777A3"/>
          <w:sz w:val="24"/>
          <w:szCs w:val="20"/>
          <w:lang w:eastAsia="en-US"/>
        </w:rPr>
      </w:pPr>
      <w:r>
        <w:br w:type="page"/>
      </w:r>
    </w:p>
    <w:p w14:paraId="4B20B1B1" w14:textId="5256DCFF" w:rsidR="008A3E5A" w:rsidRDefault="008A3E5A" w:rsidP="008A3E5A">
      <w:pPr>
        <w:pStyle w:val="L3SectionHeading"/>
      </w:pPr>
      <w:r>
        <w:lastRenderedPageBreak/>
        <w:t xml:space="preserve">Targets and goals to set ambition </w:t>
      </w:r>
    </w:p>
    <w:p w14:paraId="431D402F" w14:textId="77777777" w:rsidR="003751B2" w:rsidRDefault="003751B2" w:rsidP="0058776B">
      <w:r>
        <w:t>E</w:t>
      </w:r>
      <w:r w:rsidRPr="00244110">
        <w:t xml:space="preserve">stablishing specific goals or commitments to limit emissions from specific source sectors can be a valuable part of the methane policymaking process </w:t>
      </w:r>
      <w:r w:rsidRPr="00DA77C2">
        <w:rPr>
          <w:color w:val="000000"/>
        </w:rPr>
        <w:t>(Global Methane Initiative n.d</w:t>
      </w:r>
      <w:r w:rsidRPr="00B445B2">
        <w:rPr>
          <w:color w:val="000000"/>
        </w:rPr>
        <w:t>.)</w:t>
      </w:r>
      <w:r w:rsidRPr="004B4B15">
        <w:t>, and m</w:t>
      </w:r>
      <w:r>
        <w:t xml:space="preserve">any countries have done so </w:t>
      </w:r>
      <w:r w:rsidRPr="00DA77C2">
        <w:rPr>
          <w:color w:val="000000"/>
        </w:rPr>
        <w:t>(Climate Council 2024</w:t>
      </w:r>
      <w:r w:rsidRPr="00B445B2">
        <w:rPr>
          <w:color w:val="000000"/>
        </w:rPr>
        <w:t>)</w:t>
      </w:r>
      <w:r>
        <w:t xml:space="preserve">. Some country targets cover all methane sources (e.g. Mexico and Colombia), while others target specific sectors </w:t>
      </w:r>
      <w:r w:rsidRPr="00DA77C2">
        <w:rPr>
          <w:color w:val="000000"/>
        </w:rPr>
        <w:t>(Climate Analytics 2026</w:t>
      </w:r>
      <w:r w:rsidRPr="00B445B2">
        <w:rPr>
          <w:color w:val="000000"/>
        </w:rPr>
        <w:t>)</w:t>
      </w:r>
      <w:r>
        <w:rPr>
          <w:color w:val="000000"/>
        </w:rPr>
        <w:t>.</w:t>
      </w:r>
      <w:r>
        <w:t xml:space="preserve"> Some jurisdictions, including the UK and EU, have set methane intensity targets for imports and production of fossil fuels </w:t>
      </w:r>
      <w:r w:rsidRPr="00DA77C2">
        <w:rPr>
          <w:color w:val="000000"/>
        </w:rPr>
        <w:t>(European Commission n.d.; UK Government 2025).</w:t>
      </w:r>
    </w:p>
    <w:p w14:paraId="543429C8" w14:textId="77777777" w:rsidR="003751B2" w:rsidRDefault="003751B2" w:rsidP="003751B2">
      <w:r>
        <w:t xml:space="preserve">Australia’s most recent Nationally Determined Contribution (NDC) sets a target to reach 62-70% reduction in net national greenhouse gas emissions by 2035 based on 2005 levels </w:t>
      </w:r>
      <w:r w:rsidRPr="00DA77C2">
        <w:rPr>
          <w:color w:val="000000"/>
        </w:rPr>
        <w:t>(Commonwealth of Australia 2025</w:t>
      </w:r>
      <w:r w:rsidRPr="00B445B2">
        <w:rPr>
          <w:color w:val="000000"/>
        </w:rPr>
        <w:t>)</w:t>
      </w:r>
      <w:r>
        <w:t>. It does not include a specific methane target. The Authority is not proposing to make changes to Australia’s NDC but is interested in the role that a specific methane goal could play in the Australian policy landscape, whether at a national, sub-national or sectoral level.</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FF7FD"/>
        <w:tblCellMar>
          <w:top w:w="113" w:type="dxa"/>
          <w:bottom w:w="113" w:type="dxa"/>
        </w:tblCellMar>
        <w:tblLook w:val="04A0" w:firstRow="1" w:lastRow="0" w:firstColumn="1" w:lastColumn="0" w:noHBand="0" w:noVBand="1"/>
      </w:tblPr>
      <w:tblGrid>
        <w:gridCol w:w="10082"/>
      </w:tblGrid>
      <w:tr w:rsidR="008A3E5A" w:rsidRPr="004F135F" w14:paraId="0042733E" w14:textId="77777777" w:rsidTr="00835C77">
        <w:trPr>
          <w:trHeight w:val="952"/>
        </w:trPr>
        <w:tc>
          <w:tcPr>
            <w:tcW w:w="5000" w:type="pct"/>
            <w:tcBorders>
              <w:top w:val="single" w:sz="4" w:space="0" w:color="FD904D"/>
              <w:left w:val="single" w:sz="4" w:space="0" w:color="FD904D"/>
              <w:bottom w:val="single" w:sz="4" w:space="0" w:color="FD904D"/>
              <w:right w:val="single" w:sz="4" w:space="0" w:color="FD904D"/>
            </w:tcBorders>
            <w:shd w:val="clear" w:color="auto" w:fill="DFF7FD"/>
          </w:tcPr>
          <w:p w14:paraId="73A66A6B" w14:textId="35709608" w:rsidR="008A3E5A" w:rsidRDefault="008A3E5A" w:rsidP="0058776B">
            <w:pPr>
              <w:rPr>
                <w:rFonts w:eastAsiaTheme="majorEastAsia" w:cstheme="majorBidi"/>
                <w:b/>
                <w:iCs/>
                <w:color w:val="0777A3"/>
                <w:sz w:val="36"/>
              </w:rPr>
            </w:pPr>
            <w:r w:rsidRPr="002F0E4E">
              <w:rPr>
                <w:rFonts w:eastAsiaTheme="majorEastAsia" w:cstheme="majorBidi"/>
                <w:b/>
                <w:iCs/>
                <w:color w:val="0777A3"/>
                <w:sz w:val="36"/>
              </w:rPr>
              <w:t xml:space="preserve">Consultation questions on </w:t>
            </w:r>
            <w:r w:rsidR="00ED224E" w:rsidRPr="00ED224E">
              <w:rPr>
                <w:rFonts w:eastAsiaTheme="majorEastAsia" w:cstheme="majorBidi"/>
                <w:b/>
                <w:iCs/>
                <w:color w:val="0777A3"/>
                <w:sz w:val="36"/>
              </w:rPr>
              <w:t>targets or goals</w:t>
            </w:r>
          </w:p>
          <w:p w14:paraId="524D7305" w14:textId="78AA622D" w:rsidR="008A3E5A" w:rsidRPr="004F135F" w:rsidRDefault="00C01FB0" w:rsidP="0058776B">
            <w:pPr>
              <w:numPr>
                <w:ilvl w:val="0"/>
                <w:numId w:val="14"/>
              </w:numPr>
              <w:spacing w:before="0" w:after="0" w:line="278" w:lineRule="auto"/>
            </w:pPr>
            <w:r w:rsidRPr="00BC7C24">
              <w:t>Should Australia set specific targets or goals for reductions in fossil methane emissions or the uptake of fossil methane abatement opportunities? What are the benefits and risks?</w:t>
            </w:r>
          </w:p>
        </w:tc>
      </w:tr>
    </w:tbl>
    <w:p w14:paraId="3D78D2EF" w14:textId="77777777" w:rsidR="00C54BE6" w:rsidRDefault="00C54BE6" w:rsidP="004A44BA">
      <w:pPr>
        <w:spacing w:before="0" w:after="0"/>
      </w:pPr>
    </w:p>
    <w:p w14:paraId="625F96B6" w14:textId="77777777" w:rsidR="00317CA9" w:rsidRDefault="00317CA9" w:rsidP="004A44BA">
      <w:pPr>
        <w:pStyle w:val="L3SectionHeading"/>
        <w:spacing w:before="0"/>
      </w:pPr>
      <w:r>
        <w:t xml:space="preserve">Regulation to reduce emissions </w:t>
      </w:r>
    </w:p>
    <w:p w14:paraId="28870632" w14:textId="77777777" w:rsidR="00BF1857" w:rsidRDefault="00BF1857" w:rsidP="0058776B">
      <w:r w:rsidRPr="00900D90">
        <w:t>As outlined above, some Australian states and territories have implemented regulations specifically targeting fossil methane emissions. The Authority is interested in whether additional regulation may be warranted, and what form this could take, including the potential for more consistent or harmonised approaches.</w:t>
      </w:r>
      <w:r>
        <w:t xml:space="preserve"> Some countries, such as Canada and the EU, have delivered tighter national regulations for the oil, gas and coal sectors </w:t>
      </w:r>
      <w:r w:rsidRPr="00DA77C2">
        <w:rPr>
          <w:color w:val="000000"/>
        </w:rPr>
        <w:t>(European Commission n.d.; Government of Canada n.d.)</w:t>
      </w:r>
      <w:r>
        <w:t xml:space="preserve"> These include restrictions on venting and routine flaring, and requirements for industry to monitor, detect and repair methane leaks. </w:t>
      </w:r>
    </w:p>
    <w:p w14:paraId="5F0586E7" w14:textId="6683A2B7" w:rsidR="00BF1857" w:rsidRDefault="00BF1857" w:rsidP="00BF1857">
      <w:r>
        <w:t xml:space="preserve">The EU has also set requirements for industry to address abandoned coal mines and inactive oil and gas wells </w:t>
      </w:r>
      <w:r w:rsidRPr="00DA77C2">
        <w:rPr>
          <w:color w:val="000000"/>
        </w:rPr>
        <w:t>(European Commission n.d</w:t>
      </w:r>
      <w:r w:rsidRPr="00B445B2">
        <w:rPr>
          <w:color w:val="000000"/>
        </w:rPr>
        <w:t>.)</w:t>
      </w:r>
      <w:r>
        <w:t>.</w:t>
      </w:r>
      <w:r w:rsidRPr="005D06AA">
        <w:t xml:space="preserve"> By contrast, Australia lacks comprehensive monitoring and reporting systems for abandoned mine sites </w:t>
      </w:r>
      <w:r w:rsidRPr="00DA77C2">
        <w:rPr>
          <w:color w:val="000000"/>
        </w:rPr>
        <w:t>(NSW Net Zero Commission 2025</w:t>
      </w:r>
      <w:r w:rsidRPr="00B445B2">
        <w:rPr>
          <w:color w:val="000000"/>
        </w:rPr>
        <w:t>)</w:t>
      </w:r>
      <w:r w:rsidRPr="005D06AA">
        <w:t>.</w:t>
      </w:r>
      <w:r w:rsidRPr="007A3CF5">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FF7FD"/>
        <w:tblCellMar>
          <w:top w:w="113" w:type="dxa"/>
          <w:bottom w:w="113" w:type="dxa"/>
        </w:tblCellMar>
        <w:tblLook w:val="04A0" w:firstRow="1" w:lastRow="0" w:firstColumn="1" w:lastColumn="0" w:noHBand="0" w:noVBand="1"/>
      </w:tblPr>
      <w:tblGrid>
        <w:gridCol w:w="10092"/>
      </w:tblGrid>
      <w:tr w:rsidR="00317CA9" w:rsidRPr="004F135F" w14:paraId="737D19D2" w14:textId="77777777" w:rsidTr="0058776B">
        <w:trPr>
          <w:trHeight w:val="952"/>
        </w:trPr>
        <w:tc>
          <w:tcPr>
            <w:tcW w:w="5000" w:type="pct"/>
            <w:shd w:val="clear" w:color="auto" w:fill="DFF7FD"/>
          </w:tcPr>
          <w:p w14:paraId="64BC1BD6" w14:textId="77777777" w:rsidR="002930BC" w:rsidRDefault="002930BC" w:rsidP="002930BC">
            <w:pPr>
              <w:rPr>
                <w:rFonts w:eastAsiaTheme="majorEastAsia" w:cstheme="majorBidi"/>
                <w:b/>
                <w:iCs/>
                <w:color w:val="0777A3"/>
                <w:sz w:val="36"/>
              </w:rPr>
            </w:pPr>
            <w:r w:rsidRPr="002930BC">
              <w:rPr>
                <w:rFonts w:eastAsiaTheme="majorEastAsia" w:cstheme="majorBidi"/>
                <w:b/>
                <w:iCs/>
                <w:color w:val="0777A3"/>
                <w:sz w:val="36"/>
              </w:rPr>
              <w:t xml:space="preserve">Box 7: Any new measures should take account of the existing policy landscape </w:t>
            </w:r>
          </w:p>
          <w:p w14:paraId="417B5CE1" w14:textId="77777777" w:rsidR="000818CA" w:rsidRPr="00DD5B1D" w:rsidRDefault="000818CA" w:rsidP="000818CA">
            <w:r w:rsidRPr="00DD5B1D">
              <w:t>Any new or updated measures to reduce fossil methane should be designed to work with existing policy settings, so they do not create conflicting incentives or unnecessary complexity.</w:t>
            </w:r>
          </w:p>
          <w:p w14:paraId="34A6F57C" w14:textId="77777777" w:rsidR="000818CA" w:rsidRDefault="000818CA" w:rsidP="000818CA">
            <w:pPr>
              <w:pStyle w:val="L4Sub-sectionHeading"/>
            </w:pPr>
            <w:r>
              <w:t>Safeguard Mechanism</w:t>
            </w:r>
          </w:p>
          <w:p w14:paraId="04247669" w14:textId="77777777" w:rsidR="000818CA" w:rsidRDefault="000818CA" w:rsidP="000818CA">
            <w:r w:rsidRPr="00040804">
              <w:t xml:space="preserve">If new regulations or incentives accelerate fossil methane abatement at Safeguard-covered facilities, but Safeguard settings otherwise remain unchanged, total net abatement </w:t>
            </w:r>
            <w:r>
              <w:t xml:space="preserve">(measured on a GWP-100 basis) will remain the same </w:t>
            </w:r>
            <w:r w:rsidRPr="00040804">
              <w:t xml:space="preserve">across the mechanism. </w:t>
            </w:r>
            <w:r>
              <w:t xml:space="preserve">The regulation or incentive will not deliver additional abatement (measured on a GWP-100 basis). </w:t>
            </w:r>
            <w:r w:rsidRPr="00040804">
              <w:t xml:space="preserve">Instead, it </w:t>
            </w:r>
            <w:r>
              <w:t xml:space="preserve">will </w:t>
            </w:r>
            <w:r w:rsidRPr="00040804">
              <w:t xml:space="preserve">shift the location or type of abatement towards methane. </w:t>
            </w:r>
            <w:r w:rsidRPr="00040804">
              <w:lastRenderedPageBreak/>
              <w:t xml:space="preserve">Even so, </w:t>
            </w:r>
            <w:r>
              <w:t>it would</w:t>
            </w:r>
            <w:r w:rsidRPr="00040804">
              <w:t xml:space="preserve"> improve climate outcomes because methane reductions have a disproportionately large effect on near-term warming.</w:t>
            </w:r>
          </w:p>
          <w:p w14:paraId="05DF3DE4" w14:textId="77777777" w:rsidR="000818CA" w:rsidRDefault="000818CA" w:rsidP="000818CA">
            <w:r w:rsidRPr="003310E2">
              <w:t xml:space="preserve">The Authority’s advice on fossil methane and its advice on the Safeguard Mechanism will be closely linked. One issue for both </w:t>
            </w:r>
            <w:r>
              <w:t>pieces of work</w:t>
            </w:r>
            <w:r w:rsidRPr="003310E2">
              <w:t xml:space="preserve"> is whether current settings are doing enough to drive onsite methane abatement, and whether any additional incentives or complementary measures may be warranted.</w:t>
            </w:r>
          </w:p>
          <w:p w14:paraId="6055F997" w14:textId="77777777" w:rsidR="000818CA" w:rsidRDefault="000818CA" w:rsidP="000818CA">
            <w:pPr>
              <w:pStyle w:val="L4Sub-sectionHeading"/>
            </w:pPr>
            <w:r>
              <w:t>State and territory policies</w:t>
            </w:r>
          </w:p>
          <w:p w14:paraId="4E216DC6" w14:textId="5D5504AC" w:rsidR="00317CA9" w:rsidRPr="004F135F" w:rsidRDefault="000818CA" w:rsidP="000818CA">
            <w:r>
              <w:t>Any variation to Commonwealth policies for fossil methane is likely to overlap with state and territory policies. Designing new or updated policies should involve careful consideration of, and coordination with. relevant jurisdictions. Aligning policy objectives and compliance requirements can increase the overall effectiveness of new or updated policies and should be a priority.</w:t>
            </w:r>
          </w:p>
        </w:tc>
      </w:tr>
    </w:tbl>
    <w:p w14:paraId="65CD0610" w14:textId="77777777" w:rsidR="00884AA4" w:rsidRDefault="00884AA4" w:rsidP="00884AA4">
      <w:pPr>
        <w:spacing w:before="0" w:after="0"/>
      </w:pPr>
      <w:bookmarkStart w:id="80" w:name="_Toc231298033"/>
      <w:bookmarkStart w:id="81" w:name="_Toc231557417"/>
    </w:p>
    <w:p w14:paraId="7DF32607" w14:textId="2B43DEF4" w:rsidR="00FD5026" w:rsidRPr="00137553" w:rsidRDefault="00FD5026" w:rsidP="00E3684D">
      <w:pPr>
        <w:pStyle w:val="L2Sub-heading"/>
      </w:pPr>
      <w:bookmarkStart w:id="82" w:name="_Toc232079498"/>
      <w:r>
        <w:t xml:space="preserve">2.4 </w:t>
      </w:r>
      <w:r w:rsidRPr="00137553">
        <w:t>Using GWP-20 as an additional analytical lens</w:t>
      </w:r>
      <w:bookmarkEnd w:id="80"/>
      <w:bookmarkEnd w:id="81"/>
      <w:bookmarkEnd w:id="82"/>
    </w:p>
    <w:p w14:paraId="7406D965" w14:textId="77777777" w:rsidR="00FD5026" w:rsidRDefault="00FD5026" w:rsidP="00FD5026">
      <w:r>
        <w:t>E</w:t>
      </w:r>
      <w:r w:rsidRPr="003A0E6D">
        <w:t>missions accounting</w:t>
      </w:r>
      <w:r>
        <w:t xml:space="preserve"> using ‘</w:t>
      </w:r>
      <w:r w:rsidRPr="003A0E6D">
        <w:t>GWP-20</w:t>
      </w:r>
      <w:r>
        <w:t>’</w:t>
      </w:r>
      <w:r w:rsidRPr="003A0E6D">
        <w:t xml:space="preserve"> </w:t>
      </w:r>
      <w:r>
        <w:t>estimates</w:t>
      </w:r>
      <w:r w:rsidRPr="003A0E6D">
        <w:t xml:space="preserve"> </w:t>
      </w:r>
      <w:r>
        <w:t xml:space="preserve">the </w:t>
      </w:r>
      <w:r w:rsidRPr="003A0E6D">
        <w:t xml:space="preserve">warming impact </w:t>
      </w:r>
      <w:r>
        <w:t>of greenhouse gases</w:t>
      </w:r>
      <w:r w:rsidRPr="003A0E6D">
        <w:t xml:space="preserve"> over 20 years and therefore gives greater weight to methane’s much stronger near-term warming effect. </w:t>
      </w:r>
    </w:p>
    <w:p w14:paraId="45CEE576" w14:textId="77777777" w:rsidR="00FD5026" w:rsidRPr="00F15408" w:rsidRDefault="00FD5026" w:rsidP="00FD5026">
      <w:r w:rsidRPr="003A0E6D">
        <w:t>The Authority is not proposing to replace GWP-100 as the basis for Australia’s accounting framework. However, it is interested in whether GWP-20 may be useful as an additional analytical lens when assessing methane-related policy options, investment choices or funding decisions.</w:t>
      </w:r>
      <w:r>
        <w:t xml:space="preserve"> </w:t>
      </w:r>
      <w:r w:rsidRPr="00F15408">
        <w:t xml:space="preserve">Using a GWP-20 lens highlights the much larger near-term climate value of methane abatement relative to the abatement of carbon dioxide and other </w:t>
      </w:r>
      <w:r>
        <w:t xml:space="preserve">more </w:t>
      </w:r>
      <w:r w:rsidRPr="00F15408">
        <w:t>longer-lived greenhouse gases. This affect</w:t>
      </w:r>
      <w:r>
        <w:t>s</w:t>
      </w:r>
      <w:r w:rsidRPr="00F15408">
        <w:t xml:space="preserve"> how policymakers and investors assess the case for stronger action on methane.</w:t>
      </w:r>
    </w:p>
    <w:p w14:paraId="2D45BDC1" w14:textId="77777777" w:rsidR="00FD5026" w:rsidRPr="00937062" w:rsidRDefault="00FD5026" w:rsidP="00FD5026">
      <w:r>
        <w:t xml:space="preserve">If methane emissions are </w:t>
      </w:r>
      <w:r w:rsidRPr="00937062">
        <w:t xml:space="preserve">assessed using </w:t>
      </w:r>
      <w:r>
        <w:t xml:space="preserve">a GWP-20 lens, the amount </w:t>
      </w:r>
      <w:r w:rsidRPr="00937062">
        <w:t>of</w:t>
      </w:r>
      <w:r>
        <w:t xml:space="preserve"> carbon dioxide equivalent</w:t>
      </w:r>
      <w:r w:rsidRPr="00937062">
        <w:t xml:space="preserve"> </w:t>
      </w:r>
      <w:r>
        <w:t>(</w:t>
      </w:r>
      <w:r w:rsidRPr="00937062">
        <w:t>CO₂-e</w:t>
      </w:r>
      <w:r>
        <w:t>)</w:t>
      </w:r>
      <w:r w:rsidRPr="00937062">
        <w:t xml:space="preserve"> abatement attributed to a methane abatement activity increases for the same underlying methane reduction. As a result, the apparent cost per tonne of CO₂-e abated falls when compared with assessment on a GWP-100 basis.</w:t>
      </w:r>
    </w:p>
    <w:p w14:paraId="678D5F71" w14:textId="422E4100" w:rsidR="00FD5026" w:rsidRPr="00937062" w:rsidRDefault="00FD5026" w:rsidP="00FD5026">
      <w:r w:rsidRPr="00937062">
        <w:t xml:space="preserve">Figure </w:t>
      </w:r>
      <w:r w:rsidR="00884AA4">
        <w:t>9</w:t>
      </w:r>
      <w:r w:rsidRPr="00937062">
        <w:t xml:space="preserve"> illustrates this point using an illustrative marginal abatement cost curve for the same set of methane and carbon dioxide abatement activities assessed using GWP-100 and GWP-20. The figure does not show different physical abatement outcomes. Rather, it shows how the same methane reductions translate into different amounts of CO₂-e abatement, and therefore different apparent costs per tonne of abatement, when methane is assessed over 20 years rather than 100 years.</w:t>
      </w:r>
    </w:p>
    <w:p w14:paraId="35935315" w14:textId="77777777" w:rsidR="00FD5026" w:rsidRPr="00937062" w:rsidRDefault="00FD5026" w:rsidP="00FD5026">
      <w:r w:rsidRPr="00937062">
        <w:t xml:space="preserve">The figure shows that the carbon dioxide abatement options do not change when moving from GWP-100 to GWP-20. By contrast, the methane abatement options deliver a larger </w:t>
      </w:r>
      <w:r w:rsidDel="001C5CD0">
        <w:t xml:space="preserve">amount of </w:t>
      </w:r>
      <w:r w:rsidRPr="00937062">
        <w:t xml:space="preserve">CO₂-e abatement on a GWP-20 basis, so they appear larger on the horizontal axis and lower in cost per tonne on the vertical axis. </w:t>
      </w:r>
      <w:r>
        <w:t>A</w:t>
      </w:r>
      <w:r w:rsidRPr="00937062">
        <w:t>pplying GWP-20 roughly triples the apparent volume of abatement from the methane options and reduces the apparent cost per tonne to around one-third of the GWP-100 result. The underlying methane reduced, and the cost of the technology, do not change. What changes is the amount of CO₂-e abatement attributed to that methane reduction.</w:t>
      </w:r>
    </w:p>
    <w:p w14:paraId="6F9307D9" w14:textId="77777777" w:rsidR="00884AA4" w:rsidRDefault="00884AA4" w:rsidP="00CA4E73">
      <w:pPr>
        <w:pStyle w:val="ReportFigureTitle"/>
        <w:rPr>
          <w:noProof/>
        </w:rPr>
      </w:pPr>
    </w:p>
    <w:p w14:paraId="19CED397" w14:textId="77777777" w:rsidR="00884AA4" w:rsidRDefault="00884AA4" w:rsidP="00CA4E73">
      <w:pPr>
        <w:pStyle w:val="ReportFigureTitle"/>
        <w:rPr>
          <w:noProof/>
        </w:rPr>
      </w:pPr>
    </w:p>
    <w:p w14:paraId="1AEA5704" w14:textId="77777777" w:rsidR="00884AA4" w:rsidRDefault="00884AA4" w:rsidP="00CA4E73">
      <w:pPr>
        <w:pStyle w:val="ReportFigureTitle"/>
        <w:rPr>
          <w:noProof/>
        </w:rPr>
      </w:pPr>
    </w:p>
    <w:p w14:paraId="3DE3C1B5" w14:textId="12B14CED" w:rsidR="00530836" w:rsidRDefault="00CA4E73" w:rsidP="00DD50D7">
      <w:pPr>
        <w:pStyle w:val="ReportFigureTitle"/>
      </w:pPr>
      <w:r w:rsidRPr="00D3673C">
        <w:rPr>
          <w:noProof/>
        </w:rPr>
        <w:lastRenderedPageBreak/>
        <w:t xml:space="preserve">Figure </w:t>
      </w:r>
      <w:r>
        <w:rPr>
          <w:noProof/>
        </w:rPr>
        <w:t>9:</w:t>
      </w:r>
      <w:r w:rsidRPr="00D3673C">
        <w:rPr>
          <w:noProof/>
        </w:rPr>
        <w:t xml:space="preserve"> Illustrative marginal abatement cost curves for the same methane abatement activities under GWP-100 and GWP-20</w:t>
      </w:r>
    </w:p>
    <w:p w14:paraId="40B9272D" w14:textId="16EAE8A0" w:rsidR="004B70FD" w:rsidRDefault="000F476A" w:rsidP="00B5463A">
      <w:r w:rsidRPr="000F476A">
        <w:rPr>
          <w:noProof/>
        </w:rPr>
        <w:drawing>
          <wp:inline distT="0" distB="0" distL="0" distR="0" wp14:anchorId="3B9BF66A" wp14:editId="57A06667">
            <wp:extent cx="6408420" cy="3877310"/>
            <wp:effectExtent l="0" t="0" r="0" b="8890"/>
            <wp:docPr id="147843129" name="Picture 1" descr="Emissions accounting using ‘GWP-20’ estimates the warming impact of greenhouse gases over 20 years and therefore gives greater weight to methane’s much stronger near-term warming effect. &#10;The Authority is not proposing to replace GWP-100 as the basis for Australia’s accounting framework. However, it is interested in whether GWP-20 may be useful as an additional analytical lens when assessing methane-related policy options, investment choices or funding decisions. Using a GWP-20 lens highlights the much larger near-term climate value of methane abatement relative to the abatement of carbon dioxide and other more longer-lived greenhouse gases. This affects how policymakers and investors assess the case for stronger action on methane.&#10;If methane emissions are assessed using a GWP-20 lens, the amount of carbon dioxide equivalent (CO₂-e) abatement attributed to a methane abatement activity increases for the same underlying methane reduction. As a result, the apparent cost per tonne of CO₂-e abated falls when compared with assessment on a GWP-100 basis.&#10;Figure 9 illustrates this point using an illustrative marginal abatement cost curve for the same set of methane and carbon dioxide abatement activities assessed using GWP-100 and GWP-20. The figure does not show different physical abatement outcomes. Rather, it shows how the same methane reductions translate into different amounts of CO₂-e abatement, and therefore different apparent costs per tonne of abatement, when methane is assessed over 20 years rather than 100 years.&#10;The figure shows that the carbon dioxide abatement options do not change when moving from GWP-100 to GWP-20. By contrast, the methane abatement options deliver a larger amount of CO₂-e abatement on a GWP-20 basis, so they appear larger on the horizontal axis and lower in cost per tonne on the vertical axis. Applying GWP-20 roughly triples the apparent volume of abatement from the methane options and reduces the apparent cost per tonne to around one-third of the GWP-100 result. The underlying methane reduced, and the cost of the technology, do not change. What changes is the amount of CO₂-e abatement attributed to that methane reduc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43129" name="Picture 1" descr="Emissions accounting using ‘GWP-20’ estimates the warming impact of greenhouse gases over 20 years and therefore gives greater weight to methane’s much stronger near-term warming effect. &#10;The Authority is not proposing to replace GWP-100 as the basis for Australia’s accounting framework. However, it is interested in whether GWP-20 may be useful as an additional analytical lens when assessing methane-related policy options, investment choices or funding decisions. Using a GWP-20 lens highlights the much larger near-term climate value of methane abatement relative to the abatement of carbon dioxide and other more longer-lived greenhouse gases. This affects how policymakers and investors assess the case for stronger action on methane.&#10;If methane emissions are assessed using a GWP-20 lens, the amount of carbon dioxide equivalent (CO₂-e) abatement attributed to a methane abatement activity increases for the same underlying methane reduction. As a result, the apparent cost per tonne of CO₂-e abated falls when compared with assessment on a GWP-100 basis.&#10;Figure 9 illustrates this point using an illustrative marginal abatement cost curve for the same set of methane and carbon dioxide abatement activities assessed using GWP-100 and GWP-20. The figure does not show different physical abatement outcomes. Rather, it shows how the same methane reductions translate into different amounts of CO₂-e abatement, and therefore different apparent costs per tonne of abatement, when methane is assessed over 20 years rather than 100 years.&#10;The figure shows that the carbon dioxide abatement options do not change when moving from GWP-100 to GWP-20. By contrast, the methane abatement options deliver a larger amount of CO₂-e abatement on a GWP-20 basis, so they appear larger on the horizontal axis and lower in cost per tonne on the vertical axis. Applying GWP-20 roughly triples the apparent volume of abatement from the methane options and reduces the apparent cost per tonne to around one-third of the GWP-100 result. The underlying methane reduced, and the cost of the technology, do not change. What changes is the amount of CO₂-e abatement attributed to that methane reduction.&#10;"/>
                    <pic:cNvPicPr/>
                  </pic:nvPicPr>
                  <pic:blipFill>
                    <a:blip r:embed="rId35"/>
                    <a:stretch>
                      <a:fillRect/>
                    </a:stretch>
                  </pic:blipFill>
                  <pic:spPr>
                    <a:xfrm>
                      <a:off x="0" y="0"/>
                      <a:ext cx="6408420" cy="3877310"/>
                    </a:xfrm>
                    <a:prstGeom prst="rect">
                      <a:avLst/>
                    </a:prstGeom>
                  </pic:spPr>
                </pic:pic>
              </a:graphicData>
            </a:graphic>
          </wp:inline>
        </w:drawing>
      </w:r>
    </w:p>
    <w:p w14:paraId="41C712D4" w14:textId="5A6A4B28" w:rsidR="00164E10" w:rsidRDefault="008D0969" w:rsidP="00B5463A">
      <w:r w:rsidRPr="008D0969">
        <w:rPr>
          <w:noProof/>
        </w:rPr>
        <w:drawing>
          <wp:inline distT="0" distB="0" distL="0" distR="0" wp14:anchorId="1E6B990E" wp14:editId="12CB59F4">
            <wp:extent cx="6440805" cy="3954472"/>
            <wp:effectExtent l="0" t="0" r="0" b="0"/>
            <wp:docPr id="1800637879" name="Picture 1" descr="Emissions accounting using ‘GWP-20’ estimates the warming impact of greenhouse gases over 20 years and therefore gives greater weight to methane’s much stronger near-term warming effect. &#10;The Authority is not proposing to replace GWP-100 as the basis for Australia’s accounting framework. However, it is interested in whether GWP-20 may be useful as an additional analytical lens when assessing methane-related policy options, investment choices or funding decisions. Using a GWP-20 lens highlights the much larger near-term climate value of methane abatement relative to the abatement of carbon dioxide and other more longer-lived greenhouse gases. This affects how policymakers and investors assess the case for stronger action on methane.&#10;If methane emissions are assessed using a GWP-20 lens, the amount of carbon dioxide equivalent (CO₂-e) abatement attributed to a methane abatement activity increases for the same underlying methane reduction. As a result, the apparent cost per tonne of CO₂-e abated falls when compared with assessment on a GWP-100 basis.&#10;Figure 9 illustrates this point using an illustrative marginal abatement cost curve for the same set of methane and carbon dioxide abatement activities assessed using GWP-100 and GWP-20. The figure does not show different physical abatement outcomes. Rather, it shows how the same methane reductions translate into different amounts of CO₂-e abatement, and therefore different apparent costs per tonne of abatement, when methane is assessed over 20 years rather than 100 years.&#10;The figure shows that the carbon dioxide abatement options do not change when moving from GWP-100 to GWP-20. By contrast, the methane abatement options deliver a larger amount of CO₂-e abatement on a GWP-20 basis, so they appear larger on the horizontal axis and lower in cost per tonne on the vertical axis. Applying GWP-20 roughly triples the apparent volume of abatement from the methane options and reduces the apparent cost per tonne to around one-third of the GWP-100 result. The underlying methane reduced, and the cost of the technology, do not change. What changes is the amount of CO₂-e abatement attributed to that methane reduc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637879" name="Picture 1" descr="Emissions accounting using ‘GWP-20’ estimates the warming impact of greenhouse gases over 20 years and therefore gives greater weight to methane’s much stronger near-term warming effect. &#10;The Authority is not proposing to replace GWP-100 as the basis for Australia’s accounting framework. However, it is interested in whether GWP-20 may be useful as an additional analytical lens when assessing methane-related policy options, investment choices or funding decisions. Using a GWP-20 lens highlights the much larger near-term climate value of methane abatement relative to the abatement of carbon dioxide and other more longer-lived greenhouse gases. This affects how policymakers and investors assess the case for stronger action on methane.&#10;If methane emissions are assessed using a GWP-20 lens, the amount of carbon dioxide equivalent (CO₂-e) abatement attributed to a methane abatement activity increases for the same underlying methane reduction. As a result, the apparent cost per tonne of CO₂-e abated falls when compared with assessment on a GWP-100 basis.&#10;Figure 9 illustrates this point using an illustrative marginal abatement cost curve for the same set of methane and carbon dioxide abatement activities assessed using GWP-100 and GWP-20. The figure does not show different physical abatement outcomes. Rather, it shows how the same methane reductions translate into different amounts of CO₂-e abatement, and therefore different apparent costs per tonne of abatement, when methane is assessed over 20 years rather than 100 years.&#10;The figure shows that the carbon dioxide abatement options do not change when moving from GWP-100 to GWP-20. By contrast, the methane abatement options deliver a larger amount of CO₂-e abatement on a GWP-20 basis, so they appear larger on the horizontal axis and lower in cost per tonne on the vertical axis. Applying GWP-20 roughly triples the apparent volume of abatement from the methane options and reduces the apparent cost per tonne to around one-third of the GWP-100 result. The underlying methane reduced, and the cost of the technology, do not change. What changes is the amount of CO₂-e abatement attributed to that methane reduction.&#10;"/>
                    <pic:cNvPicPr/>
                  </pic:nvPicPr>
                  <pic:blipFill rotWithShape="1">
                    <a:blip r:embed="rId36">
                      <a:extLst>
                        <a:ext uri="{96DAC541-7B7A-43D3-8B79-37D633B846F1}">
                          <asvg:svgBlip xmlns:asvg="http://schemas.microsoft.com/office/drawing/2016/SVG/main" r:embed="rId37"/>
                        </a:ext>
                      </a:extLst>
                    </a:blip>
                    <a:srcRect l="1227"/>
                    <a:stretch>
                      <a:fillRect/>
                    </a:stretch>
                  </pic:blipFill>
                  <pic:spPr bwMode="auto">
                    <a:xfrm>
                      <a:off x="0" y="0"/>
                      <a:ext cx="6447616" cy="395865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5000" w:type="pct"/>
        <w:tblBorders>
          <w:top w:val="single" w:sz="4" w:space="0" w:color="FD904D"/>
          <w:left w:val="single" w:sz="4" w:space="0" w:color="FD904D"/>
          <w:bottom w:val="single" w:sz="4" w:space="0" w:color="FD904D"/>
          <w:right w:val="single" w:sz="4" w:space="0" w:color="FD904D"/>
          <w:insideH w:val="single" w:sz="4" w:space="0" w:color="FD904D"/>
          <w:insideV w:val="single" w:sz="4" w:space="0" w:color="FD904D"/>
        </w:tblBorders>
        <w:shd w:val="clear" w:color="auto" w:fill="DFF7FD"/>
        <w:tblCellMar>
          <w:top w:w="113" w:type="dxa"/>
          <w:bottom w:w="113" w:type="dxa"/>
        </w:tblCellMar>
        <w:tblLook w:val="04A0" w:firstRow="1" w:lastRow="0" w:firstColumn="1" w:lastColumn="0" w:noHBand="0" w:noVBand="1"/>
      </w:tblPr>
      <w:tblGrid>
        <w:gridCol w:w="10082"/>
      </w:tblGrid>
      <w:tr w:rsidR="00164E10" w:rsidRPr="004F135F" w14:paraId="62C7D9F7" w14:textId="77777777" w:rsidTr="00E07A66">
        <w:trPr>
          <w:trHeight w:val="952"/>
        </w:trPr>
        <w:tc>
          <w:tcPr>
            <w:tcW w:w="5000" w:type="pct"/>
            <w:shd w:val="clear" w:color="auto" w:fill="DFF7FD"/>
          </w:tcPr>
          <w:p w14:paraId="552BDFC4" w14:textId="3089490A" w:rsidR="00164E10" w:rsidRDefault="00164E10" w:rsidP="0058776B">
            <w:pPr>
              <w:rPr>
                <w:rFonts w:eastAsiaTheme="majorEastAsia" w:cstheme="majorBidi"/>
                <w:b/>
                <w:iCs/>
                <w:color w:val="0777A3"/>
                <w:sz w:val="36"/>
              </w:rPr>
            </w:pPr>
            <w:r w:rsidRPr="002F0E4E">
              <w:rPr>
                <w:rFonts w:eastAsiaTheme="majorEastAsia" w:cstheme="majorBidi"/>
                <w:b/>
                <w:iCs/>
                <w:color w:val="0777A3"/>
                <w:sz w:val="36"/>
              </w:rPr>
              <w:lastRenderedPageBreak/>
              <w:t xml:space="preserve">Consultation questions on </w:t>
            </w:r>
            <w:r w:rsidR="00447A6D" w:rsidRPr="00447A6D">
              <w:rPr>
                <w:rFonts w:eastAsiaTheme="majorEastAsia" w:cstheme="majorBidi"/>
                <w:b/>
                <w:iCs/>
                <w:color w:val="0777A3"/>
                <w:sz w:val="36"/>
              </w:rPr>
              <w:t>accounting for near-term climate benefits of methane abatement</w:t>
            </w:r>
          </w:p>
          <w:p w14:paraId="0F3441AA" w14:textId="1EE9F006" w:rsidR="00164E10" w:rsidRPr="004F135F" w:rsidRDefault="00F62DD4" w:rsidP="0058776B">
            <w:pPr>
              <w:numPr>
                <w:ilvl w:val="0"/>
                <w:numId w:val="14"/>
              </w:numPr>
              <w:spacing w:before="0" w:after="0" w:line="278" w:lineRule="auto"/>
            </w:pPr>
            <w:r w:rsidRPr="009C162D">
              <w:t>Australia</w:t>
            </w:r>
            <w:r>
              <w:t>’s</w:t>
            </w:r>
            <w:r w:rsidRPr="009C162D">
              <w:t xml:space="preserve"> emissions accounting</w:t>
            </w:r>
            <w:r>
              <w:t xml:space="preserve"> and </w:t>
            </w:r>
            <w:r w:rsidRPr="009C162D">
              <w:t xml:space="preserve">reporting </w:t>
            </w:r>
            <w:r>
              <w:t>calculate methane emissions on a 100-year global warming potential (GWP-100) basis.</w:t>
            </w:r>
            <w:r w:rsidRPr="009C162D">
              <w:t xml:space="preserve"> Without changing that approach, should policy or investment decisions give more weight to the near-term climate benefits of methane abatement? </w:t>
            </w:r>
            <w:r>
              <w:t>How?</w:t>
            </w:r>
          </w:p>
        </w:tc>
      </w:tr>
    </w:tbl>
    <w:p w14:paraId="70836053" w14:textId="77777777" w:rsidR="00532E58" w:rsidRDefault="00532E58" w:rsidP="00E07A66">
      <w:pPr>
        <w:spacing w:before="0" w:after="0"/>
      </w:pPr>
      <w:bookmarkStart w:id="83" w:name="_Toc231298034"/>
    </w:p>
    <w:p w14:paraId="1369B25A" w14:textId="616EBE32" w:rsidR="00532E58" w:rsidRPr="00DD025D" w:rsidRDefault="00532E58" w:rsidP="00E3684D">
      <w:pPr>
        <w:pStyle w:val="L2Sub-heading"/>
      </w:pPr>
      <w:bookmarkStart w:id="84" w:name="_Toc231557418"/>
      <w:bookmarkStart w:id="85" w:name="_Toc232079499"/>
      <w:r>
        <w:t xml:space="preserve">2.5 </w:t>
      </w:r>
      <w:r w:rsidRPr="00DD025D">
        <w:t>How the Authority will assess policy options</w:t>
      </w:r>
      <w:bookmarkEnd w:id="83"/>
      <w:bookmarkEnd w:id="84"/>
      <w:bookmarkEnd w:id="85"/>
    </w:p>
    <w:p w14:paraId="58EBECAD" w14:textId="77777777" w:rsidR="00532E58" w:rsidRPr="001C67B8" w:rsidRDefault="00532E58" w:rsidP="004A5E04">
      <w:pPr>
        <w:spacing w:after="160" w:line="278" w:lineRule="auto"/>
      </w:pPr>
      <w:r w:rsidRPr="001C67B8">
        <w:t xml:space="preserve">The Authority </w:t>
      </w:r>
      <w:r>
        <w:t xml:space="preserve">proposes assessing </w:t>
      </w:r>
      <w:r w:rsidRPr="001C67B8">
        <w:t>policy options using a framework tailored to the specific characteristics of fossil methane</w:t>
      </w:r>
      <w:r>
        <w:t xml:space="preserve">, </w:t>
      </w:r>
      <w:r w:rsidRPr="00EB379F">
        <w:t xml:space="preserve">while taking account </w:t>
      </w:r>
      <w:r>
        <w:t xml:space="preserve">of </w:t>
      </w:r>
      <w:r w:rsidRPr="00EB379F">
        <w:t xml:space="preserve">the Authority’s principles outlined in the </w:t>
      </w:r>
      <w:r w:rsidRPr="00EB379F">
        <w:rPr>
          <w:i/>
          <w:iCs/>
        </w:rPr>
        <w:t>Climate Change Authority Act 2011</w:t>
      </w:r>
      <w:r w:rsidRPr="00EB379F">
        <w:t xml:space="preserve"> (CCA Act)</w:t>
      </w:r>
      <w:r>
        <w:t>.</w:t>
      </w:r>
    </w:p>
    <w:p w14:paraId="6DE39BB6" w14:textId="20D24030" w:rsidR="00532E58" w:rsidRPr="001C67B8" w:rsidRDefault="00532E58" w:rsidP="004A5E04">
      <w:pPr>
        <w:spacing w:after="160" w:line="278" w:lineRule="auto"/>
      </w:pPr>
      <w:r w:rsidRPr="001C67B8">
        <w:rPr>
          <w:b/>
          <w:bCs/>
        </w:rPr>
        <w:t>Environmental effectiveness</w:t>
      </w:r>
      <w:r w:rsidRPr="001C67B8">
        <w:br/>
        <w:t xml:space="preserve">Would the </w:t>
      </w:r>
      <w:r>
        <w:t>policy</w:t>
      </w:r>
      <w:r w:rsidRPr="001C67B8">
        <w:t xml:space="preserve"> option reduce fossil methane emissions in the near term and improve climate outcomes? </w:t>
      </w:r>
      <w:r>
        <w:t xml:space="preserve">Policy options that contribute additional abatement towards meeting Australia’s targets, as well as options that do not make an additional contribution but shift effort from carbon </w:t>
      </w:r>
      <w:r w:rsidR="00AF0476">
        <w:t>dioxide towards</w:t>
      </w:r>
      <w:r>
        <w:t xml:space="preserve"> methane abatement may have merit. </w:t>
      </w:r>
    </w:p>
    <w:p w14:paraId="4FD9806A" w14:textId="77777777" w:rsidR="00532E58" w:rsidRPr="00BB7E69" w:rsidRDefault="00532E58" w:rsidP="004A5E04">
      <w:pPr>
        <w:spacing w:after="160" w:line="278" w:lineRule="auto"/>
      </w:pPr>
      <w:r w:rsidRPr="001C67B8">
        <w:rPr>
          <w:b/>
          <w:bCs/>
        </w:rPr>
        <w:t>Cost effectiveness</w:t>
      </w:r>
      <w:r w:rsidRPr="001C67B8">
        <w:br/>
      </w:r>
      <w:r w:rsidRPr="00BB7E69">
        <w:t xml:space="preserve">Would the policy option deliver meaningful climate benefits at reasonable cost, taking account of existing incentives and market settings? In assessing cost effectiveness, the Authority will recognise that the near-term climate value of methane reductions </w:t>
      </w:r>
      <w:r>
        <w:t>may be better</w:t>
      </w:r>
      <w:r w:rsidRPr="00BB7E69">
        <w:t xml:space="preserve"> reflected </w:t>
      </w:r>
      <w:r>
        <w:t xml:space="preserve">using GWP-20 accounting than </w:t>
      </w:r>
      <w:r w:rsidRPr="00BB7E69">
        <w:t xml:space="preserve">GWP-100 accounting. The Authority will take this into account when considering whether complementary measures may be justified. </w:t>
      </w:r>
    </w:p>
    <w:p w14:paraId="6620408A" w14:textId="77777777" w:rsidR="00532E58" w:rsidRPr="001C67B8" w:rsidRDefault="00532E58" w:rsidP="004A5E04">
      <w:pPr>
        <w:spacing w:after="160" w:line="278" w:lineRule="auto"/>
      </w:pPr>
      <w:r w:rsidRPr="001C67B8">
        <w:rPr>
          <w:b/>
          <w:bCs/>
        </w:rPr>
        <w:t>Equity</w:t>
      </w:r>
      <w:r w:rsidRPr="001C67B8">
        <w:br/>
        <w:t xml:space="preserve">Who would bear the costs and receive the benefits of the option, and are those impacts proportionate and transparent? In the fossil methane context, this includes considering impacts across industries and jurisdictions, across facilities with different abatement opportunities, and on workers and communities affected by the fossil fuel transition. </w:t>
      </w:r>
    </w:p>
    <w:p w14:paraId="7E58ECC2" w14:textId="6C73C4B5" w:rsidR="00532E58" w:rsidRPr="000403CA" w:rsidRDefault="00532E58" w:rsidP="00532E58">
      <w:r w:rsidRPr="001C67B8">
        <w:rPr>
          <w:b/>
          <w:bCs/>
        </w:rPr>
        <w:t>Simplicity and</w:t>
      </w:r>
      <w:r>
        <w:rPr>
          <w:b/>
          <w:bCs/>
        </w:rPr>
        <w:t xml:space="preserve"> feasibility</w:t>
      </w:r>
      <w:r w:rsidRPr="001C67B8">
        <w:br/>
      </w:r>
      <w:r w:rsidR="006F0AB7">
        <w:t>Is</w:t>
      </w:r>
      <w:r w:rsidRPr="001C67B8">
        <w:t xml:space="preserve"> the </w:t>
      </w:r>
      <w:r>
        <w:t xml:space="preserve">policy </w:t>
      </w:r>
      <w:r w:rsidRPr="001C67B8">
        <w:t>option administratively workable, compatible with existing institutions</w:t>
      </w:r>
      <w:r>
        <w:t>, and feasible to implement?</w:t>
      </w:r>
      <w:r w:rsidRPr="001C67B8">
        <w:t xml:space="preserve"> In this </w:t>
      </w:r>
      <w:r>
        <w:t>project</w:t>
      </w:r>
      <w:r w:rsidRPr="001C67B8">
        <w:t xml:space="preserve">, that includes </w:t>
      </w:r>
      <w:r>
        <w:t>maintaining stability in</w:t>
      </w:r>
      <w:r w:rsidRPr="001C67B8">
        <w:t xml:space="preserve"> existing market and regulatory frameworks, avoiding unnecessary duplication, and focusing on technologies and interventions that are viable now or in the near term.</w:t>
      </w:r>
      <w:r>
        <w:t xml:space="preserve"> It also includes whether an option is feasible to monitor and enforce.</w:t>
      </w:r>
    </w:p>
    <w:p w14:paraId="3C64BBB9" w14:textId="59D219BB" w:rsidR="00E0398E" w:rsidRDefault="00E0398E" w:rsidP="00B5463A"/>
    <w:p w14:paraId="6C3209AD" w14:textId="77777777" w:rsidR="00E0398E" w:rsidRDefault="00E0398E">
      <w:pPr>
        <w:spacing w:before="0" w:after="160" w:line="279" w:lineRule="auto"/>
      </w:pPr>
      <w:r>
        <w:br w:type="page"/>
      </w:r>
    </w:p>
    <w:p w14:paraId="6FEFDD1F" w14:textId="77777777" w:rsidR="00632512" w:rsidRDefault="00632512" w:rsidP="00632512">
      <w:pPr>
        <w:pStyle w:val="L1Heading"/>
      </w:pPr>
      <w:bookmarkStart w:id="86" w:name="_Toc227942675"/>
      <w:bookmarkStart w:id="87" w:name="_Toc231298035"/>
      <w:bookmarkStart w:id="88" w:name="_Toc231557419"/>
      <w:bookmarkStart w:id="89" w:name="_Toc232079500"/>
      <w:r>
        <w:lastRenderedPageBreak/>
        <w:t>Appendices</w:t>
      </w:r>
      <w:bookmarkEnd w:id="86"/>
      <w:bookmarkEnd w:id="87"/>
      <w:bookmarkEnd w:id="88"/>
      <w:bookmarkEnd w:id="89"/>
    </w:p>
    <w:p w14:paraId="6002D968" w14:textId="77777777" w:rsidR="00632512" w:rsidRDefault="00632512" w:rsidP="00E3684D">
      <w:pPr>
        <w:pStyle w:val="L2Sub-heading"/>
      </w:pPr>
      <w:bookmarkStart w:id="90" w:name="_Toc231298036"/>
      <w:bookmarkStart w:id="91" w:name="_Toc231557420"/>
      <w:bookmarkStart w:id="92" w:name="_Toc232079501"/>
      <w:r>
        <w:t>Appendix A: Sources of fossil methane emissions</w:t>
      </w:r>
      <w:bookmarkEnd w:id="90"/>
      <w:bookmarkEnd w:id="91"/>
      <w:bookmarkEnd w:id="92"/>
    </w:p>
    <w:p w14:paraId="685B6164" w14:textId="3344DF6B" w:rsidR="00632512" w:rsidRPr="00F01C22" w:rsidRDefault="00632512" w:rsidP="00632512">
      <w:r>
        <w:t>Australia’s fossil methane emissions almost entirely come from coal and gas, with a very small portion from the oil sector (</w:t>
      </w:r>
      <w:r w:rsidRPr="004977BB">
        <w:rPr>
          <w:b/>
          <w:bCs/>
        </w:rPr>
        <w:t xml:space="preserve">Figure </w:t>
      </w:r>
      <w:r w:rsidR="00F91F33">
        <w:rPr>
          <w:b/>
          <w:bCs/>
        </w:rPr>
        <w:t>4</w:t>
      </w:r>
      <w:r>
        <w:t>). The Authority is primarily focussed on opportunities for abatement from coal mining, and from gas extraction and processing.</w:t>
      </w:r>
    </w:p>
    <w:p w14:paraId="14B427C7" w14:textId="77777777" w:rsidR="00632512" w:rsidRDefault="00632512" w:rsidP="00632512">
      <w:pPr>
        <w:pStyle w:val="L3SectionHeading"/>
      </w:pPr>
      <w:r>
        <w:t>Fossil methane emissions by state</w:t>
      </w:r>
    </w:p>
    <w:p w14:paraId="5E66A6BA" w14:textId="24279D5E" w:rsidR="00632512" w:rsidRPr="00F44C51" w:rsidRDefault="00632512" w:rsidP="00632512">
      <w:pPr>
        <w:spacing w:before="60" w:after="60"/>
      </w:pPr>
      <w:r>
        <w:t>Fossil methane emissions and sources vary across states and territories depending on their industrial base (</w:t>
      </w:r>
      <w:r w:rsidRPr="004977BB">
        <w:rPr>
          <w:b/>
          <w:bCs/>
        </w:rPr>
        <w:t>Figure 1</w:t>
      </w:r>
      <w:r w:rsidR="00551E44">
        <w:rPr>
          <w:b/>
          <w:bCs/>
        </w:rPr>
        <w:t>0</w:t>
      </w:r>
      <w:r>
        <w:t xml:space="preserve">). Queensland, </w:t>
      </w:r>
      <w:r w:rsidRPr="00C827D4">
        <w:t>New South Wales and Western Australia</w:t>
      </w:r>
      <w:r>
        <w:t xml:space="preserve"> account for most fossil methane emissions in Australia </w:t>
      </w:r>
      <w:r w:rsidRPr="00287730">
        <w:t xml:space="preserve">(CCA analysis of </w:t>
      </w:r>
      <w:r>
        <w:t>DCCEEW</w:t>
      </w:r>
      <w:r w:rsidRPr="00287730">
        <w:t xml:space="preserve"> data</w:t>
      </w:r>
      <w:r w:rsidR="00AF2938">
        <w:t xml:space="preserve"> 2026a</w:t>
      </w:r>
      <w:r w:rsidRPr="00287730">
        <w:t>)</w:t>
      </w:r>
      <w:r>
        <w:t>. W</w:t>
      </w:r>
      <w:r w:rsidRPr="00C827D4">
        <w:t xml:space="preserve">hile emissions from the Northern Territory are currently low, they may increase </w:t>
      </w:r>
      <w:r>
        <w:t xml:space="preserve">if </w:t>
      </w:r>
      <w:r w:rsidRPr="00C827D4">
        <w:t>gas production expands.</w:t>
      </w:r>
    </w:p>
    <w:p w14:paraId="23171892" w14:textId="77777777" w:rsidR="00632512" w:rsidRDefault="00632512" w:rsidP="00632512">
      <w:r>
        <w:t xml:space="preserve">Queensland and New South Wales emit the largest share of fossil methane emissions in Australia, with coal mining as the primary driver. In Western Australia, natural gas production is the dominant source. </w:t>
      </w:r>
    </w:p>
    <w:p w14:paraId="48165B33" w14:textId="76346D0D" w:rsidR="00632512" w:rsidRDefault="00632512" w:rsidP="00632512">
      <w:pPr>
        <w:spacing w:before="60" w:after="60"/>
      </w:pPr>
      <w:r>
        <w:t>A</w:t>
      </w:r>
      <w:r w:rsidRPr="005816A0">
        <w:t>ll jurisdictions have committed to net zero emissions by 2050</w:t>
      </w:r>
      <w:r>
        <w:t xml:space="preserve">, and – other than Western Australia and the Northern Territory – </w:t>
      </w:r>
      <w:r w:rsidRPr="005816A0">
        <w:t xml:space="preserve">have also set interim emissions reduction targets for 2030 or </w:t>
      </w:r>
      <w:r w:rsidR="000E7935" w:rsidRPr="00DA77C2">
        <w:rPr>
          <w:color w:val="000000"/>
        </w:rPr>
        <w:t>(CCA 2025b; Climateworks 2024</w:t>
      </w:r>
      <w:r w:rsidR="000E7935" w:rsidRPr="00B445B2">
        <w:rPr>
          <w:color w:val="000000"/>
        </w:rPr>
        <w:t>)</w:t>
      </w:r>
      <w:r w:rsidRPr="005816A0">
        <w:t xml:space="preserve">. </w:t>
      </w:r>
      <w:r>
        <w:t>N</w:t>
      </w:r>
      <w:r w:rsidRPr="005816A0">
        <w:t xml:space="preserve">o jurisdiction has established specific targets for reducing </w:t>
      </w:r>
      <w:r>
        <w:t>fossil methane</w:t>
      </w:r>
      <w:r w:rsidRPr="005816A0">
        <w:t xml:space="preserve"> emissions.</w:t>
      </w:r>
    </w:p>
    <w:p w14:paraId="5E8FA06A" w14:textId="77777777" w:rsidR="0022507F" w:rsidRDefault="0022507F" w:rsidP="00632512">
      <w:pPr>
        <w:spacing w:before="60" w:after="60"/>
      </w:pPr>
    </w:p>
    <w:p w14:paraId="10B405AF" w14:textId="5BDE4D1D" w:rsidR="00F93088" w:rsidRDefault="00835EF7" w:rsidP="00A10E5B">
      <w:pPr>
        <w:pStyle w:val="ReportFigureTitle"/>
      </w:pPr>
      <w:r>
        <w:t xml:space="preserve">Figure 10: </w:t>
      </w:r>
      <w:r w:rsidRPr="00D43F1D">
        <w:t xml:space="preserve">Fossil </w:t>
      </w:r>
      <w:r>
        <w:t>m</w:t>
      </w:r>
      <w:r w:rsidRPr="00D43F1D">
        <w:t>ethane emissions by state in 20</w:t>
      </w:r>
      <w:r>
        <w:t>23-24</w:t>
      </w:r>
      <w:r w:rsidRPr="00D43F1D">
        <w:t xml:space="preserve"> </w:t>
      </w:r>
    </w:p>
    <w:p w14:paraId="39E32368" w14:textId="4B79471D" w:rsidR="00164E10" w:rsidRDefault="00F93088" w:rsidP="00B5463A">
      <w:r>
        <w:rPr>
          <w:noProof/>
        </w:rPr>
        <w:drawing>
          <wp:inline distT="0" distB="0" distL="0" distR="0" wp14:anchorId="10D40E90" wp14:editId="2CC8CF93">
            <wp:extent cx="6261982" cy="3723926"/>
            <wp:effectExtent l="0" t="0" r="0" b="0"/>
            <wp:docPr id="977773767" name="Picture 21" descr="Map of Australia showing how QLD and NSW are the largest contributors to fossil methane emiss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773767" name="Picture 21" descr="Map of Australia showing how QLD and NSW are the largest contributors to fossil methane emissions. "/>
                    <pic:cNvPicPr>
                      <a:picLocks noChangeAspect="1" noChangeArrowheads="1"/>
                    </pic:cNvPicPr>
                  </pic:nvPicPr>
                  <pic:blipFill>
                    <a:blip r:embed="rId38">
                      <a:extLst>
                        <a:ext uri="{96DAC541-7B7A-43D3-8B79-37D633B846F1}">
                          <asvg:svgBlip xmlns:asvg="http://schemas.microsoft.com/office/drawing/2016/SVG/main" r:embed="rId39"/>
                        </a:ext>
                      </a:extLst>
                    </a:blip>
                    <a:stretch>
                      <a:fillRect/>
                    </a:stretch>
                  </pic:blipFill>
                  <pic:spPr bwMode="auto">
                    <a:xfrm>
                      <a:off x="0" y="0"/>
                      <a:ext cx="6261982" cy="3723926"/>
                    </a:xfrm>
                    <a:prstGeom prst="rect">
                      <a:avLst/>
                    </a:prstGeom>
                  </pic:spPr>
                </pic:pic>
              </a:graphicData>
            </a:graphic>
          </wp:inline>
        </w:drawing>
      </w:r>
    </w:p>
    <w:p w14:paraId="52AE040A" w14:textId="7CE242FE" w:rsidR="00D67515" w:rsidRPr="00D67515" w:rsidRDefault="00D67515" w:rsidP="00A10E5B">
      <w:pPr>
        <w:pStyle w:val="ReportFigureSource"/>
      </w:pPr>
      <w:r w:rsidRPr="00D67515">
        <w:t>Source: (DCCEEW 2026a)</w:t>
      </w:r>
    </w:p>
    <w:p w14:paraId="3E07D9E4" w14:textId="77777777" w:rsidR="00ED194D" w:rsidRDefault="00ED194D">
      <w:pPr>
        <w:spacing w:before="0" w:after="160" w:line="279" w:lineRule="auto"/>
        <w:rPr>
          <w:rFonts w:eastAsiaTheme="majorEastAsia" w:cstheme="majorBidi"/>
          <w:b/>
          <w:bCs/>
          <w:color w:val="0777A3"/>
          <w:sz w:val="24"/>
          <w:szCs w:val="20"/>
          <w:lang w:eastAsia="en-US"/>
        </w:rPr>
      </w:pPr>
      <w:r>
        <w:br w:type="page"/>
      </w:r>
    </w:p>
    <w:p w14:paraId="035C69C5" w14:textId="5C22CC63" w:rsidR="00EB0FF6" w:rsidRPr="002A43B9" w:rsidRDefault="00EB0FF6" w:rsidP="00EB0FF6">
      <w:pPr>
        <w:pStyle w:val="L3SectionHeading"/>
      </w:pPr>
      <w:r w:rsidRPr="002A43B9">
        <w:lastRenderedPageBreak/>
        <w:t>Fossil methane emissions from coal mining</w:t>
      </w:r>
    </w:p>
    <w:p w14:paraId="3114874C" w14:textId="77777777" w:rsidR="002C6C23" w:rsidRDefault="002C6C23" w:rsidP="002C6C23">
      <w:r>
        <w:t xml:space="preserve">Coal mining activities are the largest contributor to Australia’s fossil methane emissions. They are responsible for 18% of all of Australia’s methane and 76% of fugitive fossil methane emissions </w:t>
      </w:r>
      <w:r w:rsidRPr="00DA77C2">
        <w:rPr>
          <w:color w:val="000000"/>
        </w:rPr>
        <w:t>(DCCEEW</w:t>
      </w:r>
      <w:r w:rsidRPr="00B445B2">
        <w:rPr>
          <w:color w:val="000000"/>
        </w:rPr>
        <w:t xml:space="preserve"> 2026a)</w:t>
      </w:r>
      <w:r>
        <w:t>.</w:t>
      </w:r>
    </w:p>
    <w:p w14:paraId="7B973723" w14:textId="77777777" w:rsidR="002C6C23" w:rsidRPr="00B11C4D" w:rsidRDefault="002C6C23" w:rsidP="002C6C23">
      <w:r>
        <w:t>Coal mining disturbs methane trapped within coal seams, leading to fossil</w:t>
      </w:r>
      <w:r w:rsidRPr="00B11C4D">
        <w:t xml:space="preserve"> methane emissions </w:t>
      </w:r>
      <w:r>
        <w:t xml:space="preserve">from </w:t>
      </w:r>
      <w:r w:rsidRPr="00DA77C2">
        <w:rPr>
          <w:color w:val="000000"/>
        </w:rPr>
        <w:t>(IEA 2023</w:t>
      </w:r>
      <w:r w:rsidRPr="00B445B2">
        <w:rPr>
          <w:color w:val="000000"/>
        </w:rPr>
        <w:t>)</w:t>
      </w:r>
      <w:r>
        <w:t>:</w:t>
      </w:r>
    </w:p>
    <w:p w14:paraId="732B3352" w14:textId="0861EA04" w:rsidR="002C6C23" w:rsidRPr="00B11C4D" w:rsidRDefault="002C6C23" w:rsidP="002C6C23">
      <w:pPr>
        <w:numPr>
          <w:ilvl w:val="0"/>
          <w:numId w:val="16"/>
        </w:numPr>
        <w:spacing w:line="259" w:lineRule="auto"/>
      </w:pPr>
      <w:r w:rsidRPr="00B11C4D">
        <w:rPr>
          <w:b/>
          <w:bCs/>
        </w:rPr>
        <w:t>Extraction</w:t>
      </w:r>
      <w:r>
        <w:rPr>
          <w:b/>
          <w:bCs/>
        </w:rPr>
        <w:t xml:space="preserve"> -</w:t>
      </w:r>
      <w:r>
        <w:t xml:space="preserve"> m</w:t>
      </w:r>
      <w:r w:rsidRPr="00B11C4D">
        <w:t>ethane is released as coal seams are disturbed during underground and open</w:t>
      </w:r>
      <w:r w:rsidR="00CB5EA9">
        <w:t xml:space="preserve"> </w:t>
      </w:r>
      <w:r w:rsidRPr="00B11C4D">
        <w:t>cut mining</w:t>
      </w:r>
      <w:r>
        <w:t>.</w:t>
      </w:r>
      <w:r w:rsidRPr="00B11C4D">
        <w:t xml:space="preserve"> </w:t>
      </w:r>
    </w:p>
    <w:p w14:paraId="5B5CC97F" w14:textId="77777777" w:rsidR="002C6C23" w:rsidRPr="00B11C4D" w:rsidRDefault="002C6C23" w:rsidP="002C6C23">
      <w:pPr>
        <w:numPr>
          <w:ilvl w:val="0"/>
          <w:numId w:val="16"/>
        </w:numPr>
        <w:spacing w:line="259" w:lineRule="auto"/>
      </w:pPr>
      <w:r w:rsidRPr="00B11C4D">
        <w:rPr>
          <w:b/>
          <w:bCs/>
        </w:rPr>
        <w:t>Processing</w:t>
      </w:r>
      <w:r>
        <w:rPr>
          <w:b/>
          <w:bCs/>
        </w:rPr>
        <w:t xml:space="preserve"> - </w:t>
      </w:r>
      <w:r>
        <w:t>a</w:t>
      </w:r>
      <w:r w:rsidRPr="00B11C4D">
        <w:t>dditional methane is emitted as coal is crushed, washed and moved onsite</w:t>
      </w:r>
      <w:r>
        <w:t>.</w:t>
      </w:r>
      <w:r w:rsidRPr="00B11C4D">
        <w:t xml:space="preserve"> </w:t>
      </w:r>
    </w:p>
    <w:p w14:paraId="11AAFEF5" w14:textId="77777777" w:rsidR="002C6C23" w:rsidRPr="00B11C4D" w:rsidRDefault="002C6C23" w:rsidP="002C6C23">
      <w:pPr>
        <w:numPr>
          <w:ilvl w:val="0"/>
          <w:numId w:val="16"/>
        </w:numPr>
        <w:spacing w:line="259" w:lineRule="auto"/>
      </w:pPr>
      <w:r w:rsidRPr="00B11C4D">
        <w:rPr>
          <w:b/>
          <w:bCs/>
        </w:rPr>
        <w:t>Transport and storage</w:t>
      </w:r>
      <w:r>
        <w:t xml:space="preserve"> - r</w:t>
      </w:r>
      <w:r w:rsidRPr="00B11C4D">
        <w:t>esidual methane continues to escape during rail transport, stockpiling and port storage</w:t>
      </w:r>
      <w:r>
        <w:t>.</w:t>
      </w:r>
      <w:r w:rsidRPr="00B11C4D">
        <w:t xml:space="preserve"> </w:t>
      </w:r>
    </w:p>
    <w:p w14:paraId="6803AD1B" w14:textId="77777777" w:rsidR="002C6C23" w:rsidRPr="00B11C4D" w:rsidRDefault="002C6C23" w:rsidP="002C6C23">
      <w:pPr>
        <w:numPr>
          <w:ilvl w:val="0"/>
          <w:numId w:val="16"/>
        </w:numPr>
        <w:spacing w:line="259" w:lineRule="auto"/>
      </w:pPr>
      <w:r>
        <w:rPr>
          <w:b/>
          <w:bCs/>
        </w:rPr>
        <w:t>Decommissioned mines</w:t>
      </w:r>
      <w:r>
        <w:t xml:space="preserve"> - m</w:t>
      </w:r>
      <w:r w:rsidRPr="00B11C4D">
        <w:t xml:space="preserve">ethane </w:t>
      </w:r>
      <w:r>
        <w:t xml:space="preserve">continues to be </w:t>
      </w:r>
      <w:r w:rsidRPr="00B11C4D">
        <w:t>released from abandoned or closed mines over time</w:t>
      </w:r>
      <w:r>
        <w:t xml:space="preserve"> unless these mines are effectively sealed.</w:t>
      </w:r>
    </w:p>
    <w:p w14:paraId="564A7786" w14:textId="2038369C" w:rsidR="00EB0FF6" w:rsidRDefault="002C6C23" w:rsidP="002C6C23">
      <w:r w:rsidRPr="00654769">
        <w:t>Over</w:t>
      </w:r>
      <w:r w:rsidRPr="00923B0A">
        <w:t xml:space="preserve"> 90%</w:t>
      </w:r>
      <w:r>
        <w:t xml:space="preserve"> of Australia’s fossil methane emissions from coal mining occurs during the extraction stage </w:t>
      </w:r>
      <w:r w:rsidR="00EB0FF6">
        <w:t>(</w:t>
      </w:r>
      <w:r w:rsidR="00EB0FF6" w:rsidRPr="004977BB">
        <w:rPr>
          <w:b/>
          <w:bCs/>
        </w:rPr>
        <w:t>Figure 1</w:t>
      </w:r>
      <w:r w:rsidR="00995E1C">
        <w:rPr>
          <w:b/>
          <w:bCs/>
        </w:rPr>
        <w:t>1</w:t>
      </w:r>
      <w:r w:rsidR="00EB0FF6">
        <w:t xml:space="preserve">). The Authority is therefore focusing on abatement opportunities at this source. </w:t>
      </w:r>
    </w:p>
    <w:p w14:paraId="05F53D0B" w14:textId="541BDF0C" w:rsidR="00DE3325" w:rsidRPr="00484A70" w:rsidRDefault="00DE3325" w:rsidP="00DE3325">
      <w:r w:rsidRPr="00484A70">
        <w:t xml:space="preserve">Coal is extracted using one of </w:t>
      </w:r>
      <w:r>
        <w:t>two</w:t>
      </w:r>
      <w:r w:rsidRPr="00484A70">
        <w:t xml:space="preserve"> methods</w:t>
      </w:r>
      <w:r>
        <w:t xml:space="preserve"> – </w:t>
      </w:r>
      <w:r w:rsidRPr="00484A70">
        <w:t>underground</w:t>
      </w:r>
      <w:r>
        <w:t xml:space="preserve"> </w:t>
      </w:r>
      <w:r w:rsidRPr="00484A70">
        <w:t>or open</w:t>
      </w:r>
      <w:r w:rsidR="00CB5EA9">
        <w:t xml:space="preserve"> </w:t>
      </w:r>
      <w:r w:rsidRPr="00484A70">
        <w:t xml:space="preserve">cut mining. </w:t>
      </w:r>
      <w:r>
        <w:t xml:space="preserve">Nearly </w:t>
      </w:r>
      <w:r w:rsidRPr="00484A70">
        <w:t xml:space="preserve">60% of </w:t>
      </w:r>
      <w:r>
        <w:t>Australia’s</w:t>
      </w:r>
      <w:r w:rsidRPr="00484A70">
        <w:t xml:space="preserve"> </w:t>
      </w:r>
      <w:r>
        <w:t>coal mining emissions</w:t>
      </w:r>
      <w:r w:rsidRPr="00484A70">
        <w:t xml:space="preserve"> </w:t>
      </w:r>
      <w:r>
        <w:t>come from</w:t>
      </w:r>
      <w:r w:rsidRPr="00484A70">
        <w:t xml:space="preserve"> underground mining</w:t>
      </w:r>
      <w:r>
        <w:t xml:space="preserve">, despite underground mine production volumes being lower than </w:t>
      </w:r>
      <w:r w:rsidR="00CB5EA9">
        <w:t>open cut</w:t>
      </w:r>
      <w:r>
        <w:t xml:space="preserve"> mines</w:t>
      </w:r>
      <w:r w:rsidRPr="00484A70">
        <w:t xml:space="preserve"> </w:t>
      </w:r>
      <w:r w:rsidRPr="00DA77C2">
        <w:rPr>
          <w:color w:val="000000"/>
        </w:rPr>
        <w:t>(DCCEEW</w:t>
      </w:r>
      <w:r w:rsidRPr="00B445B2">
        <w:rPr>
          <w:color w:val="000000"/>
        </w:rPr>
        <w:t xml:space="preserve"> 2026a</w:t>
      </w:r>
      <w:r w:rsidRPr="00DA77C2">
        <w:rPr>
          <w:color w:val="000000"/>
        </w:rPr>
        <w:t>; Global Energy Monitor 2025</w:t>
      </w:r>
      <w:r w:rsidRPr="00B445B2">
        <w:rPr>
          <w:color w:val="000000"/>
        </w:rPr>
        <w:t>)</w:t>
      </w:r>
      <w:r w:rsidRPr="00484A70">
        <w:t xml:space="preserve">. </w:t>
      </w:r>
      <w:r>
        <w:t>Underground mines typically have</w:t>
      </w:r>
      <w:r w:rsidRPr="00484A70">
        <w:t xml:space="preserve"> higher methane emissions</w:t>
      </w:r>
      <w:r>
        <w:t xml:space="preserve"> than </w:t>
      </w:r>
      <w:r w:rsidR="00CB5EA9">
        <w:t>open cut</w:t>
      </w:r>
      <w:r>
        <w:t xml:space="preserve"> mines because </w:t>
      </w:r>
      <w:r w:rsidRPr="00484A70">
        <w:t xml:space="preserve">deeper coal seams tend to contain more gas and pressure, which </w:t>
      </w:r>
      <w:r w:rsidRPr="00484A70" w:rsidDel="00254B54">
        <w:t>is then</w:t>
      </w:r>
      <w:r w:rsidRPr="00484A70">
        <w:t xml:space="preserve"> released during mining</w:t>
      </w:r>
      <w:r>
        <w:t xml:space="preserve"> </w:t>
      </w:r>
      <w:r w:rsidRPr="00DA77C2">
        <w:rPr>
          <w:color w:val="000000"/>
        </w:rPr>
        <w:t>(DCCEEW</w:t>
      </w:r>
      <w:r w:rsidRPr="00B445B2">
        <w:rPr>
          <w:color w:val="000000"/>
        </w:rPr>
        <w:t xml:space="preserve"> 2026d)</w:t>
      </w:r>
      <w:r w:rsidRPr="00484A70">
        <w:t>. In some cases, gas is extracted from the seam before mining to improve safety and reduce emissions</w:t>
      </w:r>
      <w:r>
        <w:t xml:space="preserve"> (called ‘pre-drainage’)</w:t>
      </w:r>
      <w:r w:rsidRPr="00484A70">
        <w:t>. Pre-drainage</w:t>
      </w:r>
      <w:r>
        <w:t xml:space="preserve"> is also an emerging opportunity to reduce methane emissions</w:t>
      </w:r>
      <w:r w:rsidRPr="00484A70">
        <w:t xml:space="preserve"> </w:t>
      </w:r>
      <w:r>
        <w:t>for</w:t>
      </w:r>
      <w:r w:rsidRPr="00484A70">
        <w:t xml:space="preserve"> </w:t>
      </w:r>
      <w:r w:rsidR="00CB5EA9">
        <w:t>open cut</w:t>
      </w:r>
      <w:r w:rsidRPr="00484A70">
        <w:t xml:space="preserve"> operations</w:t>
      </w:r>
      <w:r>
        <w:t xml:space="preserve"> </w:t>
      </w:r>
      <w:r w:rsidRPr="00DA77C2">
        <w:rPr>
          <w:color w:val="000000"/>
        </w:rPr>
        <w:t>(NSW Net Zero Commission 2025</w:t>
      </w:r>
      <w:r w:rsidRPr="00B445B2">
        <w:rPr>
          <w:color w:val="000000"/>
        </w:rPr>
        <w:t>)</w:t>
      </w:r>
      <w:r w:rsidRPr="00484A70">
        <w:t>.</w:t>
      </w:r>
    </w:p>
    <w:p w14:paraId="3EEDC8FE" w14:textId="41F7339A" w:rsidR="00D80A41" w:rsidRPr="00484A70" w:rsidRDefault="00D80A41" w:rsidP="00D80A41">
      <w:pPr>
        <w:pStyle w:val="ReportFigureTitle"/>
      </w:pPr>
      <w:r w:rsidRPr="00D80A41">
        <w:t>Figure 1</w:t>
      </w:r>
      <w:r>
        <w:t>1</w:t>
      </w:r>
      <w:r w:rsidRPr="00D80A41">
        <w:t>:  Australia’s fossil methane emissions in the coal mining supply chain in 2023-24</w:t>
      </w:r>
    </w:p>
    <w:p w14:paraId="0F86BEB0" w14:textId="4C275A4F" w:rsidR="00835EF7" w:rsidRDefault="009F14AB" w:rsidP="00B5463A">
      <w:r>
        <w:rPr>
          <w:noProof/>
        </w:rPr>
        <w:drawing>
          <wp:inline distT="0" distB="0" distL="0" distR="0" wp14:anchorId="2BD5B147" wp14:editId="2CABFC99">
            <wp:extent cx="5581650" cy="3403777"/>
            <wp:effectExtent l="0" t="0" r="0" b="6350"/>
            <wp:docPr id="1303129639" name="Picture 22" descr="Flowchart illustrating carbon dioxide emissions from coal mining activities and abandoned mines. It uses blue and black sections with icons representing extraction, processing, transport, and decommissioning, highlighting 21 Mt CO2-e from mining (11.5 Mt underground, 9.5 Mt open-cut) and 1 Mt CO2-e from abandoned mines, including 0.1 Mt from fla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129639" name="Picture 22" descr="Flowchart illustrating carbon dioxide emissions from coal mining activities and abandoned mines. It uses blue and black sections with icons representing extraction, processing, transport, and decommissioning, highlighting 21 Mt CO2-e from mining (11.5 Mt underground, 9.5 Mt open-cut) and 1 Mt CO2-e from abandoned mines, including 0.1 Mt from flari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98991" cy="3414352"/>
                    </a:xfrm>
                    <a:prstGeom prst="rect">
                      <a:avLst/>
                    </a:prstGeom>
                    <a:noFill/>
                  </pic:spPr>
                </pic:pic>
              </a:graphicData>
            </a:graphic>
          </wp:inline>
        </w:drawing>
      </w:r>
    </w:p>
    <w:p w14:paraId="5616ADB8" w14:textId="11DA65D3" w:rsidR="00F669C7" w:rsidRDefault="00F669C7" w:rsidP="00F669C7">
      <w:pPr>
        <w:pStyle w:val="ReportFigureSource"/>
      </w:pPr>
      <w:r>
        <w:t xml:space="preserve">Source: </w:t>
      </w:r>
      <w:r w:rsidR="009A3338" w:rsidRPr="009A3338">
        <w:t>DCCEEW 2026a</w:t>
      </w:r>
    </w:p>
    <w:p w14:paraId="640E111B" w14:textId="77777777" w:rsidR="00BD1E9B" w:rsidRDefault="00BD1E9B" w:rsidP="00BD1E9B">
      <w:pPr>
        <w:pStyle w:val="L3SectionHeading"/>
      </w:pPr>
      <w:r>
        <w:lastRenderedPageBreak/>
        <w:t>Fossil methane emissions from gas production</w:t>
      </w:r>
    </w:p>
    <w:p w14:paraId="0D7AE53A" w14:textId="21E9E780" w:rsidR="00003798" w:rsidRPr="00D02815" w:rsidRDefault="00003798" w:rsidP="00003798">
      <w:r>
        <w:t>Gas production accounts for 24% of Australia’s fugitive fossil methane emissions. G</w:t>
      </w:r>
      <w:r w:rsidRPr="002043F5">
        <w:t xml:space="preserve">as </w:t>
      </w:r>
      <w:r>
        <w:t>is</w:t>
      </w:r>
      <w:r w:rsidRPr="002043F5">
        <w:t xml:space="preserve"> produced by drilling wells into underground reservoirs and bringing hydrocarbons</w:t>
      </w:r>
      <w:r>
        <w:rPr>
          <w:rStyle w:val="FootnoteReference"/>
        </w:rPr>
        <w:footnoteReference w:id="4"/>
      </w:r>
      <w:r w:rsidRPr="002043F5">
        <w:t xml:space="preserve"> to the surface. Methane</w:t>
      </w:r>
      <w:r>
        <w:t xml:space="preserve"> is</w:t>
      </w:r>
      <w:r w:rsidRPr="002043F5">
        <w:t xml:space="preserve"> the main component of natural gas, </w:t>
      </w:r>
      <w:r>
        <w:t xml:space="preserve">making up 70-90% of the total gas </w:t>
      </w:r>
      <w:r w:rsidRPr="00DA77C2">
        <w:rPr>
          <w:rFonts w:eastAsia="Times New Roman"/>
          <w:color w:val="000000"/>
        </w:rPr>
        <w:t xml:space="preserve">(Gordon </w:t>
      </w:r>
      <w:r w:rsidRPr="00B445B2">
        <w:rPr>
          <w:rFonts w:eastAsia="Times New Roman"/>
          <w:color w:val="000000"/>
        </w:rPr>
        <w:t>and</w:t>
      </w:r>
      <w:r w:rsidRPr="00DA77C2">
        <w:rPr>
          <w:rFonts w:eastAsia="Times New Roman"/>
          <w:color w:val="000000"/>
        </w:rPr>
        <w:t xml:space="preserve"> Hughes 2023</w:t>
      </w:r>
      <w:r w:rsidRPr="00B445B2">
        <w:rPr>
          <w:rFonts w:eastAsia="Times New Roman"/>
          <w:color w:val="000000"/>
        </w:rPr>
        <w:t>)</w:t>
      </w:r>
      <w:r>
        <w:t xml:space="preserve">. Fossil methane emissions from oil production are relatively minor in Australia </w:t>
      </w:r>
      <w:r w:rsidRPr="00DA77C2">
        <w:rPr>
          <w:color w:val="000000"/>
        </w:rPr>
        <w:t>(DCCEEW</w:t>
      </w:r>
      <w:r w:rsidRPr="00B445B2">
        <w:rPr>
          <w:color w:val="000000"/>
        </w:rPr>
        <w:t xml:space="preserve"> 2026a)</w:t>
      </w:r>
      <w:r>
        <w:t xml:space="preserve">. </w:t>
      </w:r>
    </w:p>
    <w:p w14:paraId="3EB88EA7" w14:textId="77777777" w:rsidR="00003798" w:rsidRDefault="00003798" w:rsidP="00003798">
      <w:r>
        <w:t xml:space="preserve">The main stages of the natural gas supply chain where fossil methane emissions can occur are </w:t>
      </w:r>
      <w:r w:rsidRPr="00DA77C2">
        <w:rPr>
          <w:color w:val="000000"/>
        </w:rPr>
        <w:t>(IEA 2025a</w:t>
      </w:r>
      <w:r w:rsidRPr="00B445B2">
        <w:rPr>
          <w:color w:val="000000"/>
        </w:rPr>
        <w:t>)</w:t>
      </w:r>
      <w:r>
        <w:t>:</w:t>
      </w:r>
    </w:p>
    <w:p w14:paraId="4945796E" w14:textId="77777777" w:rsidR="00003798" w:rsidRPr="0017407A" w:rsidRDefault="00003798" w:rsidP="00F14BB4">
      <w:pPr>
        <w:numPr>
          <w:ilvl w:val="0"/>
          <w:numId w:val="17"/>
        </w:numPr>
        <w:spacing w:line="240" w:lineRule="auto"/>
      </w:pPr>
      <w:r w:rsidRPr="0017407A">
        <w:rPr>
          <w:b/>
          <w:bCs/>
        </w:rPr>
        <w:t>Exploration</w:t>
      </w:r>
      <w:r>
        <w:t xml:space="preserve"> - </w:t>
      </w:r>
      <w:r w:rsidRPr="0017407A">
        <w:t>small amounts of methane may be released during drilling and well testing</w:t>
      </w:r>
      <w:r>
        <w:t>.</w:t>
      </w:r>
      <w:r w:rsidRPr="0017407A">
        <w:t xml:space="preserve"> </w:t>
      </w:r>
    </w:p>
    <w:p w14:paraId="095045DC" w14:textId="77777777" w:rsidR="00003798" w:rsidRPr="0017407A" w:rsidRDefault="00003798" w:rsidP="00F14BB4">
      <w:pPr>
        <w:numPr>
          <w:ilvl w:val="0"/>
          <w:numId w:val="17"/>
        </w:numPr>
        <w:spacing w:line="240" w:lineRule="auto"/>
      </w:pPr>
      <w:r w:rsidRPr="0017407A">
        <w:rPr>
          <w:b/>
          <w:bCs/>
        </w:rPr>
        <w:t>Extraction</w:t>
      </w:r>
      <w:r>
        <w:t xml:space="preserve"> - </w:t>
      </w:r>
      <w:r w:rsidRPr="0017407A">
        <w:t xml:space="preserve">methane </w:t>
      </w:r>
      <w:r>
        <w:t xml:space="preserve">may be vented or flared to reduce pressure via safety systems. </w:t>
      </w:r>
    </w:p>
    <w:p w14:paraId="6794B4AE" w14:textId="00475FAC" w:rsidR="00003798" w:rsidRPr="0017407A" w:rsidRDefault="00003798" w:rsidP="00F14BB4">
      <w:pPr>
        <w:numPr>
          <w:ilvl w:val="0"/>
          <w:numId w:val="17"/>
        </w:numPr>
        <w:spacing w:line="240" w:lineRule="auto"/>
      </w:pPr>
      <w:r w:rsidRPr="0017407A">
        <w:rPr>
          <w:b/>
          <w:bCs/>
        </w:rPr>
        <w:t>Processing</w:t>
      </w:r>
      <w:r>
        <w:t xml:space="preserve"> - methane is emitted</w:t>
      </w:r>
      <w:r w:rsidRPr="0017407A">
        <w:t xml:space="preserve"> during the removal of impurities and handling at processing facilities</w:t>
      </w:r>
      <w:r>
        <w:t>.</w:t>
      </w:r>
      <w:r w:rsidRPr="0017407A">
        <w:t xml:space="preserve"> </w:t>
      </w:r>
    </w:p>
    <w:p w14:paraId="4EE4540C" w14:textId="77777777" w:rsidR="00003798" w:rsidRPr="0017407A" w:rsidRDefault="00003798" w:rsidP="00F14BB4">
      <w:pPr>
        <w:numPr>
          <w:ilvl w:val="0"/>
          <w:numId w:val="17"/>
        </w:numPr>
        <w:spacing w:line="240" w:lineRule="auto"/>
      </w:pPr>
      <w:r w:rsidRPr="0017407A">
        <w:rPr>
          <w:b/>
          <w:bCs/>
        </w:rPr>
        <w:t>Post-processing</w:t>
      </w:r>
      <w:r>
        <w:rPr>
          <w:b/>
          <w:bCs/>
        </w:rPr>
        <w:t xml:space="preserve"> -</w:t>
      </w:r>
      <w:r>
        <w:t xml:space="preserve"> </w:t>
      </w:r>
      <w:r w:rsidRPr="0017407A">
        <w:t>methane can leak during transmission, storage, distribution and export activities</w:t>
      </w:r>
      <w:r>
        <w:t>.</w:t>
      </w:r>
      <w:r w:rsidRPr="0017407A">
        <w:t xml:space="preserve"> </w:t>
      </w:r>
    </w:p>
    <w:p w14:paraId="28792C39" w14:textId="60D10C36" w:rsidR="00003798" w:rsidRDefault="00003798" w:rsidP="00003798">
      <w:r>
        <w:t>Venting and flaring occur at each stage of the production process as part of pressure relief and safety protocols. However, most of the venting and flaring emissions occur during the extraction and processing stages, which makes them the largest sources of methane emissions in natural gas production (</w:t>
      </w:r>
      <w:r w:rsidRPr="004977BB">
        <w:rPr>
          <w:b/>
          <w:bCs/>
        </w:rPr>
        <w:t>Figure 1</w:t>
      </w:r>
      <w:r w:rsidR="00256F8B">
        <w:rPr>
          <w:b/>
          <w:bCs/>
        </w:rPr>
        <w:t>2</w:t>
      </w:r>
      <w:r>
        <w:t>). The other source of fossil methane emissions is gas</w:t>
      </w:r>
      <w:r w:rsidRPr="00B77761">
        <w:t xml:space="preserve"> lost through leaks during initial handling</w:t>
      </w:r>
      <w:r>
        <w:t xml:space="preserve"> </w:t>
      </w:r>
      <w:r w:rsidRPr="00DA77C2">
        <w:rPr>
          <w:color w:val="000000"/>
        </w:rPr>
        <w:t>(IEA 2025a</w:t>
      </w:r>
      <w:r w:rsidRPr="00B445B2">
        <w:rPr>
          <w:color w:val="000000"/>
        </w:rPr>
        <w:t>)</w:t>
      </w:r>
      <w:r w:rsidRPr="00B77761">
        <w:t xml:space="preserve">. </w:t>
      </w:r>
    </w:p>
    <w:p w14:paraId="4BA254B5" w14:textId="77777777" w:rsidR="00003798" w:rsidRDefault="00003798" w:rsidP="00003798">
      <w:r>
        <w:t xml:space="preserve">Post-processing emissions include transmission, storage, distribution and abandoned gas wells </w:t>
      </w:r>
      <w:r w:rsidRPr="00DA77C2">
        <w:rPr>
          <w:color w:val="000000"/>
        </w:rPr>
        <w:t>(DCCEEW</w:t>
      </w:r>
      <w:r w:rsidRPr="00B445B2">
        <w:rPr>
          <w:color w:val="000000"/>
        </w:rPr>
        <w:t xml:space="preserve"> 2026a)</w:t>
      </w:r>
      <w:r>
        <w:t xml:space="preserve">. While the largest source of emissions in this category is distribution, </w:t>
      </w:r>
      <w:r w:rsidRPr="00E5394C">
        <w:t>the dispersed nature of distribution networks and the different regulatory frameworks that apply mean</w:t>
      </w:r>
      <w:r>
        <w:t>s</w:t>
      </w:r>
      <w:r w:rsidRPr="00E5394C">
        <w:t xml:space="preserve"> it warrants separate consideration.</w:t>
      </w:r>
      <w:r>
        <w:t xml:space="preserve"> </w:t>
      </w:r>
      <w:r w:rsidRPr="00E5394C">
        <w:t>Th</w:t>
      </w:r>
      <w:r>
        <w:t xml:space="preserve">e Authority </w:t>
      </w:r>
      <w:r w:rsidRPr="00E5394C">
        <w:t>is focuse</w:t>
      </w:r>
      <w:r>
        <w:t>d</w:t>
      </w:r>
      <w:r w:rsidRPr="00E5394C">
        <w:t xml:space="preserve"> primarily on extraction and processing.</w:t>
      </w:r>
    </w:p>
    <w:p w14:paraId="786802C9" w14:textId="5A24D51C" w:rsidR="00705F2C" w:rsidRDefault="00705F2C" w:rsidP="000A3F33">
      <w:pPr>
        <w:pStyle w:val="ReportFigureTitle"/>
      </w:pPr>
      <w:r>
        <w:t>Figure 1</w:t>
      </w:r>
      <w:r w:rsidR="005B07D7">
        <w:t xml:space="preserve">2: </w:t>
      </w:r>
      <w:r>
        <w:t xml:space="preserve"> Australia’s fossil methane emissions in the gas supply chain in 2023-24</w:t>
      </w:r>
    </w:p>
    <w:p w14:paraId="34222956" w14:textId="732D466E" w:rsidR="0010785A" w:rsidRDefault="00705F2C" w:rsidP="00B5463A">
      <w:r>
        <w:rPr>
          <w:noProof/>
        </w:rPr>
        <w:drawing>
          <wp:inline distT="0" distB="0" distL="0" distR="0" wp14:anchorId="753389E1" wp14:editId="48C44586">
            <wp:extent cx="4914900" cy="3438478"/>
            <wp:effectExtent l="0" t="0" r="0" b="0"/>
            <wp:docPr id="1108991242" name="Picture 23" descr="The main stages of the natural gas supply chain where fossil methane emissions can occur are (IEA 2025a):&#10;• Exploration - small amounts of methane may be released during drilling and well testing. &#10;• Extraction - methane may be vented or flared to reduce pressure via safety systems. &#10;• Processing - methane is emitted during the removal of impurities and handling at processing facilities. &#10;• Post-processing - methane can leak during transmission, storage, distribution and export activiti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991242" name="Picture 23" descr="The main stages of the natural gas supply chain where fossil methane emissions can occur are (IEA 2025a):&#10;• Exploration - small amounts of methane may be released during drilling and well testing. &#10;• Extraction - methane may be vented or flared to reduce pressure via safety systems. &#10;• Processing - methane is emitted during the removal of impurities and handling at processing facilities. &#10;• Post-processing - methane can leak during transmission, storage, distribution and export activities.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50583" cy="3463442"/>
                    </a:xfrm>
                    <a:prstGeom prst="rect">
                      <a:avLst/>
                    </a:prstGeom>
                    <a:noFill/>
                  </pic:spPr>
                </pic:pic>
              </a:graphicData>
            </a:graphic>
          </wp:inline>
        </w:drawing>
      </w:r>
    </w:p>
    <w:p w14:paraId="7C512734" w14:textId="77777777" w:rsidR="00CC3DFB" w:rsidRDefault="0054731F" w:rsidP="00CC3DFB">
      <w:pPr>
        <w:pStyle w:val="ReportFigureSource"/>
        <w:spacing w:before="0" w:after="0"/>
        <w:rPr>
          <w:rStyle w:val="Hyperlink"/>
          <w:color w:val="auto"/>
          <w:u w:val="none"/>
        </w:rPr>
      </w:pPr>
      <w:r w:rsidRPr="007B6EF2">
        <w:rPr>
          <w:rStyle w:val="Hyperlink"/>
          <w:color w:val="auto"/>
          <w:u w:val="none"/>
        </w:rPr>
        <w:t>Source: (DCCEEW 2026a)</w:t>
      </w:r>
      <w:r w:rsidR="00F263FF">
        <w:rPr>
          <w:rStyle w:val="Hyperlink"/>
          <w:color w:val="auto"/>
          <w:u w:val="none"/>
        </w:rPr>
        <w:t xml:space="preserve"> </w:t>
      </w:r>
    </w:p>
    <w:p w14:paraId="3C8147ED" w14:textId="0C78408D" w:rsidR="00073468" w:rsidRPr="00F14BB4" w:rsidRDefault="00914957" w:rsidP="00CC3DFB">
      <w:pPr>
        <w:pStyle w:val="ReportFigureSource"/>
        <w:spacing w:before="0" w:after="0"/>
      </w:pPr>
      <w:r>
        <w:t xml:space="preserve">Note: venting emissions from both oil and gas production. </w:t>
      </w:r>
      <w:bookmarkStart w:id="93" w:name="_Toc231298037"/>
      <w:bookmarkStart w:id="94" w:name="_Toc231557421"/>
    </w:p>
    <w:p w14:paraId="2A7B81B8" w14:textId="52D7D132" w:rsidR="005707F6" w:rsidRPr="00DD025D" w:rsidRDefault="005707F6" w:rsidP="00E3684D">
      <w:pPr>
        <w:pStyle w:val="L2Sub-heading"/>
      </w:pPr>
      <w:bookmarkStart w:id="95" w:name="_Toc232079502"/>
      <w:r>
        <w:lastRenderedPageBreak/>
        <w:t>Appendix B: Fossil methane abatement technologies</w:t>
      </w:r>
      <w:bookmarkEnd w:id="93"/>
      <w:bookmarkEnd w:id="94"/>
      <w:bookmarkEnd w:id="95"/>
    </w:p>
    <w:p w14:paraId="5F2C4902" w14:textId="77777777" w:rsidR="005707F6" w:rsidRDefault="005707F6" w:rsidP="005707F6">
      <w:pPr>
        <w:pStyle w:val="L3SectionHeading"/>
      </w:pPr>
      <w:r>
        <w:t xml:space="preserve">Technologies for methane from coal mining </w:t>
      </w:r>
    </w:p>
    <w:p w14:paraId="563B3D2B" w14:textId="3D40123F" w:rsidR="001B1053" w:rsidRDefault="001B1053" w:rsidP="001B1053">
      <w:r>
        <w:t xml:space="preserve">Pre-mining drainage of coal mine gas is already best practice for managing safety at underground mines </w:t>
      </w:r>
      <w:r w:rsidRPr="00DA77C2">
        <w:rPr>
          <w:color w:val="000000"/>
        </w:rPr>
        <w:t>(Queensland Government 2019</w:t>
      </w:r>
      <w:r w:rsidRPr="00B445B2">
        <w:rPr>
          <w:color w:val="000000"/>
        </w:rPr>
        <w:t>)</w:t>
      </w:r>
      <w:r>
        <w:t xml:space="preserve">. It also offers an opportunity to abate methane emissions. </w:t>
      </w:r>
      <w:r w:rsidRPr="009639C7">
        <w:t xml:space="preserve">In Queensland, the </w:t>
      </w:r>
      <w:r w:rsidRPr="009D3222">
        <w:rPr>
          <w:i/>
        </w:rPr>
        <w:t xml:space="preserve">Mineral Resources Act 1989 </w:t>
      </w:r>
      <w:r w:rsidRPr="009639C7">
        <w:t xml:space="preserve">requires lease holders of coal mines to </w:t>
      </w:r>
      <w:r>
        <w:t>combust</w:t>
      </w:r>
      <w:r w:rsidRPr="009639C7">
        <w:t xml:space="preserve"> methane in coal mine waste gas</w:t>
      </w:r>
      <w:r>
        <w:t xml:space="preserve"> (such that the methane is converted into carbon dioxide and water vapour) where it is technically and commercially feasible</w:t>
      </w:r>
      <w:r w:rsidRPr="009639C7">
        <w:t xml:space="preserve"> </w:t>
      </w:r>
      <w:r w:rsidRPr="00B445B2">
        <w:rPr>
          <w:color w:val="000000"/>
        </w:rPr>
        <w:t>(Queensland Government</w:t>
      </w:r>
      <w:r w:rsidRPr="00DA77C2">
        <w:rPr>
          <w:color w:val="000000"/>
        </w:rPr>
        <w:t xml:space="preserve"> </w:t>
      </w:r>
      <w:r w:rsidR="00DD14D4" w:rsidRPr="00DD14D4">
        <w:rPr>
          <w:color w:val="000000"/>
        </w:rPr>
        <w:t>1989</w:t>
      </w:r>
      <w:r w:rsidRPr="00B445B2">
        <w:rPr>
          <w:color w:val="000000"/>
        </w:rPr>
        <w:t>)</w:t>
      </w:r>
      <w:r>
        <w:t xml:space="preserve">. Depending on the quality and composition of the drained gas it can be used in on-site electricity generation, transported to off-site generation facilities or flared. The ability to deploy these options varies site-to-site, and also varies within longwall panels at a single site. At underground coal mines, post-mining drainage can also be used to manage methane emissions, as with the pre-mining drainage methods. </w:t>
      </w:r>
    </w:p>
    <w:p w14:paraId="39A685FE" w14:textId="0759F599" w:rsidR="001B1053" w:rsidRDefault="001B1053" w:rsidP="001B1053">
      <w:r>
        <w:t>Open</w:t>
      </w:r>
      <w:r w:rsidR="002B0246">
        <w:t>-</w:t>
      </w:r>
      <w:r>
        <w:t>cut mines can also utilise pre</w:t>
      </w:r>
      <w:r w:rsidR="005C3E11">
        <w:t>-</w:t>
      </w:r>
      <w:r>
        <w:t>drainage prior to mining activities, with the same options to eliminate methane from the drained gas as with underground mines.</w:t>
      </w:r>
    </w:p>
    <w:p w14:paraId="446F4647" w14:textId="4452CADF" w:rsidR="001B1053" w:rsidRDefault="001B1053" w:rsidP="001B1053">
      <w:r>
        <w:t xml:space="preserve">Any methane remaining in coal seams after drainage is managed via mine ventilation. </w:t>
      </w:r>
      <w:r w:rsidR="00D52516">
        <w:t>Ventilation air methane (</w:t>
      </w:r>
      <w:r>
        <w:t>VAM</w:t>
      </w:r>
      <w:r w:rsidR="00D52516">
        <w:t>)</w:t>
      </w:r>
      <w:r>
        <w:t xml:space="preserve"> oxidation is the key technology available to abate this source of fossil methane. Following drainage, the concentration of methane in the air stream is low and the gas cannot be flared or used in electricity generation. VAM oxidation requires specialised equipment and capital investment. However, at gassy underground mines the technology can be deployed below the current Safeguard Mechanism Credit (SMC) unit cost </w:t>
      </w:r>
      <w:r w:rsidRPr="00DA77C2">
        <w:rPr>
          <w:color w:val="000000"/>
        </w:rPr>
        <w:t>(NSW Net Zero Commission 2025</w:t>
      </w:r>
      <w:r w:rsidRPr="00B445B2">
        <w:rPr>
          <w:color w:val="000000"/>
        </w:rPr>
        <w:t>)</w:t>
      </w:r>
      <w:r>
        <w:t>.</w:t>
      </w:r>
    </w:p>
    <w:p w14:paraId="7BE7E5EF" w14:textId="77777777" w:rsidR="001B1053" w:rsidRDefault="001B1053" w:rsidP="001B1053">
      <w:r>
        <w:t xml:space="preserve">Trials of VAM oxidation technologies have demonstrated that it can provide meaningful abatement safely. However. there are still technical and economic barriers to broad adoption in more underground coal mines </w:t>
      </w:r>
      <w:r w:rsidRPr="00DA77C2">
        <w:rPr>
          <w:color w:val="000000"/>
        </w:rPr>
        <w:t>(CSIRO 2024</w:t>
      </w:r>
      <w:r w:rsidRPr="00B445B2">
        <w:rPr>
          <w:color w:val="000000"/>
        </w:rPr>
        <w:t>)</w:t>
      </w:r>
      <w:r>
        <w:t xml:space="preserve">. </w:t>
      </w:r>
      <w:r w:rsidRPr="00461733">
        <w:t>A commercial-scale project has been funded at the Kestrel mine in Queensland with 50</w:t>
      </w:r>
      <w:r>
        <w:t xml:space="preserve">% </w:t>
      </w:r>
      <w:r w:rsidRPr="00461733">
        <w:t xml:space="preserve">grant funding from the Powering the Regions Fund </w:t>
      </w:r>
      <w:r w:rsidRPr="00B445B2">
        <w:rPr>
          <w:color w:val="000000"/>
        </w:rPr>
        <w:t>(DISR</w:t>
      </w:r>
      <w:r w:rsidRPr="00DA77C2">
        <w:rPr>
          <w:color w:val="000000"/>
        </w:rPr>
        <w:t xml:space="preserve"> 2024a; </w:t>
      </w:r>
      <w:r w:rsidRPr="00B445B2">
        <w:rPr>
          <w:color w:val="000000"/>
        </w:rPr>
        <w:t>DCCEEW</w:t>
      </w:r>
      <w:r w:rsidRPr="00DA77C2">
        <w:rPr>
          <w:color w:val="000000"/>
        </w:rPr>
        <w:t xml:space="preserve"> 2024a</w:t>
      </w:r>
      <w:r w:rsidRPr="00B445B2">
        <w:rPr>
          <w:color w:val="000000"/>
        </w:rPr>
        <w:t>)</w:t>
      </w:r>
      <w:r w:rsidRPr="00461733">
        <w:t>.</w:t>
      </w:r>
    </w:p>
    <w:p w14:paraId="77D255DB" w14:textId="77777777" w:rsidR="005707F6" w:rsidRDefault="005707F6" w:rsidP="005707F6">
      <w:pPr>
        <w:pStyle w:val="L3SectionHeading"/>
      </w:pPr>
      <w:r>
        <w:t>Technologies for methane from gas extraction</w:t>
      </w:r>
    </w:p>
    <w:p w14:paraId="5B34A8F2" w14:textId="40B284BF" w:rsidR="005707F6" w:rsidRDefault="005707F6" w:rsidP="005707F6">
      <w:r>
        <w:t xml:space="preserve">In the gas sector the most effective method to reduce fossil methane is leak detection and repair. There are several leak detection methods that can be deployed at gas facilities, including infrared cameras for optical detection and ultrasonic gas detectors. Some equipment used in the gas extraction and processing chain emits methane emissions, either by venting or flaring, during their operation. Replacing equipment on site with electric or more efficient versions would reduce fossil methane emissions </w:t>
      </w:r>
      <w:r w:rsidR="005B55D8" w:rsidRPr="00B445B2">
        <w:rPr>
          <w:color w:val="000000"/>
        </w:rPr>
        <w:t>(IEA 2026a)</w:t>
      </w:r>
      <w:r w:rsidR="005B55D8">
        <w:t>.</w:t>
      </w:r>
    </w:p>
    <w:p w14:paraId="2B0B3D7F" w14:textId="0E422575" w:rsidR="00914957" w:rsidRDefault="005707F6" w:rsidP="005707F6">
      <w:r>
        <w:t>Other commercially ready options include ensuring that flaring is efficient, so that a higher proportion of the methane is converted into carbon dioxide and water vapour during combustion.</w:t>
      </w:r>
    </w:p>
    <w:p w14:paraId="72FBAF86" w14:textId="77777777" w:rsidR="005B55D8" w:rsidRDefault="005B55D8">
      <w:pPr>
        <w:spacing w:before="0" w:after="160" w:line="279" w:lineRule="auto"/>
        <w:rPr>
          <w:rFonts w:eastAsiaTheme="majorEastAsia" w:cstheme="majorBidi"/>
          <w:b/>
          <w:bCs/>
          <w:color w:val="10BFE8"/>
          <w:sz w:val="36"/>
          <w:szCs w:val="40"/>
        </w:rPr>
      </w:pPr>
      <w:bookmarkStart w:id="96" w:name="_Toc231298038"/>
      <w:bookmarkStart w:id="97" w:name="_Toc231557422"/>
      <w:r>
        <w:br w:type="page"/>
      </w:r>
    </w:p>
    <w:p w14:paraId="290B3B07" w14:textId="4C3D9EA3" w:rsidR="003D2943" w:rsidRPr="00DC6894" w:rsidRDefault="003D2943" w:rsidP="00E3684D">
      <w:pPr>
        <w:pStyle w:val="L2Sub-heading"/>
      </w:pPr>
      <w:bookmarkStart w:id="98" w:name="_Toc232079503"/>
      <w:r>
        <w:lastRenderedPageBreak/>
        <w:t>Appendix C: List of policies and regulations relevant to fossil methane</w:t>
      </w:r>
      <w:bookmarkEnd w:id="96"/>
      <w:bookmarkEnd w:id="97"/>
      <w:bookmarkEnd w:id="98"/>
      <w:r>
        <w:t xml:space="preserve"> </w:t>
      </w:r>
    </w:p>
    <w:p w14:paraId="2EE45469" w14:textId="77777777" w:rsidR="003D2943" w:rsidRDefault="003D2943" w:rsidP="003D2943">
      <w:pPr>
        <w:pStyle w:val="L3SectionHeading"/>
      </w:pPr>
      <w:bookmarkStart w:id="99" w:name="_Toc227942681"/>
      <w:r>
        <w:t>Federal policies</w:t>
      </w:r>
      <w:bookmarkEnd w:id="99"/>
    </w:p>
    <w:tbl>
      <w:tblPr>
        <w:tblStyle w:val="ListTable3-Accent1"/>
        <w:tblW w:w="5000" w:type="pct"/>
        <w:tblLook w:val="04A0" w:firstRow="1" w:lastRow="0" w:firstColumn="1" w:lastColumn="0" w:noHBand="0" w:noVBand="1"/>
      </w:tblPr>
      <w:tblGrid>
        <w:gridCol w:w="2301"/>
        <w:gridCol w:w="7781"/>
      </w:tblGrid>
      <w:tr w:rsidR="003D2943" w14:paraId="703D63E0" w14:textId="77777777" w:rsidTr="007C4DF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141" w:type="pct"/>
          </w:tcPr>
          <w:p w14:paraId="088703F5" w14:textId="77777777" w:rsidR="003D2943" w:rsidRPr="00BE00D4" w:rsidRDefault="003D2943" w:rsidP="0058776B">
            <w:pPr>
              <w:spacing w:before="114" w:after="114"/>
              <w:rPr>
                <w:bCs w:val="0"/>
                <w:color w:val="FFFFFF" w:themeColor="background1"/>
              </w:rPr>
            </w:pPr>
            <w:r w:rsidRPr="00BE00D4">
              <w:rPr>
                <w:bCs w:val="0"/>
                <w:color w:val="FFFFFF" w:themeColor="background1"/>
              </w:rPr>
              <w:t>Policy</w:t>
            </w:r>
          </w:p>
        </w:tc>
        <w:tc>
          <w:tcPr>
            <w:tcW w:w="3859" w:type="pct"/>
          </w:tcPr>
          <w:p w14:paraId="3EAF903E" w14:textId="77777777" w:rsidR="003D2943" w:rsidRPr="00BE00D4" w:rsidRDefault="003D2943" w:rsidP="0058776B">
            <w:pPr>
              <w:spacing w:before="114" w:after="114"/>
              <w:cnfStyle w:val="100000000000" w:firstRow="1" w:lastRow="0" w:firstColumn="0" w:lastColumn="0" w:oddVBand="0" w:evenVBand="0" w:oddHBand="0" w:evenHBand="0" w:firstRowFirstColumn="0" w:firstRowLastColumn="0" w:lastRowFirstColumn="0" w:lastRowLastColumn="0"/>
              <w:rPr>
                <w:bCs w:val="0"/>
                <w:color w:val="FFFFFF" w:themeColor="background1"/>
              </w:rPr>
            </w:pPr>
            <w:r w:rsidRPr="00BE00D4">
              <w:rPr>
                <w:bCs w:val="0"/>
                <w:color w:val="FFFFFF" w:themeColor="background1"/>
              </w:rPr>
              <w:t>Description</w:t>
            </w:r>
          </w:p>
        </w:tc>
      </w:tr>
      <w:tr w:rsidR="00582800" w14:paraId="7960FC9F" w14:textId="77777777" w:rsidTr="007C4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1" w:type="pct"/>
          </w:tcPr>
          <w:p w14:paraId="7E2D81E8" w14:textId="4B4BA685" w:rsidR="00582800" w:rsidRPr="00DA7CB1" w:rsidRDefault="00582800" w:rsidP="00582800">
            <w:pPr>
              <w:spacing w:before="114" w:after="114"/>
              <w:rPr>
                <w:b w:val="0"/>
                <w:i/>
              </w:rPr>
            </w:pPr>
            <w:r w:rsidRPr="00DA7CB1">
              <w:rPr>
                <w:b w:val="0"/>
                <w:i/>
              </w:rPr>
              <w:t xml:space="preserve">Global </w:t>
            </w:r>
            <w:r>
              <w:rPr>
                <w:b w:val="0"/>
                <w:i/>
              </w:rPr>
              <w:t>M</w:t>
            </w:r>
            <w:r w:rsidRPr="00DA7CB1">
              <w:rPr>
                <w:b w:val="0"/>
                <w:i/>
              </w:rPr>
              <w:t xml:space="preserve">ethane </w:t>
            </w:r>
            <w:r>
              <w:rPr>
                <w:b w:val="0"/>
                <w:i/>
              </w:rPr>
              <w:t>P</w:t>
            </w:r>
            <w:r w:rsidRPr="00DA7CB1">
              <w:rPr>
                <w:b w:val="0"/>
                <w:i/>
              </w:rPr>
              <w:t>ledge</w:t>
            </w:r>
          </w:p>
        </w:tc>
        <w:tc>
          <w:tcPr>
            <w:tcW w:w="3859" w:type="pct"/>
          </w:tcPr>
          <w:p w14:paraId="32DD9319" w14:textId="242EDEC2" w:rsidR="00582800" w:rsidRDefault="00582800" w:rsidP="00582800">
            <w:pPr>
              <w:spacing w:before="114" w:after="114"/>
              <w:cnfStyle w:val="000000100000" w:firstRow="0" w:lastRow="0" w:firstColumn="0" w:lastColumn="0" w:oddVBand="0" w:evenVBand="0" w:oddHBand="1" w:evenHBand="0" w:firstRowFirstColumn="0" w:firstRowLastColumn="0" w:lastRowFirstColumn="0" w:lastRowLastColumn="0"/>
            </w:pPr>
            <w:r>
              <w:t xml:space="preserve">Australia signed the Global Methane Pledge in 2022 </w:t>
            </w:r>
            <w:r w:rsidRPr="00DA77C2">
              <w:rPr>
                <w:color w:val="000000"/>
              </w:rPr>
              <w:t>(DCCEEW</w:t>
            </w:r>
            <w:r w:rsidRPr="00B445B2">
              <w:rPr>
                <w:color w:val="000000"/>
              </w:rPr>
              <w:t xml:space="preserve"> 2025c)</w:t>
            </w:r>
            <w:r>
              <w:t xml:space="preserve">. It is one of 160 signatories working </w:t>
            </w:r>
            <w:r w:rsidRPr="003F4232">
              <w:t>to reduce global methane emissions across all sectors by at least 30% below 2020 levels by 203</w:t>
            </w:r>
            <w:r>
              <w:t xml:space="preserve">0. </w:t>
            </w:r>
          </w:p>
        </w:tc>
      </w:tr>
      <w:tr w:rsidR="00582800" w14:paraId="6B6E9207" w14:textId="77777777" w:rsidTr="007C4DF8">
        <w:tc>
          <w:tcPr>
            <w:cnfStyle w:val="001000000000" w:firstRow="0" w:lastRow="0" w:firstColumn="1" w:lastColumn="0" w:oddVBand="0" w:evenVBand="0" w:oddHBand="0" w:evenHBand="0" w:firstRowFirstColumn="0" w:firstRowLastColumn="0" w:lastRowFirstColumn="0" w:lastRowLastColumn="0"/>
            <w:tcW w:w="1141" w:type="pct"/>
          </w:tcPr>
          <w:p w14:paraId="18C85819" w14:textId="558CD06D" w:rsidR="00582800" w:rsidRPr="00DA7CB1" w:rsidRDefault="00582800" w:rsidP="00582800">
            <w:pPr>
              <w:spacing w:before="114" w:after="114"/>
              <w:rPr>
                <w:b w:val="0"/>
                <w:i/>
              </w:rPr>
            </w:pPr>
            <w:r w:rsidRPr="00DA7CB1">
              <w:rPr>
                <w:b w:val="0"/>
                <w:i/>
              </w:rPr>
              <w:t>National Greenhouse and Energy Reporting (NGER) Scheme</w:t>
            </w:r>
          </w:p>
        </w:tc>
        <w:tc>
          <w:tcPr>
            <w:tcW w:w="3859" w:type="pct"/>
          </w:tcPr>
          <w:p w14:paraId="58E88621" w14:textId="1D046404" w:rsidR="00582800" w:rsidRPr="00142A4B" w:rsidRDefault="00582800" w:rsidP="00582800">
            <w:pPr>
              <w:spacing w:before="114" w:after="114"/>
              <w:cnfStyle w:val="000000000000" w:firstRow="0" w:lastRow="0" w:firstColumn="0" w:lastColumn="0" w:oddVBand="0" w:evenVBand="0" w:oddHBand="0" w:evenHBand="0" w:firstRowFirstColumn="0" w:firstRowLastColumn="0" w:lastRowFirstColumn="0" w:lastRowLastColumn="0"/>
            </w:pPr>
            <w:r>
              <w:t xml:space="preserve">The NGER scheme is Australia’s framework for reporting company information about greenhouse gas emissions, energy production and energy consumption </w:t>
            </w:r>
            <w:r w:rsidRPr="00DA77C2">
              <w:rPr>
                <w:color w:val="000000"/>
              </w:rPr>
              <w:t>(DCCEEW</w:t>
            </w:r>
            <w:r w:rsidRPr="00B445B2">
              <w:rPr>
                <w:color w:val="000000"/>
              </w:rPr>
              <w:t xml:space="preserve"> 2026c)</w:t>
            </w:r>
            <w:r>
              <w:t>.</w:t>
            </w:r>
          </w:p>
        </w:tc>
      </w:tr>
      <w:tr w:rsidR="00582800" w14:paraId="184036DB" w14:textId="77777777" w:rsidTr="007C4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1" w:type="pct"/>
          </w:tcPr>
          <w:p w14:paraId="4C7D9E62" w14:textId="77777777" w:rsidR="00582800" w:rsidRPr="00DA7CB1" w:rsidRDefault="00582800" w:rsidP="00582800">
            <w:pPr>
              <w:spacing w:before="114" w:after="114"/>
              <w:rPr>
                <w:b w:val="0"/>
                <w:i/>
              </w:rPr>
            </w:pPr>
            <w:r w:rsidRPr="00DA7CB1">
              <w:rPr>
                <w:b w:val="0"/>
                <w:i/>
              </w:rPr>
              <w:t xml:space="preserve">Safeguard Mechanism </w:t>
            </w:r>
          </w:p>
          <w:p w14:paraId="6B875315" w14:textId="77777777" w:rsidR="00582800" w:rsidRPr="00DA7CB1" w:rsidRDefault="00582800" w:rsidP="00582800">
            <w:pPr>
              <w:spacing w:before="114" w:after="114"/>
              <w:rPr>
                <w:b w:val="0"/>
              </w:rPr>
            </w:pPr>
          </w:p>
        </w:tc>
        <w:tc>
          <w:tcPr>
            <w:tcW w:w="3859" w:type="pct"/>
          </w:tcPr>
          <w:p w14:paraId="418B4E1B" w14:textId="0B52C143" w:rsidR="00582800" w:rsidRDefault="00582800" w:rsidP="00582800">
            <w:pPr>
              <w:spacing w:before="114" w:after="114"/>
              <w:cnfStyle w:val="000000100000" w:firstRow="0" w:lastRow="0" w:firstColumn="0" w:lastColumn="0" w:oddVBand="0" w:evenVBand="0" w:oddHBand="1" w:evenHBand="0" w:firstRowFirstColumn="0" w:firstRowLastColumn="0" w:lastRowFirstColumn="0" w:lastRowLastColumn="0"/>
            </w:pPr>
            <w:r>
              <w:t xml:space="preserve">The Safeguard Mechanism sets legislated limits on the greenhouse gas emissions of Australia’s largest industrial facilities </w:t>
            </w:r>
            <w:r w:rsidRPr="00DA77C2">
              <w:rPr>
                <w:color w:val="000000"/>
              </w:rPr>
              <w:t>(DCCEEW</w:t>
            </w:r>
            <w:r w:rsidRPr="00B445B2">
              <w:rPr>
                <w:color w:val="000000"/>
              </w:rPr>
              <w:t xml:space="preserve"> 2026c)</w:t>
            </w:r>
            <w:r>
              <w:t xml:space="preserve">. These emissions limits are known as ‘baselines’. Baselines decline over time, driving </w:t>
            </w:r>
            <w:r w:rsidR="00FD26EF">
              <w:t>net</w:t>
            </w:r>
            <w:r>
              <w:t xml:space="preserve"> emissions reductions for these facilities.</w:t>
            </w:r>
          </w:p>
        </w:tc>
      </w:tr>
      <w:tr w:rsidR="00582800" w14:paraId="1CC608F1" w14:textId="77777777" w:rsidTr="007C4DF8">
        <w:tc>
          <w:tcPr>
            <w:cnfStyle w:val="001000000000" w:firstRow="0" w:lastRow="0" w:firstColumn="1" w:lastColumn="0" w:oddVBand="0" w:evenVBand="0" w:oddHBand="0" w:evenHBand="0" w:firstRowFirstColumn="0" w:firstRowLastColumn="0" w:lastRowFirstColumn="0" w:lastRowLastColumn="0"/>
            <w:tcW w:w="1141" w:type="pct"/>
          </w:tcPr>
          <w:p w14:paraId="72852940" w14:textId="2207D875" w:rsidR="00582800" w:rsidRPr="00DA7CB1" w:rsidRDefault="00582800" w:rsidP="00582800">
            <w:pPr>
              <w:spacing w:before="114" w:after="114"/>
              <w:rPr>
                <w:b w:val="0"/>
              </w:rPr>
            </w:pPr>
            <w:r w:rsidRPr="00DA7CB1">
              <w:rPr>
                <w:b w:val="0"/>
                <w:i/>
              </w:rPr>
              <w:t>Australian Carbon Credit Unit (ACCU) Scheme</w:t>
            </w:r>
          </w:p>
        </w:tc>
        <w:tc>
          <w:tcPr>
            <w:tcW w:w="3859" w:type="pct"/>
          </w:tcPr>
          <w:p w14:paraId="798C7734" w14:textId="21BD9A3D" w:rsidR="00582800" w:rsidRDefault="00582800" w:rsidP="00582800">
            <w:pPr>
              <w:spacing w:before="114" w:after="114"/>
              <w:cnfStyle w:val="000000000000" w:firstRow="0" w:lastRow="0" w:firstColumn="0" w:lastColumn="0" w:oddVBand="0" w:evenVBand="0" w:oddHBand="0" w:evenHBand="0" w:firstRowFirstColumn="0" w:firstRowLastColumn="0" w:lastRowFirstColumn="0" w:lastRowLastColumn="0"/>
            </w:pPr>
            <w:r w:rsidRPr="00E96E9B">
              <w:t>The Australian Carbon Credit Unit (ACCU) Scheme supports projects that avoid the release of greenhouse gas emissions or remove and sequester carbon from the atmosphere</w:t>
            </w:r>
            <w:r>
              <w:t xml:space="preserve"> </w:t>
            </w:r>
            <w:r w:rsidRPr="00DA77C2">
              <w:rPr>
                <w:color w:val="000000"/>
              </w:rPr>
              <w:t>(DCCEEW</w:t>
            </w:r>
            <w:r w:rsidRPr="00B445B2">
              <w:rPr>
                <w:color w:val="000000"/>
              </w:rPr>
              <w:t xml:space="preserve"> 2026e)</w:t>
            </w:r>
            <w:r w:rsidRPr="00E96E9B">
              <w:t>.</w:t>
            </w:r>
          </w:p>
        </w:tc>
      </w:tr>
      <w:tr w:rsidR="00582800" w14:paraId="589F3884" w14:textId="77777777" w:rsidTr="007C4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1" w:type="pct"/>
          </w:tcPr>
          <w:p w14:paraId="01D2DB8C" w14:textId="77777777" w:rsidR="00582800" w:rsidRPr="00DA7CB1" w:rsidRDefault="00582800" w:rsidP="00582800">
            <w:pPr>
              <w:spacing w:before="114" w:after="114"/>
              <w:rPr>
                <w:b w:val="0"/>
                <w:i/>
              </w:rPr>
            </w:pPr>
            <w:r w:rsidRPr="00DA7CB1">
              <w:rPr>
                <w:b w:val="0"/>
                <w:i/>
              </w:rPr>
              <w:t>EPBC Act</w:t>
            </w:r>
          </w:p>
          <w:p w14:paraId="022DA570" w14:textId="77777777" w:rsidR="00582800" w:rsidRPr="00DA7CB1" w:rsidRDefault="00582800" w:rsidP="00582800">
            <w:pPr>
              <w:spacing w:before="114" w:after="114"/>
              <w:rPr>
                <w:b w:val="0"/>
              </w:rPr>
            </w:pPr>
          </w:p>
        </w:tc>
        <w:tc>
          <w:tcPr>
            <w:tcW w:w="3859" w:type="pct"/>
          </w:tcPr>
          <w:p w14:paraId="2C306BAB" w14:textId="768C10B9" w:rsidR="00582800" w:rsidRDefault="00582800" w:rsidP="00582800">
            <w:pPr>
              <w:spacing w:before="114" w:after="114"/>
              <w:cnfStyle w:val="000000100000" w:firstRow="0" w:lastRow="0" w:firstColumn="0" w:lastColumn="0" w:oddVBand="0" w:evenVBand="0" w:oddHBand="1" w:evenHBand="0" w:firstRowFirstColumn="0" w:firstRowLastColumn="0" w:lastRowFirstColumn="0" w:lastRowLastColumn="0"/>
            </w:pPr>
            <w:r w:rsidRPr="00AB658E">
              <w:t xml:space="preserve">The </w:t>
            </w:r>
            <w:r w:rsidRPr="007045E1">
              <w:rPr>
                <w:i/>
                <w:iCs/>
              </w:rPr>
              <w:t>Environment Protection and Biodiversity Conservation Act 1999</w:t>
            </w:r>
            <w:r w:rsidRPr="00AB658E">
              <w:t xml:space="preserve"> (EPBC Act)</w:t>
            </w:r>
            <w:r>
              <w:t xml:space="preserve"> is Australia’s primary environmental legislation. The Act aims to ensure actions on Commonwealth land do not cause significant impacts to ‘protected matters’ </w:t>
            </w:r>
            <w:r w:rsidRPr="00DA77C2">
              <w:rPr>
                <w:color w:val="000000"/>
              </w:rPr>
              <w:t>(DCCEEW</w:t>
            </w:r>
            <w:r w:rsidRPr="00B445B2">
              <w:rPr>
                <w:color w:val="000000"/>
              </w:rPr>
              <w:t xml:space="preserve"> 2026f)</w:t>
            </w:r>
            <w:r>
              <w:t>.</w:t>
            </w:r>
          </w:p>
        </w:tc>
      </w:tr>
      <w:tr w:rsidR="00582800" w14:paraId="13E97D1E" w14:textId="77777777" w:rsidTr="007C4DF8">
        <w:tc>
          <w:tcPr>
            <w:cnfStyle w:val="001000000000" w:firstRow="0" w:lastRow="0" w:firstColumn="1" w:lastColumn="0" w:oddVBand="0" w:evenVBand="0" w:oddHBand="0" w:evenHBand="0" w:firstRowFirstColumn="0" w:firstRowLastColumn="0" w:lastRowFirstColumn="0" w:lastRowLastColumn="0"/>
            <w:tcW w:w="1141" w:type="pct"/>
          </w:tcPr>
          <w:p w14:paraId="6F48160A" w14:textId="6E070B68" w:rsidR="00582800" w:rsidRPr="00DA7CB1" w:rsidRDefault="00582800" w:rsidP="00582800">
            <w:pPr>
              <w:spacing w:before="114" w:after="114"/>
              <w:rPr>
                <w:b w:val="0"/>
                <w:i/>
              </w:rPr>
            </w:pPr>
            <w:r w:rsidRPr="00065518">
              <w:rPr>
                <w:b w:val="0"/>
                <w:i/>
              </w:rPr>
              <w:t>OPGGSA Act</w:t>
            </w:r>
          </w:p>
        </w:tc>
        <w:tc>
          <w:tcPr>
            <w:tcW w:w="3859" w:type="pct"/>
          </w:tcPr>
          <w:p w14:paraId="3B8261AA" w14:textId="5C185F60" w:rsidR="00582800" w:rsidRPr="00AB658E" w:rsidRDefault="00582800" w:rsidP="00582800">
            <w:pPr>
              <w:spacing w:before="114" w:after="114"/>
              <w:cnfStyle w:val="000000000000" w:firstRow="0" w:lastRow="0" w:firstColumn="0" w:lastColumn="0" w:oddVBand="0" w:evenVBand="0" w:oddHBand="0" w:evenHBand="0" w:firstRowFirstColumn="0" w:firstRowLastColumn="0" w:lastRowFirstColumn="0" w:lastRowLastColumn="0"/>
            </w:pPr>
            <w:r w:rsidRPr="00F44E11">
              <w:t xml:space="preserve">Offshore petroleum activities in Commonwealth waters must be undertaken in accordance with the </w:t>
            </w:r>
            <w:r w:rsidRPr="004977BB">
              <w:rPr>
                <w:i/>
              </w:rPr>
              <w:t>Offshore Petroleum and Greenhouse Gas Storage Act 2006</w:t>
            </w:r>
            <w:r w:rsidRPr="00F44E11">
              <w:t xml:space="preserve"> (OPGGS</w:t>
            </w:r>
            <w:r>
              <w:t>A</w:t>
            </w:r>
            <w:r w:rsidRPr="00F44E11">
              <w:t xml:space="preserve"> Act) and associated regulations including the Offshore Petroleum and Greenhouse Gas Storage (Environment) Regulations 2023</w:t>
            </w:r>
            <w:r>
              <w:t xml:space="preserve"> </w:t>
            </w:r>
            <w:r w:rsidRPr="00DA77C2">
              <w:rPr>
                <w:color w:val="000000"/>
              </w:rPr>
              <w:t>(</w:t>
            </w:r>
            <w:r w:rsidR="006C706B">
              <w:rPr>
                <w:color w:val="000000"/>
              </w:rPr>
              <w:t>DCCEEW 2023</w:t>
            </w:r>
            <w:r w:rsidRPr="00B445B2">
              <w:rPr>
                <w:color w:val="000000"/>
              </w:rPr>
              <w:t>)</w:t>
            </w:r>
            <w:r>
              <w:rPr>
                <w:color w:val="000000"/>
              </w:rPr>
              <w:t>.</w:t>
            </w:r>
            <w:r w:rsidRPr="00F44E11">
              <w:t xml:space="preserve"> In order to meet these regulations, offshore petroleum activities must be consistent with the principles of ecologically sustainable development, and have an acceptable level of environmental impact and risk that is reduced to acceptable and as low as reasonably practicable.</w:t>
            </w:r>
          </w:p>
        </w:tc>
      </w:tr>
      <w:tr w:rsidR="00582800" w14:paraId="334E21F2" w14:textId="77777777" w:rsidTr="007C4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1" w:type="pct"/>
          </w:tcPr>
          <w:p w14:paraId="7F71B0E0" w14:textId="54994AE0" w:rsidR="00582800" w:rsidRPr="00DA7CB1" w:rsidRDefault="00582800" w:rsidP="00582800">
            <w:pPr>
              <w:spacing w:before="114" w:after="114"/>
              <w:rPr>
                <w:b w:val="0"/>
                <w:i/>
              </w:rPr>
            </w:pPr>
            <w:r w:rsidRPr="00DA7CB1">
              <w:rPr>
                <w:b w:val="0"/>
                <w:i/>
              </w:rPr>
              <w:t>Net Zero Plan and Resources Sector Plan</w:t>
            </w:r>
          </w:p>
        </w:tc>
        <w:tc>
          <w:tcPr>
            <w:tcW w:w="3859" w:type="pct"/>
          </w:tcPr>
          <w:p w14:paraId="479B7E6E" w14:textId="4864ED1B" w:rsidR="00582800" w:rsidRPr="00AB658E" w:rsidRDefault="00582800" w:rsidP="00582800">
            <w:pPr>
              <w:spacing w:before="114" w:after="114"/>
              <w:cnfStyle w:val="000000100000" w:firstRow="0" w:lastRow="0" w:firstColumn="0" w:lastColumn="0" w:oddVBand="0" w:evenVBand="0" w:oddHBand="1" w:evenHBand="0" w:firstRowFirstColumn="0" w:firstRowLastColumn="0" w:lastRowFirstColumn="0" w:lastRowLastColumn="0"/>
            </w:pPr>
            <w:r>
              <w:t xml:space="preserve">The Net Zero Plan describes Australia’s clean energy transition and relevant policies to achieving net zero </w:t>
            </w:r>
            <w:r w:rsidRPr="00DA77C2">
              <w:rPr>
                <w:color w:val="000000"/>
              </w:rPr>
              <w:t>(DCCEEW</w:t>
            </w:r>
            <w:r w:rsidRPr="00B445B2">
              <w:rPr>
                <w:color w:val="000000"/>
              </w:rPr>
              <w:t xml:space="preserve"> 2025c)</w:t>
            </w:r>
            <w:r>
              <w:t xml:space="preserve">. The Resources Sector Plan covers how the resources sector will transition to a net zero economy </w:t>
            </w:r>
            <w:r w:rsidRPr="00DA77C2">
              <w:rPr>
                <w:color w:val="000000"/>
              </w:rPr>
              <w:t xml:space="preserve">(DISR </w:t>
            </w:r>
            <w:r w:rsidR="001736DB">
              <w:rPr>
                <w:color w:val="000000"/>
              </w:rPr>
              <w:t>2025b</w:t>
            </w:r>
            <w:r w:rsidRPr="00B445B2">
              <w:rPr>
                <w:color w:val="000000"/>
              </w:rPr>
              <w:t>)</w:t>
            </w:r>
            <w:r>
              <w:t>.</w:t>
            </w:r>
          </w:p>
        </w:tc>
      </w:tr>
      <w:tr w:rsidR="003D2943" w14:paraId="70D49F3A" w14:textId="77777777" w:rsidTr="007C4DF8">
        <w:tc>
          <w:tcPr>
            <w:cnfStyle w:val="001000000000" w:firstRow="0" w:lastRow="0" w:firstColumn="1" w:lastColumn="0" w:oddVBand="0" w:evenVBand="0" w:oddHBand="0" w:evenHBand="0" w:firstRowFirstColumn="0" w:firstRowLastColumn="0" w:lastRowFirstColumn="0" w:lastRowLastColumn="0"/>
            <w:tcW w:w="1141" w:type="pct"/>
          </w:tcPr>
          <w:p w14:paraId="57790E8A" w14:textId="77777777" w:rsidR="003D2943" w:rsidRPr="00DA7CB1" w:rsidRDefault="003D2943" w:rsidP="0058776B">
            <w:pPr>
              <w:spacing w:before="114" w:after="114"/>
              <w:rPr>
                <w:b w:val="0"/>
                <w:i/>
              </w:rPr>
            </w:pPr>
            <w:r w:rsidRPr="00DA7CB1">
              <w:rPr>
                <w:b w:val="0"/>
                <w:i/>
              </w:rPr>
              <w:t>Future Gas Strategy</w:t>
            </w:r>
          </w:p>
        </w:tc>
        <w:tc>
          <w:tcPr>
            <w:tcW w:w="3859" w:type="pct"/>
          </w:tcPr>
          <w:p w14:paraId="5A2FA4DD" w14:textId="2359E13C" w:rsidR="003D2943" w:rsidRPr="00AB658E" w:rsidRDefault="003D2943" w:rsidP="0058776B">
            <w:pPr>
              <w:spacing w:before="114" w:after="114"/>
              <w:cnfStyle w:val="000000000000" w:firstRow="0" w:lastRow="0" w:firstColumn="0" w:lastColumn="0" w:oddVBand="0" w:evenVBand="0" w:oddHBand="0" w:evenHBand="0" w:firstRowFirstColumn="0" w:firstRowLastColumn="0" w:lastRowFirstColumn="0" w:lastRowLastColumn="0"/>
            </w:pPr>
            <w:r>
              <w:t>T</w:t>
            </w:r>
            <w:r w:rsidRPr="002B57E3">
              <w:t xml:space="preserve">he Future Gas Strategy </w:t>
            </w:r>
            <w:r>
              <w:t>describes the</w:t>
            </w:r>
            <w:r w:rsidRPr="002B57E3">
              <w:t xml:space="preserve"> </w:t>
            </w:r>
            <w:r>
              <w:t>g</w:t>
            </w:r>
            <w:r w:rsidRPr="002B57E3">
              <w:t xml:space="preserve">overnment’s </w:t>
            </w:r>
            <w:r>
              <w:t xml:space="preserve">policies relating to natural </w:t>
            </w:r>
            <w:r w:rsidRPr="002B57E3">
              <w:t>gas</w:t>
            </w:r>
            <w:r>
              <w:t>, and the</w:t>
            </w:r>
            <w:r w:rsidRPr="002B57E3">
              <w:t xml:space="preserve"> </w:t>
            </w:r>
            <w:r>
              <w:t xml:space="preserve">role of gas in Australia’s economy in coming years </w:t>
            </w:r>
            <w:r w:rsidR="00D16553">
              <w:t>(DISR 2024b)</w:t>
            </w:r>
            <w:r w:rsidRPr="002B57E3">
              <w:t>.</w:t>
            </w:r>
          </w:p>
        </w:tc>
      </w:tr>
    </w:tbl>
    <w:p w14:paraId="5C2DAC31" w14:textId="77777777" w:rsidR="003D2943" w:rsidRPr="005C366A" w:rsidRDefault="003D2943" w:rsidP="003D2943">
      <w:pPr>
        <w:pStyle w:val="L3SectionHeading"/>
      </w:pPr>
      <w:bookmarkStart w:id="100" w:name="_Toc227942682"/>
      <w:r>
        <w:lastRenderedPageBreak/>
        <w:t>State and territory policies</w:t>
      </w:r>
      <w:bookmarkEnd w:id="100"/>
    </w:p>
    <w:tbl>
      <w:tblPr>
        <w:tblStyle w:val="ListTable3-Accent1"/>
        <w:tblW w:w="5000" w:type="pct"/>
        <w:tblLook w:val="04A0" w:firstRow="1" w:lastRow="0" w:firstColumn="1" w:lastColumn="0" w:noHBand="0" w:noVBand="1"/>
      </w:tblPr>
      <w:tblGrid>
        <w:gridCol w:w="988"/>
        <w:gridCol w:w="3019"/>
        <w:gridCol w:w="6075"/>
      </w:tblGrid>
      <w:tr w:rsidR="003D2943" w:rsidRPr="004A0E83" w14:paraId="4F5AF620" w14:textId="77777777" w:rsidTr="007C4DF8">
        <w:trPr>
          <w:cnfStyle w:val="100000000000" w:firstRow="1" w:lastRow="0" w:firstColumn="0" w:lastColumn="0" w:oddVBand="0" w:evenVBand="0" w:oddHBand="0" w:evenHBand="0" w:firstRowFirstColumn="0" w:firstRowLastColumn="0" w:lastRowFirstColumn="0" w:lastRowLastColumn="0"/>
          <w:trHeight w:val="367"/>
          <w:tblHeader/>
        </w:trPr>
        <w:tc>
          <w:tcPr>
            <w:cnfStyle w:val="001000000100" w:firstRow="0" w:lastRow="0" w:firstColumn="1" w:lastColumn="0" w:oddVBand="0" w:evenVBand="0" w:oddHBand="0" w:evenHBand="0" w:firstRowFirstColumn="1" w:firstRowLastColumn="0" w:lastRowFirstColumn="0" w:lastRowLastColumn="0"/>
            <w:tcW w:w="482" w:type="pct"/>
            <w:hideMark/>
          </w:tcPr>
          <w:p w14:paraId="5F33BBCD" w14:textId="77777777" w:rsidR="003D2943" w:rsidRPr="004C1166" w:rsidRDefault="003D2943" w:rsidP="0058776B">
            <w:pPr>
              <w:spacing w:before="114" w:after="114"/>
              <w:rPr>
                <w:color w:val="FFFFFF" w:themeColor="background1"/>
                <w:lang w:val="en-US"/>
              </w:rPr>
            </w:pPr>
            <w:r w:rsidRPr="004C1166">
              <w:rPr>
                <w:color w:val="FFFFFF" w:themeColor="background1"/>
                <w:lang w:val="en-US"/>
              </w:rPr>
              <w:t>State </w:t>
            </w:r>
          </w:p>
        </w:tc>
        <w:tc>
          <w:tcPr>
            <w:tcW w:w="1501" w:type="pct"/>
            <w:hideMark/>
          </w:tcPr>
          <w:p w14:paraId="5EB885CE" w14:textId="77777777" w:rsidR="003D2943" w:rsidRPr="004C1166" w:rsidRDefault="003D2943" w:rsidP="0058776B">
            <w:pPr>
              <w:spacing w:before="114" w:after="114"/>
              <w:cnfStyle w:val="100000000000" w:firstRow="1" w:lastRow="0" w:firstColumn="0" w:lastColumn="0" w:oddVBand="0" w:evenVBand="0" w:oddHBand="0" w:evenHBand="0" w:firstRowFirstColumn="0" w:firstRowLastColumn="0" w:lastRowFirstColumn="0" w:lastRowLastColumn="0"/>
              <w:rPr>
                <w:color w:val="FFFFFF" w:themeColor="background1"/>
                <w:lang w:val="en-US"/>
              </w:rPr>
            </w:pPr>
            <w:r w:rsidRPr="004C1166">
              <w:rPr>
                <w:color w:val="FFFFFF" w:themeColor="background1"/>
              </w:rPr>
              <w:t>Policy</w:t>
            </w:r>
            <w:r w:rsidRPr="004C1166">
              <w:rPr>
                <w:color w:val="FFFFFF" w:themeColor="background1"/>
                <w:lang w:val="en-US"/>
              </w:rPr>
              <w:t> </w:t>
            </w:r>
          </w:p>
        </w:tc>
        <w:tc>
          <w:tcPr>
            <w:tcW w:w="3017" w:type="pct"/>
            <w:hideMark/>
          </w:tcPr>
          <w:p w14:paraId="67F223F9" w14:textId="77777777" w:rsidR="003D2943" w:rsidRPr="004C1166" w:rsidRDefault="003D2943" w:rsidP="0058776B">
            <w:pPr>
              <w:spacing w:before="114" w:after="114"/>
              <w:cnfStyle w:val="100000000000" w:firstRow="1" w:lastRow="0" w:firstColumn="0" w:lastColumn="0" w:oddVBand="0" w:evenVBand="0" w:oddHBand="0" w:evenHBand="0" w:firstRowFirstColumn="0" w:firstRowLastColumn="0" w:lastRowFirstColumn="0" w:lastRowLastColumn="0"/>
              <w:rPr>
                <w:color w:val="FFFFFF" w:themeColor="background1"/>
                <w:lang w:val="en-US"/>
              </w:rPr>
            </w:pPr>
            <w:r w:rsidRPr="004C1166">
              <w:rPr>
                <w:color w:val="FFFFFF" w:themeColor="background1"/>
              </w:rPr>
              <w:t>Description</w:t>
            </w:r>
            <w:r w:rsidRPr="004C1166">
              <w:rPr>
                <w:color w:val="FFFFFF" w:themeColor="background1"/>
                <w:lang w:val="en-US"/>
              </w:rPr>
              <w:t> </w:t>
            </w:r>
          </w:p>
        </w:tc>
      </w:tr>
      <w:tr w:rsidR="00DB779D" w:rsidRPr="004A0E83" w14:paraId="0CED6A40" w14:textId="77777777" w:rsidTr="007C4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 w:type="pct"/>
            <w:hideMark/>
          </w:tcPr>
          <w:p w14:paraId="6FA10E53" w14:textId="3025FD05" w:rsidR="00DB779D" w:rsidRPr="004A0E83" w:rsidRDefault="00DB779D" w:rsidP="00DB779D">
            <w:pPr>
              <w:spacing w:before="114" w:after="114"/>
              <w:rPr>
                <w:lang w:val="en-US"/>
              </w:rPr>
            </w:pPr>
            <w:r w:rsidRPr="004A0E83">
              <w:t>NSW</w:t>
            </w:r>
            <w:r w:rsidRPr="004A0E83">
              <w:rPr>
                <w:lang w:val="en-US"/>
              </w:rPr>
              <w:t> </w:t>
            </w:r>
          </w:p>
        </w:tc>
        <w:tc>
          <w:tcPr>
            <w:tcW w:w="1501" w:type="pct"/>
            <w:hideMark/>
          </w:tcPr>
          <w:p w14:paraId="397A1A87" w14:textId="0FAB813E" w:rsidR="00DB779D" w:rsidRPr="004A0E83" w:rsidRDefault="00DB779D" w:rsidP="00DB779D">
            <w:pPr>
              <w:spacing w:before="114" w:after="114"/>
              <w:cnfStyle w:val="000000100000" w:firstRow="0" w:lastRow="0" w:firstColumn="0" w:lastColumn="0" w:oddVBand="0" w:evenVBand="0" w:oddHBand="1" w:evenHBand="0" w:firstRowFirstColumn="0" w:firstRowLastColumn="0" w:lastRowFirstColumn="0" w:lastRowLastColumn="0"/>
              <w:rPr>
                <w:lang w:val="en-US"/>
              </w:rPr>
            </w:pPr>
            <w:r w:rsidRPr="004A0E83">
              <w:rPr>
                <w:i/>
                <w:iCs/>
              </w:rPr>
              <w:t xml:space="preserve">Environmental Planning and Assessment Act 1979 </w:t>
            </w:r>
            <w:r w:rsidRPr="004977BB">
              <w:t>(</w:t>
            </w:r>
            <w:r>
              <w:t>NSW</w:t>
            </w:r>
            <w:r w:rsidRPr="004977BB">
              <w:t>)</w:t>
            </w:r>
            <w:r w:rsidRPr="00A44644">
              <w:t xml:space="preserve"> </w:t>
            </w:r>
            <w:r>
              <w:t>No 203</w:t>
            </w:r>
            <w:r w:rsidRPr="004A0E83">
              <w:rPr>
                <w:lang w:val="en-US"/>
              </w:rPr>
              <w:t> </w:t>
            </w:r>
          </w:p>
        </w:tc>
        <w:tc>
          <w:tcPr>
            <w:tcW w:w="3017" w:type="pct"/>
            <w:hideMark/>
          </w:tcPr>
          <w:p w14:paraId="1C589233" w14:textId="5BE1BAC8" w:rsidR="00DB779D" w:rsidRPr="004A0E83" w:rsidRDefault="00DB779D" w:rsidP="00DB779D">
            <w:pPr>
              <w:spacing w:before="114" w:after="114"/>
              <w:cnfStyle w:val="000000100000" w:firstRow="0" w:lastRow="0" w:firstColumn="0" w:lastColumn="0" w:oddVBand="0" w:evenVBand="0" w:oddHBand="1" w:evenHBand="0" w:firstRowFirstColumn="0" w:firstRowLastColumn="0" w:lastRowFirstColumn="0" w:lastRowLastColumn="0"/>
              <w:rPr>
                <w:lang w:val="en-US"/>
              </w:rPr>
            </w:pPr>
            <w:r w:rsidRPr="004A0E83">
              <w:t xml:space="preserve">Coal mining can only be undertaken in NSW after a development consent is obtained. These are granted under the </w:t>
            </w:r>
            <w:r w:rsidRPr="004A0E83">
              <w:rPr>
                <w:i/>
                <w:iCs/>
              </w:rPr>
              <w:t xml:space="preserve">Environmental Planning and Assessment Act 1979 </w:t>
            </w:r>
            <w:r w:rsidRPr="004977BB">
              <w:t>(</w:t>
            </w:r>
            <w:r>
              <w:t>NSW</w:t>
            </w:r>
            <w:r w:rsidRPr="004977BB">
              <w:t>)</w:t>
            </w:r>
            <w:r w:rsidRPr="00A44644">
              <w:t xml:space="preserve"> </w:t>
            </w:r>
            <w:r>
              <w:t>No 203</w:t>
            </w:r>
            <w:r w:rsidRPr="004A0E83">
              <w:t xml:space="preserve"> and are subject to an environmental impact assessment. Air Quality and Greenhouse Gas Management Plans or Greenhouse Gas Mitigation Plans are approved under these consents</w:t>
            </w:r>
            <w:r>
              <w:t xml:space="preserve"> </w:t>
            </w:r>
            <w:r w:rsidRPr="00B445B2">
              <w:rPr>
                <w:color w:val="000000"/>
              </w:rPr>
              <w:t xml:space="preserve">(NSW Government </w:t>
            </w:r>
            <w:r w:rsidR="0011171F">
              <w:rPr>
                <w:color w:val="000000"/>
              </w:rPr>
              <w:t>1979</w:t>
            </w:r>
            <w:r w:rsidRPr="00B445B2">
              <w:rPr>
                <w:color w:val="000000"/>
              </w:rPr>
              <w:t>; NSW Net Zero Commission 2025)</w:t>
            </w:r>
            <w:r w:rsidRPr="004A0E83">
              <w:t>.</w:t>
            </w:r>
            <w:r w:rsidRPr="004A0E83">
              <w:rPr>
                <w:lang w:val="en-US"/>
              </w:rPr>
              <w:t> </w:t>
            </w:r>
          </w:p>
        </w:tc>
      </w:tr>
      <w:tr w:rsidR="00DB779D" w:rsidRPr="004A0E83" w14:paraId="624C431A" w14:textId="77777777" w:rsidTr="007C4DF8">
        <w:tc>
          <w:tcPr>
            <w:cnfStyle w:val="001000000000" w:firstRow="0" w:lastRow="0" w:firstColumn="1" w:lastColumn="0" w:oddVBand="0" w:evenVBand="0" w:oddHBand="0" w:evenHBand="0" w:firstRowFirstColumn="0" w:firstRowLastColumn="0" w:lastRowFirstColumn="0" w:lastRowLastColumn="0"/>
            <w:tcW w:w="482" w:type="pct"/>
            <w:hideMark/>
          </w:tcPr>
          <w:p w14:paraId="0B11C3D0" w14:textId="55E30AB6" w:rsidR="00DB779D" w:rsidRPr="004A0E83" w:rsidRDefault="00DB779D" w:rsidP="00DB779D">
            <w:pPr>
              <w:spacing w:before="114" w:after="114"/>
              <w:rPr>
                <w:lang w:val="en-US"/>
              </w:rPr>
            </w:pPr>
            <w:r w:rsidRPr="004A0E83">
              <w:rPr>
                <w:lang w:val="en-US"/>
              </w:rPr>
              <w:t> </w:t>
            </w:r>
          </w:p>
        </w:tc>
        <w:tc>
          <w:tcPr>
            <w:tcW w:w="1501" w:type="pct"/>
            <w:hideMark/>
          </w:tcPr>
          <w:p w14:paraId="4391BCA2" w14:textId="70CA2842" w:rsidR="00DB779D" w:rsidRPr="004A0E83" w:rsidRDefault="00DB779D" w:rsidP="00DB779D">
            <w:pPr>
              <w:spacing w:before="114" w:after="114"/>
              <w:cnfStyle w:val="000000000000" w:firstRow="0" w:lastRow="0" w:firstColumn="0" w:lastColumn="0" w:oddVBand="0" w:evenVBand="0" w:oddHBand="0" w:evenHBand="0" w:firstRowFirstColumn="0" w:firstRowLastColumn="0" w:lastRowFirstColumn="0" w:lastRowLastColumn="0"/>
              <w:rPr>
                <w:lang w:val="en-US"/>
              </w:rPr>
            </w:pPr>
            <w:r w:rsidRPr="004A0E83">
              <w:rPr>
                <w:i/>
                <w:iCs/>
              </w:rPr>
              <w:t xml:space="preserve">Protection of the Environment Operations Act 1997 </w:t>
            </w:r>
            <w:r w:rsidRPr="004977BB">
              <w:t>(</w:t>
            </w:r>
            <w:r>
              <w:t>NSW</w:t>
            </w:r>
            <w:r w:rsidRPr="004977BB">
              <w:t>)</w:t>
            </w:r>
            <w:r>
              <w:t xml:space="preserve"> No 156</w:t>
            </w:r>
          </w:p>
        </w:tc>
        <w:tc>
          <w:tcPr>
            <w:tcW w:w="3017" w:type="pct"/>
            <w:hideMark/>
          </w:tcPr>
          <w:p w14:paraId="48FE63EC" w14:textId="7F474054" w:rsidR="00DB779D" w:rsidRPr="004A0E83" w:rsidRDefault="00DB779D" w:rsidP="00DB779D">
            <w:pPr>
              <w:spacing w:before="114" w:after="114"/>
              <w:cnfStyle w:val="000000000000" w:firstRow="0" w:lastRow="0" w:firstColumn="0" w:lastColumn="0" w:oddVBand="0" w:evenVBand="0" w:oddHBand="0" w:evenHBand="0" w:firstRowFirstColumn="0" w:firstRowLastColumn="0" w:lastRowFirstColumn="0" w:lastRowLastColumn="0"/>
              <w:rPr>
                <w:lang w:val="en-US"/>
              </w:rPr>
            </w:pPr>
            <w:r w:rsidRPr="004A0E83">
              <w:t xml:space="preserve">The NSW EPA issues environment protection licences under the </w:t>
            </w:r>
            <w:r w:rsidRPr="004A0E83">
              <w:rPr>
                <w:i/>
                <w:iCs/>
              </w:rPr>
              <w:t>Protection of the Environment Operations</w:t>
            </w:r>
            <w:r w:rsidRPr="004A0E83">
              <w:rPr>
                <w:i/>
              </w:rPr>
              <w:t xml:space="preserve"> Act </w:t>
            </w:r>
            <w:r w:rsidRPr="004A0E83">
              <w:rPr>
                <w:i/>
                <w:iCs/>
              </w:rPr>
              <w:t xml:space="preserve">1997 </w:t>
            </w:r>
            <w:r w:rsidRPr="004977BB">
              <w:t>(</w:t>
            </w:r>
            <w:r>
              <w:t>NSW</w:t>
            </w:r>
            <w:r w:rsidRPr="004977BB">
              <w:t>)</w:t>
            </w:r>
            <w:r>
              <w:t xml:space="preserve"> No 156 </w:t>
            </w:r>
            <w:r w:rsidRPr="00B445B2">
              <w:rPr>
                <w:color w:val="000000"/>
              </w:rPr>
              <w:t>(NSW Net Zero Commission 2025; NSW Government 1997)</w:t>
            </w:r>
            <w:r w:rsidRPr="004A0E83">
              <w:t xml:space="preserve"> </w:t>
            </w:r>
            <w:r>
              <w:t>The EPA regulates ongoing mine operations through these licenses.</w:t>
            </w:r>
          </w:p>
        </w:tc>
      </w:tr>
      <w:tr w:rsidR="00DB779D" w:rsidRPr="004A0E83" w14:paraId="0349FCD2" w14:textId="77777777" w:rsidTr="007C4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 w:type="pct"/>
            <w:hideMark/>
          </w:tcPr>
          <w:p w14:paraId="22B72BA4" w14:textId="0A3F3347" w:rsidR="00DB779D" w:rsidRPr="004A0E83" w:rsidRDefault="00DB779D" w:rsidP="00DB779D">
            <w:pPr>
              <w:spacing w:before="114" w:after="114"/>
              <w:rPr>
                <w:lang w:val="en-US"/>
              </w:rPr>
            </w:pPr>
            <w:r w:rsidRPr="004A0E83">
              <w:rPr>
                <w:lang w:val="en-US"/>
              </w:rPr>
              <w:t> </w:t>
            </w:r>
          </w:p>
        </w:tc>
        <w:tc>
          <w:tcPr>
            <w:tcW w:w="1501" w:type="pct"/>
            <w:hideMark/>
          </w:tcPr>
          <w:p w14:paraId="6811FB55" w14:textId="2E0928FA" w:rsidR="00DB779D" w:rsidRPr="004A0E83" w:rsidRDefault="00DB779D" w:rsidP="00DB779D">
            <w:pPr>
              <w:spacing w:before="114" w:after="114"/>
              <w:cnfStyle w:val="000000100000" w:firstRow="0" w:lastRow="0" w:firstColumn="0" w:lastColumn="0" w:oddVBand="0" w:evenVBand="0" w:oddHBand="1" w:evenHBand="0" w:firstRowFirstColumn="0" w:firstRowLastColumn="0" w:lastRowFirstColumn="0" w:lastRowLastColumn="0"/>
            </w:pPr>
            <w:r w:rsidRPr="008C3A07">
              <w:rPr>
                <w:i/>
                <w:iCs/>
              </w:rPr>
              <w:t>Climate Change Action Plan 2023–26</w:t>
            </w:r>
            <w:r>
              <w:t xml:space="preserve"> - new climate change requirements for licensees under the NSW EPA</w:t>
            </w:r>
            <w:r w:rsidRPr="004A0E83">
              <w:t> </w:t>
            </w:r>
          </w:p>
        </w:tc>
        <w:tc>
          <w:tcPr>
            <w:tcW w:w="3017" w:type="pct"/>
            <w:hideMark/>
          </w:tcPr>
          <w:p w14:paraId="14E3D408" w14:textId="31D7F628" w:rsidR="00DB779D" w:rsidRPr="00A2207F" w:rsidRDefault="00DB779D" w:rsidP="00DB779D">
            <w:pPr>
              <w:spacing w:before="114" w:after="114"/>
              <w:cnfStyle w:val="000000100000" w:firstRow="0" w:lastRow="0" w:firstColumn="0" w:lastColumn="0" w:oddVBand="0" w:evenVBand="0" w:oddHBand="1" w:evenHBand="0" w:firstRowFirstColumn="0" w:firstRowLastColumn="0" w:lastRowFirstColumn="0" w:lastRowLastColumn="0"/>
            </w:pPr>
            <w:r>
              <w:t>In 2026, the NSW government introduced ne</w:t>
            </w:r>
            <w:r w:rsidRPr="005F213F">
              <w:t xml:space="preserve">w rules </w:t>
            </w:r>
            <w:r>
              <w:t>to</w:t>
            </w:r>
            <w:r w:rsidRPr="005F213F">
              <w:t xml:space="preserve"> require major coal mines in NSW to directly reduce fossil methane pollution</w:t>
            </w:r>
            <w:r>
              <w:t xml:space="preserve"> </w:t>
            </w:r>
            <w:r w:rsidRPr="00B445B2">
              <w:rPr>
                <w:color w:val="000000"/>
              </w:rPr>
              <w:t>(NSW EPA 2026b)</w:t>
            </w:r>
            <w:r>
              <w:t xml:space="preserve">. </w:t>
            </w:r>
            <w:r w:rsidRPr="00A2207F">
              <w:t xml:space="preserve">These requirements deliver on commitments in the EPA’s </w:t>
            </w:r>
            <w:r w:rsidRPr="004977BB">
              <w:rPr>
                <w:i/>
              </w:rPr>
              <w:t>Climate Change Action Plan 2023–26</w:t>
            </w:r>
            <w:r w:rsidRPr="00A2207F">
              <w:t>.</w:t>
            </w:r>
            <w:r>
              <w:t xml:space="preserve"> They apply to environment protection licensees under the </w:t>
            </w:r>
            <w:r w:rsidRPr="00814B73">
              <w:t>POEO Act</w:t>
            </w:r>
            <w:r w:rsidRPr="00EF1620">
              <w:rPr>
                <w:i/>
                <w:iCs/>
              </w:rPr>
              <w:t>.</w:t>
            </w:r>
            <w:r>
              <w:rPr>
                <w:i/>
                <w:iCs/>
              </w:rPr>
              <w:t xml:space="preserve"> </w:t>
            </w:r>
            <w:r w:rsidRPr="00D67615">
              <w:t>The requirements will be phased in from 2027</w:t>
            </w:r>
            <w:r>
              <w:t xml:space="preserve"> </w:t>
            </w:r>
            <w:r w:rsidRPr="00B445B2">
              <w:rPr>
                <w:color w:val="000000"/>
              </w:rPr>
              <w:t>(NSW EPA 2026a)</w:t>
            </w:r>
            <w:r w:rsidRPr="00D67615">
              <w:t>.</w:t>
            </w:r>
          </w:p>
        </w:tc>
      </w:tr>
      <w:tr w:rsidR="00DB779D" w:rsidRPr="004A0E83" w14:paraId="1C3B83C7" w14:textId="77777777" w:rsidTr="007C4DF8">
        <w:tc>
          <w:tcPr>
            <w:cnfStyle w:val="001000000000" w:firstRow="0" w:lastRow="0" w:firstColumn="1" w:lastColumn="0" w:oddVBand="0" w:evenVBand="0" w:oddHBand="0" w:evenHBand="0" w:firstRowFirstColumn="0" w:firstRowLastColumn="0" w:lastRowFirstColumn="0" w:lastRowLastColumn="0"/>
            <w:tcW w:w="482" w:type="pct"/>
          </w:tcPr>
          <w:p w14:paraId="4874A376" w14:textId="77777777" w:rsidR="00DB779D" w:rsidRPr="004A0E83" w:rsidRDefault="00DB779D" w:rsidP="00DB779D">
            <w:pPr>
              <w:spacing w:before="114" w:after="114"/>
              <w:rPr>
                <w:lang w:val="en-US"/>
              </w:rPr>
            </w:pPr>
          </w:p>
        </w:tc>
        <w:tc>
          <w:tcPr>
            <w:tcW w:w="1501" w:type="pct"/>
          </w:tcPr>
          <w:p w14:paraId="3DAFAEED" w14:textId="5934B790" w:rsidR="00DB779D" w:rsidRPr="008C3A07" w:rsidRDefault="00DB779D" w:rsidP="00DB779D">
            <w:pPr>
              <w:spacing w:before="114" w:after="114"/>
              <w:cnfStyle w:val="000000000000" w:firstRow="0" w:lastRow="0" w:firstColumn="0" w:lastColumn="0" w:oddVBand="0" w:evenVBand="0" w:oddHBand="0" w:evenHBand="0" w:firstRowFirstColumn="0" w:firstRowLastColumn="0" w:lastRowFirstColumn="0" w:lastRowLastColumn="0"/>
              <w:rPr>
                <w:i/>
                <w:iCs/>
              </w:rPr>
            </w:pPr>
            <w:r w:rsidRPr="0076639A">
              <w:rPr>
                <w:i/>
                <w:iCs/>
              </w:rPr>
              <w:t>Coal Industry 2026–50</w:t>
            </w:r>
          </w:p>
        </w:tc>
        <w:tc>
          <w:tcPr>
            <w:tcW w:w="3017" w:type="pct"/>
          </w:tcPr>
          <w:p w14:paraId="17D68867" w14:textId="13F0F19D" w:rsidR="00DB779D" w:rsidRDefault="00DB779D" w:rsidP="00DB779D">
            <w:pPr>
              <w:spacing w:before="114" w:after="114"/>
              <w:cnfStyle w:val="000000000000" w:firstRow="0" w:lastRow="0" w:firstColumn="0" w:lastColumn="0" w:oddVBand="0" w:evenVBand="0" w:oddHBand="0" w:evenHBand="0" w:firstRowFirstColumn="0" w:firstRowLastColumn="0" w:lastRowFirstColumn="0" w:lastRowLastColumn="0"/>
            </w:pPr>
            <w:r>
              <w:t xml:space="preserve">This policy states </w:t>
            </w:r>
            <w:r w:rsidRPr="00F0136C">
              <w:t xml:space="preserve">that </w:t>
            </w:r>
            <w:r>
              <w:t>the NSW Government</w:t>
            </w:r>
            <w:r w:rsidRPr="00F0136C">
              <w:t xml:space="preserve"> will not consider proposals for new standalone greenfield coal mines, while applications to extend existing mines may still be considered, subject to environmental and emissions requirements</w:t>
            </w:r>
            <w:r>
              <w:t xml:space="preserve"> </w:t>
            </w:r>
            <w:r w:rsidRPr="00B445B2">
              <w:rPr>
                <w:color w:val="000000"/>
              </w:rPr>
              <w:t>(NSW Government 2026a)</w:t>
            </w:r>
            <w:r w:rsidRPr="00F0136C">
              <w:t>.</w:t>
            </w:r>
          </w:p>
        </w:tc>
      </w:tr>
      <w:tr w:rsidR="00DB779D" w:rsidRPr="004A0E83" w14:paraId="7342EA99" w14:textId="77777777" w:rsidTr="007C4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 w:type="pct"/>
            <w:hideMark/>
          </w:tcPr>
          <w:p w14:paraId="323B3126" w14:textId="35160F30" w:rsidR="00DB779D" w:rsidRPr="004A0E83" w:rsidRDefault="00DB779D" w:rsidP="00DB779D">
            <w:pPr>
              <w:spacing w:before="114" w:after="114"/>
              <w:rPr>
                <w:lang w:val="en-US"/>
              </w:rPr>
            </w:pPr>
            <w:r w:rsidRPr="004A0E83">
              <w:rPr>
                <w:lang w:val="en-US"/>
              </w:rPr>
              <w:t> </w:t>
            </w:r>
          </w:p>
        </w:tc>
        <w:tc>
          <w:tcPr>
            <w:tcW w:w="1501" w:type="pct"/>
            <w:hideMark/>
          </w:tcPr>
          <w:p w14:paraId="23D96010" w14:textId="12BF82F8" w:rsidR="00DB779D" w:rsidRPr="004A0E83" w:rsidRDefault="00DB779D" w:rsidP="00DB779D">
            <w:pPr>
              <w:spacing w:before="114" w:after="114"/>
              <w:cnfStyle w:val="000000100000" w:firstRow="0" w:lastRow="0" w:firstColumn="0" w:lastColumn="0" w:oddVBand="0" w:evenVBand="0" w:oddHBand="1" w:evenHBand="0" w:firstRowFirstColumn="0" w:firstRowLastColumn="0" w:lastRowFirstColumn="0" w:lastRowLastColumn="0"/>
              <w:rPr>
                <w:lang w:val="en-US"/>
              </w:rPr>
            </w:pPr>
            <w:r w:rsidRPr="004A0E83">
              <w:rPr>
                <w:i/>
                <w:iCs/>
              </w:rPr>
              <w:t>Gas Decarbonisation Roadmap (under development)</w:t>
            </w:r>
            <w:r w:rsidRPr="004A0E83">
              <w:rPr>
                <w:lang w:val="en-US"/>
              </w:rPr>
              <w:t> </w:t>
            </w:r>
          </w:p>
        </w:tc>
        <w:tc>
          <w:tcPr>
            <w:tcW w:w="3017" w:type="pct"/>
            <w:hideMark/>
          </w:tcPr>
          <w:p w14:paraId="654716CF" w14:textId="496E304E" w:rsidR="00DB779D" w:rsidRPr="004A0E83" w:rsidRDefault="00DB779D" w:rsidP="00DB779D">
            <w:pPr>
              <w:spacing w:before="114" w:after="114"/>
              <w:cnfStyle w:val="000000100000" w:firstRow="0" w:lastRow="0" w:firstColumn="0" w:lastColumn="0" w:oddVBand="0" w:evenVBand="0" w:oddHBand="1" w:evenHBand="0" w:firstRowFirstColumn="0" w:firstRowLastColumn="0" w:lastRowFirstColumn="0" w:lastRowLastColumn="0"/>
              <w:rPr>
                <w:lang w:val="en-US"/>
              </w:rPr>
            </w:pPr>
            <w:r w:rsidRPr="004A0E83">
              <w:t>The NSW Government committed to deliver a</w:t>
            </w:r>
            <w:r w:rsidR="00E403FE">
              <w:t>n</w:t>
            </w:r>
            <w:r w:rsidRPr="004A0E83">
              <w:t xml:space="preserve"> NSW gas decarbonisation roadmap by late 2026</w:t>
            </w:r>
            <w:r>
              <w:t xml:space="preserve"> </w:t>
            </w:r>
            <w:r w:rsidRPr="00B445B2">
              <w:rPr>
                <w:color w:val="000000"/>
              </w:rPr>
              <w:t>(NSW Government 2025)</w:t>
            </w:r>
            <w:r w:rsidRPr="004A0E83">
              <w:t>.</w:t>
            </w:r>
            <w:r w:rsidRPr="004A0E83">
              <w:rPr>
                <w:rFonts w:ascii="Arial" w:hAnsi="Arial" w:cs="Arial"/>
              </w:rPr>
              <w:t> </w:t>
            </w:r>
            <w:r w:rsidRPr="004A0E83">
              <w:rPr>
                <w:lang w:val="en-US"/>
              </w:rPr>
              <w:t> </w:t>
            </w:r>
          </w:p>
        </w:tc>
      </w:tr>
      <w:tr w:rsidR="00DB779D" w:rsidRPr="004A0E83" w14:paraId="5518798A" w14:textId="77777777" w:rsidTr="007C4DF8">
        <w:tc>
          <w:tcPr>
            <w:cnfStyle w:val="001000000000" w:firstRow="0" w:lastRow="0" w:firstColumn="1" w:lastColumn="0" w:oddVBand="0" w:evenVBand="0" w:oddHBand="0" w:evenHBand="0" w:firstRowFirstColumn="0" w:firstRowLastColumn="0" w:lastRowFirstColumn="0" w:lastRowLastColumn="0"/>
            <w:tcW w:w="482" w:type="pct"/>
            <w:hideMark/>
          </w:tcPr>
          <w:p w14:paraId="692EE2E5" w14:textId="57A0D83C" w:rsidR="00DB779D" w:rsidRPr="004A0E83" w:rsidRDefault="00DB779D" w:rsidP="00DB779D">
            <w:pPr>
              <w:spacing w:before="114" w:after="114"/>
              <w:rPr>
                <w:lang w:val="en-US"/>
              </w:rPr>
            </w:pPr>
            <w:r w:rsidRPr="004A0E83">
              <w:t>VIC</w:t>
            </w:r>
            <w:r w:rsidRPr="004A0E83">
              <w:rPr>
                <w:lang w:val="en-US"/>
              </w:rPr>
              <w:t> </w:t>
            </w:r>
          </w:p>
        </w:tc>
        <w:tc>
          <w:tcPr>
            <w:tcW w:w="1501" w:type="pct"/>
            <w:hideMark/>
          </w:tcPr>
          <w:p w14:paraId="46C35A03" w14:textId="67D0AE94" w:rsidR="00DB779D" w:rsidRPr="004A0E83" w:rsidRDefault="00DB779D" w:rsidP="00DB779D">
            <w:pPr>
              <w:spacing w:before="114" w:after="114"/>
              <w:cnfStyle w:val="000000000000" w:firstRow="0" w:lastRow="0" w:firstColumn="0" w:lastColumn="0" w:oddVBand="0" w:evenVBand="0" w:oddHBand="0" w:evenHBand="0" w:firstRowFirstColumn="0" w:firstRowLastColumn="0" w:lastRowFirstColumn="0" w:lastRowLastColumn="0"/>
              <w:rPr>
                <w:lang w:val="en-US"/>
              </w:rPr>
            </w:pPr>
            <w:r w:rsidRPr="004A0E83">
              <w:rPr>
                <w:i/>
                <w:iCs/>
              </w:rPr>
              <w:t>Mineral Resources (Sustainable</w:t>
            </w:r>
            <w:r w:rsidRPr="004A0E83">
              <w:rPr>
                <w:b/>
                <w:bCs/>
                <w:i/>
                <w:iCs/>
              </w:rPr>
              <w:t> </w:t>
            </w:r>
            <w:r w:rsidRPr="004A0E83">
              <w:rPr>
                <w:i/>
                <w:iCs/>
              </w:rPr>
              <w:t xml:space="preserve">Development) Act 1990 </w:t>
            </w:r>
            <w:r w:rsidRPr="004977BB">
              <w:t>(MRSDA)</w:t>
            </w:r>
            <w:r w:rsidRPr="004A0E83">
              <w:rPr>
                <w:lang w:val="en-US"/>
              </w:rPr>
              <w:t> </w:t>
            </w:r>
          </w:p>
        </w:tc>
        <w:tc>
          <w:tcPr>
            <w:tcW w:w="3017" w:type="pct"/>
            <w:hideMark/>
          </w:tcPr>
          <w:p w14:paraId="4F60F15E" w14:textId="066D1706" w:rsidR="00DB779D" w:rsidRPr="004A0E83" w:rsidRDefault="00DB779D" w:rsidP="00DB779D">
            <w:pPr>
              <w:spacing w:before="114" w:after="114"/>
              <w:cnfStyle w:val="000000000000" w:firstRow="0" w:lastRow="0" w:firstColumn="0" w:lastColumn="0" w:oddVBand="0" w:evenVBand="0" w:oddHBand="0" w:evenHBand="0" w:firstRowFirstColumn="0" w:firstRowLastColumn="0" w:lastRowFirstColumn="0" w:lastRowLastColumn="0"/>
              <w:rPr>
                <w:lang w:val="en-US"/>
              </w:rPr>
            </w:pPr>
            <w:r w:rsidRPr="004A0E83">
              <w:t>The main law governing mineral resources in Victoria</w:t>
            </w:r>
            <w:r>
              <w:t xml:space="preserve"> </w:t>
            </w:r>
            <w:r w:rsidRPr="00B445B2">
              <w:rPr>
                <w:color w:val="000000"/>
              </w:rPr>
              <w:t xml:space="preserve">(Victorian Government </w:t>
            </w:r>
            <w:r w:rsidR="00E80D5E">
              <w:rPr>
                <w:color w:val="000000"/>
              </w:rPr>
              <w:t>1990</w:t>
            </w:r>
            <w:r w:rsidRPr="00B445B2">
              <w:rPr>
                <w:color w:val="000000"/>
              </w:rPr>
              <w:t>)</w:t>
            </w:r>
            <w:r w:rsidRPr="004A0E83">
              <w:t xml:space="preserve">. </w:t>
            </w:r>
          </w:p>
        </w:tc>
      </w:tr>
      <w:tr w:rsidR="00DB779D" w:rsidRPr="004A0E83" w14:paraId="4F677188" w14:textId="77777777" w:rsidTr="007C4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 w:type="pct"/>
            <w:hideMark/>
          </w:tcPr>
          <w:p w14:paraId="26FB8D88" w14:textId="19FCBC5E" w:rsidR="00DB779D" w:rsidRPr="004A0E83" w:rsidRDefault="00DB779D" w:rsidP="00DB779D">
            <w:pPr>
              <w:spacing w:before="114" w:after="114"/>
              <w:rPr>
                <w:lang w:val="en-US"/>
              </w:rPr>
            </w:pPr>
            <w:r w:rsidRPr="004A0E83">
              <w:rPr>
                <w:lang w:val="en-US"/>
              </w:rPr>
              <w:t> </w:t>
            </w:r>
          </w:p>
        </w:tc>
        <w:tc>
          <w:tcPr>
            <w:tcW w:w="1501" w:type="pct"/>
            <w:hideMark/>
          </w:tcPr>
          <w:p w14:paraId="32E56AC9" w14:textId="77777777" w:rsidR="00DB779D" w:rsidRPr="004A0E83" w:rsidRDefault="00DB779D" w:rsidP="00DB779D">
            <w:pPr>
              <w:spacing w:before="114" w:after="114"/>
              <w:cnfStyle w:val="000000100000" w:firstRow="0" w:lastRow="0" w:firstColumn="0" w:lastColumn="0" w:oddVBand="0" w:evenVBand="0" w:oddHBand="1" w:evenHBand="0" w:firstRowFirstColumn="0" w:firstRowLastColumn="0" w:lastRowFirstColumn="0" w:lastRowLastColumn="0"/>
              <w:rPr>
                <w:lang w:val="en-US"/>
              </w:rPr>
            </w:pPr>
            <w:r w:rsidRPr="004A0E83">
              <w:t>Gas Substitution Roadmap (2022)</w:t>
            </w:r>
            <w:r w:rsidRPr="004A0E83">
              <w:rPr>
                <w:lang w:val="en-US"/>
              </w:rPr>
              <w:t> </w:t>
            </w:r>
          </w:p>
          <w:p w14:paraId="6A1DEB36" w14:textId="263E70BF" w:rsidR="00DB779D" w:rsidRPr="004A0E83" w:rsidRDefault="00DB779D" w:rsidP="00DB779D">
            <w:pPr>
              <w:spacing w:before="114" w:after="114"/>
              <w:cnfStyle w:val="000000100000" w:firstRow="0" w:lastRow="0" w:firstColumn="0" w:lastColumn="0" w:oddVBand="0" w:evenVBand="0" w:oddHBand="1" w:evenHBand="0" w:firstRowFirstColumn="0" w:firstRowLastColumn="0" w:lastRowFirstColumn="0" w:lastRowLastColumn="0"/>
              <w:rPr>
                <w:lang w:val="en-US"/>
              </w:rPr>
            </w:pPr>
            <w:r w:rsidRPr="004A0E83">
              <w:rPr>
                <w:lang w:val="en-US"/>
              </w:rPr>
              <w:t> </w:t>
            </w:r>
          </w:p>
        </w:tc>
        <w:tc>
          <w:tcPr>
            <w:tcW w:w="3017" w:type="pct"/>
            <w:hideMark/>
          </w:tcPr>
          <w:p w14:paraId="18D57147" w14:textId="4C99985E" w:rsidR="00DB779D" w:rsidRPr="004A0E83" w:rsidRDefault="00DB779D" w:rsidP="00DB779D">
            <w:pPr>
              <w:spacing w:before="114" w:after="114"/>
              <w:cnfStyle w:val="000000100000" w:firstRow="0" w:lastRow="0" w:firstColumn="0" w:lastColumn="0" w:oddVBand="0" w:evenVBand="0" w:oddHBand="1" w:evenHBand="0" w:firstRowFirstColumn="0" w:firstRowLastColumn="0" w:lastRowFirstColumn="0" w:lastRowLastColumn="0"/>
              <w:rPr>
                <w:lang w:val="en-US"/>
              </w:rPr>
            </w:pPr>
            <w:r>
              <w:t>The Gas Substitution Roadmap targets demand and gas usage.</w:t>
            </w:r>
            <w:r w:rsidRPr="004A0E83">
              <w:t xml:space="preserve"> Measures include phasing out incentives </w:t>
            </w:r>
            <w:r>
              <w:t xml:space="preserve">under the </w:t>
            </w:r>
            <w:r w:rsidRPr="009D43E8">
              <w:t>Victorian Energy Upgrades</w:t>
            </w:r>
            <w:r>
              <w:t xml:space="preserve"> (</w:t>
            </w:r>
            <w:r w:rsidRPr="004A0E83">
              <w:t>VEU</w:t>
            </w:r>
            <w:r>
              <w:t>)</w:t>
            </w:r>
            <w:r w:rsidRPr="004A0E83">
              <w:t xml:space="preserve"> </w:t>
            </w:r>
            <w:r>
              <w:t xml:space="preserve">program </w:t>
            </w:r>
            <w:r w:rsidRPr="004A0E83">
              <w:t>for residential appliances</w:t>
            </w:r>
            <w:r>
              <w:t xml:space="preserve"> that use fossil gas</w:t>
            </w:r>
            <w:r w:rsidRPr="004A0E83">
              <w:t xml:space="preserve"> by the end of 2023</w:t>
            </w:r>
            <w:r>
              <w:t xml:space="preserve"> </w:t>
            </w:r>
            <w:r w:rsidRPr="00B445B2">
              <w:rPr>
                <w:color w:val="000000"/>
              </w:rPr>
              <w:t>(Victorian Government 2025)</w:t>
            </w:r>
            <w:r w:rsidRPr="004A0E83">
              <w:t>.</w:t>
            </w:r>
            <w:r w:rsidRPr="004A0E83">
              <w:rPr>
                <w:lang w:val="en-US"/>
              </w:rPr>
              <w:t> </w:t>
            </w:r>
          </w:p>
        </w:tc>
      </w:tr>
      <w:tr w:rsidR="00DB779D" w:rsidRPr="004A0E83" w14:paraId="4569D658" w14:textId="77777777" w:rsidTr="007C4DF8">
        <w:tc>
          <w:tcPr>
            <w:cnfStyle w:val="001000000000" w:firstRow="0" w:lastRow="0" w:firstColumn="1" w:lastColumn="0" w:oddVBand="0" w:evenVBand="0" w:oddHBand="0" w:evenHBand="0" w:firstRowFirstColumn="0" w:firstRowLastColumn="0" w:lastRowFirstColumn="0" w:lastRowLastColumn="0"/>
            <w:tcW w:w="482" w:type="pct"/>
            <w:hideMark/>
          </w:tcPr>
          <w:p w14:paraId="4E7B45D9" w14:textId="67738D7E" w:rsidR="00DB779D" w:rsidRPr="004A0E83" w:rsidRDefault="00DB779D" w:rsidP="00DB779D">
            <w:pPr>
              <w:spacing w:before="114" w:after="114"/>
              <w:rPr>
                <w:lang w:val="en-US"/>
              </w:rPr>
            </w:pPr>
            <w:r w:rsidRPr="004A0E83">
              <w:rPr>
                <w:lang w:val="en-US"/>
              </w:rPr>
              <w:lastRenderedPageBreak/>
              <w:t> </w:t>
            </w:r>
          </w:p>
        </w:tc>
        <w:tc>
          <w:tcPr>
            <w:tcW w:w="1501" w:type="pct"/>
            <w:hideMark/>
          </w:tcPr>
          <w:p w14:paraId="6A336EB2" w14:textId="681A72E0" w:rsidR="00DB779D" w:rsidRPr="004A0E83" w:rsidRDefault="00DB779D" w:rsidP="00DB779D">
            <w:pPr>
              <w:spacing w:before="114" w:after="114"/>
              <w:cnfStyle w:val="000000000000" w:firstRow="0" w:lastRow="0" w:firstColumn="0" w:lastColumn="0" w:oddVBand="0" w:evenVBand="0" w:oddHBand="0" w:evenHBand="0" w:firstRowFirstColumn="0" w:firstRowLastColumn="0" w:lastRowFirstColumn="0" w:lastRowLastColumn="0"/>
              <w:rPr>
                <w:lang w:val="en-US"/>
              </w:rPr>
            </w:pPr>
            <w:r w:rsidRPr="004A0E83">
              <w:t>Gas and fracking bans</w:t>
            </w:r>
            <w:r w:rsidRPr="004A0E83">
              <w:rPr>
                <w:lang w:val="en-US"/>
              </w:rPr>
              <w:t> </w:t>
            </w:r>
          </w:p>
        </w:tc>
        <w:tc>
          <w:tcPr>
            <w:tcW w:w="3017" w:type="pct"/>
            <w:hideMark/>
          </w:tcPr>
          <w:p w14:paraId="522A8CD6" w14:textId="347E7A14" w:rsidR="00DB779D" w:rsidRPr="004A0E83" w:rsidRDefault="00DB779D" w:rsidP="00DB779D">
            <w:pPr>
              <w:spacing w:before="114" w:after="114"/>
              <w:cnfStyle w:val="000000000000" w:firstRow="0" w:lastRow="0" w:firstColumn="0" w:lastColumn="0" w:oddVBand="0" w:evenVBand="0" w:oddHBand="0" w:evenHBand="0" w:firstRowFirstColumn="0" w:firstRowLastColumn="0" w:lastRowFirstColumn="0" w:lastRowLastColumn="0"/>
              <w:rPr>
                <w:lang w:val="en-US"/>
              </w:rPr>
            </w:pPr>
            <w:r w:rsidRPr="004A0E83">
              <w:t xml:space="preserve">The development of unconventional gas, coal seam gas and the use of fracking are all banned in Victoria </w:t>
            </w:r>
            <w:r w:rsidRPr="00B445B2">
              <w:rPr>
                <w:color w:val="000000"/>
              </w:rPr>
              <w:t>(Victorian Government 2021)</w:t>
            </w:r>
            <w:r>
              <w:rPr>
                <w:color w:val="000000"/>
              </w:rPr>
              <w:t>.</w:t>
            </w:r>
          </w:p>
        </w:tc>
      </w:tr>
      <w:tr w:rsidR="00DB779D" w:rsidRPr="004A0E83" w14:paraId="29E2EE09" w14:textId="77777777" w:rsidTr="007C4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 w:type="pct"/>
            <w:hideMark/>
          </w:tcPr>
          <w:p w14:paraId="0850B754" w14:textId="656E933D" w:rsidR="00DB779D" w:rsidRPr="004A0E83" w:rsidRDefault="00DB779D" w:rsidP="00DB779D">
            <w:pPr>
              <w:spacing w:before="114" w:after="114"/>
              <w:rPr>
                <w:lang w:val="en-US"/>
              </w:rPr>
            </w:pPr>
            <w:r w:rsidRPr="004A0E83">
              <w:rPr>
                <w:lang w:val="en-US"/>
              </w:rPr>
              <w:t> </w:t>
            </w:r>
          </w:p>
        </w:tc>
        <w:tc>
          <w:tcPr>
            <w:tcW w:w="1501" w:type="pct"/>
            <w:hideMark/>
          </w:tcPr>
          <w:p w14:paraId="1B95BE53" w14:textId="2E40C72F" w:rsidR="00DB779D" w:rsidRPr="004A0E83" w:rsidRDefault="00DB779D" w:rsidP="00DB779D">
            <w:pPr>
              <w:spacing w:before="114" w:after="114"/>
              <w:cnfStyle w:val="000000100000" w:firstRow="0" w:lastRow="0" w:firstColumn="0" w:lastColumn="0" w:oddVBand="0" w:evenVBand="0" w:oddHBand="1" w:evenHBand="0" w:firstRowFirstColumn="0" w:firstRowLastColumn="0" w:lastRowFirstColumn="0" w:lastRowLastColumn="0"/>
              <w:rPr>
                <w:lang w:val="en-US"/>
              </w:rPr>
            </w:pPr>
            <w:r w:rsidRPr="004A0E83">
              <w:t>Commitment to end coal-burning power generation by 2035.</w:t>
            </w:r>
          </w:p>
        </w:tc>
        <w:tc>
          <w:tcPr>
            <w:tcW w:w="3017" w:type="pct"/>
            <w:hideMark/>
          </w:tcPr>
          <w:p w14:paraId="5AB34174" w14:textId="7F9651DE" w:rsidR="00DB779D" w:rsidRPr="004A0E83" w:rsidRDefault="00DB779D" w:rsidP="00DB779D">
            <w:pPr>
              <w:spacing w:before="114" w:after="114"/>
              <w:cnfStyle w:val="000000100000" w:firstRow="0" w:lastRow="0" w:firstColumn="0" w:lastColumn="0" w:oddVBand="0" w:evenVBand="0" w:oddHBand="1" w:evenHBand="0" w:firstRowFirstColumn="0" w:firstRowLastColumn="0" w:lastRowFirstColumn="0" w:lastRowLastColumn="0"/>
              <w:rPr>
                <w:lang w:val="en-US"/>
              </w:rPr>
            </w:pPr>
            <w:r>
              <w:t>Victoria will end</w:t>
            </w:r>
            <w:r w:rsidRPr="004A0E83">
              <w:t xml:space="preserve"> coal </w:t>
            </w:r>
            <w:r>
              <w:t xml:space="preserve">power </w:t>
            </w:r>
            <w:r w:rsidRPr="004A0E83">
              <w:t xml:space="preserve">generation </w:t>
            </w:r>
            <w:r>
              <w:t>in the state. This reduces</w:t>
            </w:r>
            <w:r w:rsidRPr="004A0E83">
              <w:t xml:space="preserve"> the risk of fugitive emission</w:t>
            </w:r>
            <w:r>
              <w:t xml:space="preserve">s upstream in the supply chain </w:t>
            </w:r>
            <w:r w:rsidRPr="00B445B2">
              <w:rPr>
                <w:color w:val="000000"/>
              </w:rPr>
              <w:t>(Victorian Government 2024)</w:t>
            </w:r>
            <w:r w:rsidRPr="004A0E83">
              <w:t>.</w:t>
            </w:r>
            <w:r w:rsidRPr="004A0E83">
              <w:rPr>
                <w:lang w:val="en-US"/>
              </w:rPr>
              <w:t> </w:t>
            </w:r>
          </w:p>
        </w:tc>
      </w:tr>
      <w:tr w:rsidR="00DB779D" w:rsidRPr="004A0E83" w14:paraId="6D02B668" w14:textId="77777777" w:rsidTr="007C4DF8">
        <w:tc>
          <w:tcPr>
            <w:cnfStyle w:val="001000000000" w:firstRow="0" w:lastRow="0" w:firstColumn="1" w:lastColumn="0" w:oddVBand="0" w:evenVBand="0" w:oddHBand="0" w:evenHBand="0" w:firstRowFirstColumn="0" w:firstRowLastColumn="0" w:lastRowFirstColumn="0" w:lastRowLastColumn="0"/>
            <w:tcW w:w="482" w:type="pct"/>
            <w:hideMark/>
          </w:tcPr>
          <w:p w14:paraId="01D2A285" w14:textId="713CAF0A" w:rsidR="00DB779D" w:rsidRPr="004A0E83" w:rsidRDefault="00DB779D" w:rsidP="00DB779D">
            <w:pPr>
              <w:spacing w:before="114" w:after="114"/>
              <w:rPr>
                <w:lang w:val="en-US"/>
              </w:rPr>
            </w:pPr>
            <w:r w:rsidRPr="004A0E83">
              <w:t>QLD</w:t>
            </w:r>
            <w:r w:rsidRPr="004A0E83">
              <w:rPr>
                <w:lang w:val="en-US"/>
              </w:rPr>
              <w:t> </w:t>
            </w:r>
          </w:p>
        </w:tc>
        <w:tc>
          <w:tcPr>
            <w:tcW w:w="1501" w:type="pct"/>
            <w:hideMark/>
          </w:tcPr>
          <w:p w14:paraId="5C239913" w14:textId="77777777" w:rsidR="00DB779D" w:rsidRPr="004A0E83" w:rsidRDefault="00DB779D" w:rsidP="00DB779D">
            <w:pPr>
              <w:spacing w:before="114" w:after="114"/>
              <w:cnfStyle w:val="000000000000" w:firstRow="0" w:lastRow="0" w:firstColumn="0" w:lastColumn="0" w:oddVBand="0" w:evenVBand="0" w:oddHBand="0" w:evenHBand="0" w:firstRowFirstColumn="0" w:firstRowLastColumn="0" w:lastRowFirstColumn="0" w:lastRowLastColumn="0"/>
              <w:rPr>
                <w:lang w:val="en-US"/>
              </w:rPr>
            </w:pPr>
            <w:r w:rsidRPr="004A0E83">
              <w:rPr>
                <w:i/>
                <w:iCs/>
              </w:rPr>
              <w:t>Clean Economy Jobs Act (2004)</w:t>
            </w:r>
          </w:p>
          <w:p w14:paraId="1AC4997C" w14:textId="5CB4445E" w:rsidR="00DB779D" w:rsidRPr="004A0E83" w:rsidRDefault="00DB779D" w:rsidP="00DB779D">
            <w:pPr>
              <w:spacing w:before="114" w:after="114"/>
              <w:cnfStyle w:val="000000000000" w:firstRow="0" w:lastRow="0" w:firstColumn="0" w:lastColumn="0" w:oddVBand="0" w:evenVBand="0" w:oddHBand="0" w:evenHBand="0" w:firstRowFirstColumn="0" w:firstRowLastColumn="0" w:lastRowFirstColumn="0" w:lastRowLastColumn="0"/>
              <w:rPr>
                <w:lang w:val="en-US"/>
              </w:rPr>
            </w:pPr>
            <w:r w:rsidRPr="004A0E83">
              <w:rPr>
                <w:i/>
                <w:iCs/>
              </w:rPr>
              <w:t>Environmental Protection Act (1994)</w:t>
            </w:r>
            <w:r w:rsidRPr="004A0E83">
              <w:rPr>
                <w:lang w:val="en-US"/>
              </w:rPr>
              <w:t> </w:t>
            </w:r>
          </w:p>
        </w:tc>
        <w:tc>
          <w:tcPr>
            <w:tcW w:w="3017" w:type="pct"/>
            <w:hideMark/>
          </w:tcPr>
          <w:p w14:paraId="0340EE4D" w14:textId="12B989FA" w:rsidR="00DB779D" w:rsidRPr="004A0E83" w:rsidRDefault="00DB779D" w:rsidP="00DB779D">
            <w:pPr>
              <w:spacing w:before="114" w:after="114"/>
              <w:cnfStyle w:val="000000000000" w:firstRow="0" w:lastRow="0" w:firstColumn="0" w:lastColumn="0" w:oddVBand="0" w:evenVBand="0" w:oddHBand="0" w:evenHBand="0" w:firstRowFirstColumn="0" w:firstRowLastColumn="0" w:lastRowFirstColumn="0" w:lastRowLastColumn="0"/>
              <w:rPr>
                <w:lang w:val="en-US"/>
              </w:rPr>
            </w:pPr>
            <w:r w:rsidRPr="004A0E83">
              <w:t>The</w:t>
            </w:r>
            <w:r>
              <w:t>se</w:t>
            </w:r>
            <w:r w:rsidRPr="004A0E83">
              <w:t xml:space="preserve"> Acts contain measures to limit greenhouse gas emissions/pollution. They do not specifically target methane or fugitive emissions.</w:t>
            </w:r>
            <w:r w:rsidRPr="004A0E83">
              <w:rPr>
                <w:lang w:val="en-US"/>
              </w:rPr>
              <w:t> </w:t>
            </w:r>
          </w:p>
        </w:tc>
      </w:tr>
      <w:tr w:rsidR="00DB779D" w:rsidRPr="004A0E83" w14:paraId="0F47EAEF" w14:textId="77777777" w:rsidTr="007C4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 w:type="pct"/>
            <w:hideMark/>
          </w:tcPr>
          <w:p w14:paraId="1C1C9F58" w14:textId="54DA7736" w:rsidR="00DB779D" w:rsidRPr="004A0E83" w:rsidRDefault="00DB779D" w:rsidP="00DB779D">
            <w:pPr>
              <w:spacing w:before="114" w:after="114"/>
            </w:pPr>
            <w:r w:rsidRPr="004A0E83">
              <w:t> </w:t>
            </w:r>
          </w:p>
        </w:tc>
        <w:tc>
          <w:tcPr>
            <w:tcW w:w="1501" w:type="pct"/>
            <w:hideMark/>
          </w:tcPr>
          <w:p w14:paraId="1119C6F7" w14:textId="3ECE6297" w:rsidR="00DB779D" w:rsidRPr="004A0E83" w:rsidRDefault="00DB779D" w:rsidP="00DB779D">
            <w:pPr>
              <w:spacing w:before="114" w:after="114"/>
              <w:cnfStyle w:val="000000100000" w:firstRow="0" w:lastRow="0" w:firstColumn="0" w:lastColumn="0" w:oddVBand="0" w:evenVBand="0" w:oddHBand="1" w:evenHBand="0" w:firstRowFirstColumn="0" w:firstRowLastColumn="0" w:lastRowFirstColumn="0" w:lastRowLastColumn="0"/>
              <w:rPr>
                <w:i/>
                <w:lang w:val="en-US"/>
              </w:rPr>
            </w:pPr>
            <w:r w:rsidRPr="004A0E83">
              <w:rPr>
                <w:i/>
              </w:rPr>
              <w:t xml:space="preserve">Mineral Resources Act 1989 </w:t>
            </w:r>
            <w:r w:rsidRPr="00A350F4">
              <w:t>(Qld)</w:t>
            </w:r>
          </w:p>
        </w:tc>
        <w:tc>
          <w:tcPr>
            <w:tcW w:w="3017" w:type="pct"/>
            <w:hideMark/>
          </w:tcPr>
          <w:p w14:paraId="24F2BCF6" w14:textId="09466E6C" w:rsidR="00DB779D" w:rsidRPr="004A0E83" w:rsidRDefault="00DB779D" w:rsidP="00DB779D">
            <w:pPr>
              <w:spacing w:before="114" w:after="114"/>
              <w:cnfStyle w:val="000000100000" w:firstRow="0" w:lastRow="0" w:firstColumn="0" w:lastColumn="0" w:oddVBand="0" w:evenVBand="0" w:oddHBand="1" w:evenHBand="0" w:firstRowFirstColumn="0" w:firstRowLastColumn="0" w:lastRowFirstColumn="0" w:lastRowLastColumn="0"/>
              <w:rPr>
                <w:lang w:val="en-US"/>
              </w:rPr>
            </w:pPr>
            <w:r>
              <w:t>T</w:t>
            </w:r>
            <w:r w:rsidRPr="00191CD2">
              <w:t xml:space="preserve">he Act </w:t>
            </w:r>
            <w:r>
              <w:t>r</w:t>
            </w:r>
            <w:r w:rsidRPr="009A756D">
              <w:t>estrict</w:t>
            </w:r>
            <w:r>
              <w:t>s</w:t>
            </w:r>
            <w:r w:rsidRPr="009A756D">
              <w:t xml:space="preserve"> the release of coal mine waste gas and, in practice, require</w:t>
            </w:r>
            <w:r>
              <w:t>s</w:t>
            </w:r>
            <w:r w:rsidRPr="009A756D">
              <w:t xml:space="preserve"> the methane component to be </w:t>
            </w:r>
            <w:r>
              <w:t>combusted (such that the methane is converted into carbon dioxide and water vapour)</w:t>
            </w:r>
            <w:r w:rsidRPr="009A756D">
              <w:t xml:space="preserve"> or otherwise managed where this is feasible</w:t>
            </w:r>
            <w:r>
              <w:t>.</w:t>
            </w:r>
          </w:p>
        </w:tc>
      </w:tr>
      <w:tr w:rsidR="00DB779D" w:rsidRPr="004A0E83" w14:paraId="66FB2B62" w14:textId="77777777" w:rsidTr="007C4DF8">
        <w:tc>
          <w:tcPr>
            <w:cnfStyle w:val="001000000000" w:firstRow="0" w:lastRow="0" w:firstColumn="1" w:lastColumn="0" w:oddVBand="0" w:evenVBand="0" w:oddHBand="0" w:evenHBand="0" w:firstRowFirstColumn="0" w:firstRowLastColumn="0" w:lastRowFirstColumn="0" w:lastRowLastColumn="0"/>
            <w:tcW w:w="482" w:type="pct"/>
            <w:hideMark/>
          </w:tcPr>
          <w:p w14:paraId="550C83D4" w14:textId="1A43F24E" w:rsidR="00DB779D" w:rsidRPr="004A0E83" w:rsidRDefault="00DB779D" w:rsidP="00DB779D">
            <w:pPr>
              <w:spacing w:before="114" w:after="114"/>
            </w:pPr>
            <w:r w:rsidRPr="004A0E83">
              <w:t> </w:t>
            </w:r>
          </w:p>
        </w:tc>
        <w:tc>
          <w:tcPr>
            <w:tcW w:w="1501" w:type="pct"/>
            <w:hideMark/>
          </w:tcPr>
          <w:p w14:paraId="3BB360FE" w14:textId="77777777" w:rsidR="00DB779D" w:rsidRPr="00794256" w:rsidRDefault="00DB779D" w:rsidP="00DB779D">
            <w:pPr>
              <w:spacing w:before="114" w:after="114"/>
              <w:cnfStyle w:val="000000000000" w:firstRow="0" w:lastRow="0" w:firstColumn="0" w:lastColumn="0" w:oddVBand="0" w:evenVBand="0" w:oddHBand="0" w:evenHBand="0" w:firstRowFirstColumn="0" w:firstRowLastColumn="0" w:lastRowFirstColumn="0" w:lastRowLastColumn="0"/>
            </w:pPr>
            <w:r w:rsidRPr="00794256">
              <w:t>Low Emissions Investment Partnerships</w:t>
            </w:r>
          </w:p>
          <w:p w14:paraId="593031F0" w14:textId="77777777" w:rsidR="00DB779D" w:rsidRPr="004A0E83" w:rsidRDefault="00DB779D" w:rsidP="00DB779D">
            <w:pPr>
              <w:spacing w:before="114" w:after="114"/>
              <w:cnfStyle w:val="000000000000" w:firstRow="0" w:lastRow="0" w:firstColumn="0" w:lastColumn="0" w:oddVBand="0" w:evenVBand="0" w:oddHBand="0" w:evenHBand="0" w:firstRowFirstColumn="0" w:firstRowLastColumn="0" w:lastRowFirstColumn="0" w:lastRowLastColumn="0"/>
              <w:rPr>
                <w:lang w:val="en-US"/>
              </w:rPr>
            </w:pPr>
          </w:p>
        </w:tc>
        <w:tc>
          <w:tcPr>
            <w:tcW w:w="3017" w:type="pct"/>
            <w:hideMark/>
          </w:tcPr>
          <w:p w14:paraId="28F8AC6A" w14:textId="7AA91931" w:rsidR="00DB779D" w:rsidRPr="004A0E83" w:rsidRDefault="00DB779D" w:rsidP="00DB779D">
            <w:pPr>
              <w:spacing w:before="114" w:after="114"/>
              <w:cnfStyle w:val="000000000000" w:firstRow="0" w:lastRow="0" w:firstColumn="0" w:lastColumn="0" w:oddVBand="0" w:evenVBand="0" w:oddHBand="0" w:evenHBand="0" w:firstRowFirstColumn="0" w:firstRowLastColumn="0" w:lastRowFirstColumn="0" w:lastRowLastColumn="0"/>
            </w:pPr>
            <w:r>
              <w:t xml:space="preserve">The fund focuses on </w:t>
            </w:r>
            <w:r w:rsidRPr="003E3A11">
              <w:t>reducing emissions from metallurgical coal mines that are covered by the Australian Government’s Safeguard Mechanism</w:t>
            </w:r>
            <w:r>
              <w:t xml:space="preserve"> </w:t>
            </w:r>
            <w:r w:rsidRPr="00B445B2">
              <w:rPr>
                <w:color w:val="000000"/>
              </w:rPr>
              <w:t>(Queensland Treasury 2026)</w:t>
            </w:r>
            <w:r>
              <w:t>.</w:t>
            </w:r>
          </w:p>
        </w:tc>
      </w:tr>
      <w:tr w:rsidR="00DB779D" w:rsidRPr="004A0E83" w14:paraId="5C079398" w14:textId="77777777" w:rsidTr="007C4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 w:type="pct"/>
            <w:hideMark/>
          </w:tcPr>
          <w:p w14:paraId="4CBC3660" w14:textId="44DFC3EB" w:rsidR="00DB779D" w:rsidRPr="004A0E83" w:rsidRDefault="00DB779D" w:rsidP="00DB779D">
            <w:pPr>
              <w:spacing w:before="114" w:after="114"/>
              <w:rPr>
                <w:lang w:val="en-US"/>
              </w:rPr>
            </w:pPr>
            <w:r w:rsidRPr="004A0E83">
              <w:t>SA</w:t>
            </w:r>
            <w:r w:rsidRPr="004A0E83">
              <w:rPr>
                <w:lang w:val="en-US"/>
              </w:rPr>
              <w:t> </w:t>
            </w:r>
          </w:p>
        </w:tc>
        <w:tc>
          <w:tcPr>
            <w:tcW w:w="1501" w:type="pct"/>
            <w:hideMark/>
          </w:tcPr>
          <w:p w14:paraId="6B7EF0AA" w14:textId="62F18331" w:rsidR="00DB779D" w:rsidRPr="004A0E83" w:rsidRDefault="00DB779D" w:rsidP="00DB779D">
            <w:pPr>
              <w:spacing w:before="114" w:after="114"/>
              <w:cnfStyle w:val="000000100000" w:firstRow="0" w:lastRow="0" w:firstColumn="0" w:lastColumn="0" w:oddVBand="0" w:evenVBand="0" w:oddHBand="1" w:evenHBand="0" w:firstRowFirstColumn="0" w:firstRowLastColumn="0" w:lastRowFirstColumn="0" w:lastRowLastColumn="0"/>
              <w:rPr>
                <w:lang w:val="en-US"/>
              </w:rPr>
            </w:pPr>
            <w:r w:rsidRPr="004A0E83">
              <w:t>S</w:t>
            </w:r>
            <w:r>
              <w:t xml:space="preserve">outh Australia’s </w:t>
            </w:r>
            <w:r w:rsidRPr="004A0E83">
              <w:t>Net Zero Strategy 2024-2030</w:t>
            </w:r>
            <w:r w:rsidRPr="004A0E83">
              <w:rPr>
                <w:lang w:val="en-US"/>
              </w:rPr>
              <w:t> </w:t>
            </w:r>
          </w:p>
        </w:tc>
        <w:tc>
          <w:tcPr>
            <w:tcW w:w="3017" w:type="pct"/>
            <w:hideMark/>
          </w:tcPr>
          <w:p w14:paraId="7FE3AA42" w14:textId="2CB31AC2" w:rsidR="00DB779D" w:rsidRPr="004A0E83" w:rsidRDefault="00DB779D" w:rsidP="00DB779D">
            <w:pPr>
              <w:spacing w:before="114" w:after="114"/>
              <w:cnfStyle w:val="000000100000" w:firstRow="0" w:lastRow="0" w:firstColumn="0" w:lastColumn="0" w:oddVBand="0" w:evenVBand="0" w:oddHBand="1" w:evenHBand="0" w:firstRowFirstColumn="0" w:firstRowLastColumn="0" w:lastRowFirstColumn="0" w:lastRowLastColumn="0"/>
              <w:rPr>
                <w:lang w:val="en-US"/>
              </w:rPr>
            </w:pPr>
            <w:r w:rsidRPr="004A0E83">
              <w:t>This strategy contains policy priorities for transitioning the manufacturing and resourc</w:t>
            </w:r>
            <w:r>
              <w:t>es</w:t>
            </w:r>
            <w:r w:rsidRPr="004A0E83">
              <w:t xml:space="preserve"> sector to low emissions technologies</w:t>
            </w:r>
            <w:r>
              <w:t xml:space="preserve"> </w:t>
            </w:r>
            <w:r w:rsidRPr="00B445B2">
              <w:rPr>
                <w:color w:val="000000"/>
              </w:rPr>
              <w:t>(South Australian Government 2024)</w:t>
            </w:r>
            <w:r w:rsidRPr="004A0E83">
              <w:t>. This includes 3 million tonnes of carbon capture and storage by 2030.</w:t>
            </w:r>
            <w:r w:rsidRPr="004A0E83">
              <w:rPr>
                <w:lang w:val="en-US"/>
              </w:rPr>
              <w:t> </w:t>
            </w:r>
          </w:p>
        </w:tc>
      </w:tr>
      <w:tr w:rsidR="00DB779D" w:rsidRPr="004A0E83" w14:paraId="1AAB28F2" w14:textId="77777777" w:rsidTr="007C4DF8">
        <w:tc>
          <w:tcPr>
            <w:cnfStyle w:val="001000000000" w:firstRow="0" w:lastRow="0" w:firstColumn="1" w:lastColumn="0" w:oddVBand="0" w:evenVBand="0" w:oddHBand="0" w:evenHBand="0" w:firstRowFirstColumn="0" w:firstRowLastColumn="0" w:lastRowFirstColumn="0" w:lastRowLastColumn="0"/>
            <w:tcW w:w="482" w:type="pct"/>
            <w:hideMark/>
          </w:tcPr>
          <w:p w14:paraId="29B62488" w14:textId="690813CC" w:rsidR="00DB779D" w:rsidRPr="004A0E83" w:rsidRDefault="00DB779D" w:rsidP="00DB779D">
            <w:pPr>
              <w:spacing w:before="114" w:after="114"/>
              <w:rPr>
                <w:lang w:val="en-US"/>
              </w:rPr>
            </w:pPr>
            <w:r w:rsidRPr="004A0E83">
              <w:rPr>
                <w:lang w:val="en-US"/>
              </w:rPr>
              <w:t> </w:t>
            </w:r>
          </w:p>
        </w:tc>
        <w:tc>
          <w:tcPr>
            <w:tcW w:w="1501" w:type="pct"/>
            <w:hideMark/>
          </w:tcPr>
          <w:p w14:paraId="4BA447FA" w14:textId="09226454" w:rsidR="00DB779D" w:rsidRPr="004A0E83" w:rsidRDefault="00DB779D" w:rsidP="00DB779D">
            <w:pPr>
              <w:spacing w:before="114" w:after="114"/>
              <w:cnfStyle w:val="000000000000" w:firstRow="0" w:lastRow="0" w:firstColumn="0" w:lastColumn="0" w:oddVBand="0" w:evenVBand="0" w:oddHBand="0" w:evenHBand="0" w:firstRowFirstColumn="0" w:firstRowLastColumn="0" w:lastRowFirstColumn="0" w:lastRowLastColumn="0"/>
              <w:rPr>
                <w:lang w:val="en-US"/>
              </w:rPr>
            </w:pPr>
            <w:r w:rsidRPr="004A0E83">
              <w:t>2025 SA Gas Initiative</w:t>
            </w:r>
            <w:r w:rsidRPr="004A0E83">
              <w:rPr>
                <w:lang w:val="en-US"/>
              </w:rPr>
              <w:t> </w:t>
            </w:r>
          </w:p>
        </w:tc>
        <w:tc>
          <w:tcPr>
            <w:tcW w:w="3017" w:type="pct"/>
            <w:hideMark/>
          </w:tcPr>
          <w:p w14:paraId="786A221A" w14:textId="6068E6CE" w:rsidR="00DB779D" w:rsidRPr="004A0E83" w:rsidRDefault="00DB779D" w:rsidP="00DB779D">
            <w:pPr>
              <w:spacing w:before="114" w:after="114"/>
              <w:cnfStyle w:val="000000000000" w:firstRow="0" w:lastRow="0" w:firstColumn="0" w:lastColumn="0" w:oddVBand="0" w:evenVBand="0" w:oddHBand="0" w:evenHBand="0" w:firstRowFirstColumn="0" w:firstRowLastColumn="0" w:lastRowFirstColumn="0" w:lastRowLastColumn="0"/>
              <w:rPr>
                <w:lang w:val="en-US"/>
              </w:rPr>
            </w:pPr>
            <w:r w:rsidRPr="004A0E83">
              <w:t>The 2025 SA Gas Initiative is a $17.5 million initiative, designed to accelerate investment in a portfolio of gas projects in South Australia</w:t>
            </w:r>
            <w:r>
              <w:t xml:space="preserve"> </w:t>
            </w:r>
            <w:r w:rsidRPr="00B445B2">
              <w:rPr>
                <w:color w:val="000000"/>
              </w:rPr>
              <w:t>(South Australian Government 2025)</w:t>
            </w:r>
            <w:r w:rsidRPr="004A0E83">
              <w:t>. This could include projects for natural gas supply, storage and infrastructure.</w:t>
            </w:r>
            <w:r w:rsidRPr="004A0E83">
              <w:rPr>
                <w:lang w:val="en-US"/>
              </w:rPr>
              <w:t> </w:t>
            </w:r>
          </w:p>
        </w:tc>
      </w:tr>
      <w:tr w:rsidR="00DB779D" w:rsidRPr="004A0E83" w14:paraId="4C20266A" w14:textId="77777777" w:rsidTr="007C4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 w:type="pct"/>
            <w:hideMark/>
          </w:tcPr>
          <w:p w14:paraId="334E9C2A" w14:textId="38ADC80D" w:rsidR="00DB779D" w:rsidRPr="004A0E83" w:rsidRDefault="00DB779D" w:rsidP="00DB779D">
            <w:pPr>
              <w:spacing w:before="114" w:after="114"/>
              <w:rPr>
                <w:lang w:val="en-US"/>
              </w:rPr>
            </w:pPr>
            <w:r w:rsidRPr="004A0E83">
              <w:rPr>
                <w:lang w:val="en-US"/>
              </w:rPr>
              <w:t> </w:t>
            </w:r>
          </w:p>
        </w:tc>
        <w:tc>
          <w:tcPr>
            <w:tcW w:w="1501" w:type="pct"/>
            <w:hideMark/>
          </w:tcPr>
          <w:p w14:paraId="69C9BF56" w14:textId="25241E29" w:rsidR="00DB779D" w:rsidRPr="004A0E83" w:rsidRDefault="00DB779D" w:rsidP="00DB779D">
            <w:pPr>
              <w:spacing w:before="114" w:after="114"/>
              <w:cnfStyle w:val="000000100000" w:firstRow="0" w:lastRow="0" w:firstColumn="0" w:lastColumn="0" w:oddVBand="0" w:evenVBand="0" w:oddHBand="1" w:evenHBand="0" w:firstRowFirstColumn="0" w:firstRowLastColumn="0" w:lastRowFirstColumn="0" w:lastRowLastColumn="0"/>
              <w:rPr>
                <w:lang w:val="en-US"/>
              </w:rPr>
            </w:pPr>
            <w:r w:rsidRPr="004A0E83">
              <w:t>10 Year Moratorium on Fracture Stimulation in the Limestone Coast Region</w:t>
            </w:r>
            <w:r w:rsidRPr="004A0E83">
              <w:rPr>
                <w:lang w:val="en-US"/>
              </w:rPr>
              <w:t> </w:t>
            </w:r>
          </w:p>
        </w:tc>
        <w:tc>
          <w:tcPr>
            <w:tcW w:w="3017" w:type="pct"/>
            <w:hideMark/>
          </w:tcPr>
          <w:p w14:paraId="7BBE3C67" w14:textId="76D4E285" w:rsidR="00DB779D" w:rsidRPr="004A0E83" w:rsidRDefault="00DB779D" w:rsidP="00DB779D">
            <w:pPr>
              <w:spacing w:before="114" w:after="114"/>
              <w:cnfStyle w:val="000000100000" w:firstRow="0" w:lastRow="0" w:firstColumn="0" w:lastColumn="0" w:oddVBand="0" w:evenVBand="0" w:oddHBand="1" w:evenHBand="0" w:firstRowFirstColumn="0" w:firstRowLastColumn="0" w:lastRowFirstColumn="0" w:lastRowLastColumn="0"/>
              <w:rPr>
                <w:lang w:val="en-US"/>
              </w:rPr>
            </w:pPr>
            <w:r w:rsidRPr="004A0E83">
              <w:t>This </w:t>
            </w:r>
            <w:r w:rsidRPr="00D578B0">
              <w:t>moratorium</w:t>
            </w:r>
            <w:r w:rsidRPr="004A0E83">
              <w:t> bans fracking across the Limestone Coast Region of S</w:t>
            </w:r>
            <w:r>
              <w:t>outh-East</w:t>
            </w:r>
            <w:r w:rsidRPr="004A0E83">
              <w:t xml:space="preserve"> South Australia until 2028.</w:t>
            </w:r>
            <w:r w:rsidRPr="004A0E83">
              <w:rPr>
                <w:lang w:val="en-US"/>
              </w:rPr>
              <w:t> </w:t>
            </w:r>
            <w:r>
              <w:rPr>
                <w:lang w:val="en-US"/>
              </w:rPr>
              <w:t xml:space="preserve"> </w:t>
            </w:r>
            <w:r w:rsidRPr="004A0E83">
              <w:t>Fracking is still permitted in other parts of the state</w:t>
            </w:r>
            <w:r>
              <w:t xml:space="preserve"> </w:t>
            </w:r>
            <w:r w:rsidRPr="00B445B2">
              <w:rPr>
                <w:color w:val="000000"/>
              </w:rPr>
              <w:t>(South Australian Government n.d., 2025)</w:t>
            </w:r>
            <w:r>
              <w:rPr>
                <w:color w:val="000000"/>
              </w:rPr>
              <w:t>.</w:t>
            </w:r>
          </w:p>
        </w:tc>
      </w:tr>
      <w:tr w:rsidR="00DB779D" w:rsidRPr="004A0E83" w14:paraId="1633DF15" w14:textId="77777777" w:rsidTr="007C4DF8">
        <w:tc>
          <w:tcPr>
            <w:cnfStyle w:val="001000000000" w:firstRow="0" w:lastRow="0" w:firstColumn="1" w:lastColumn="0" w:oddVBand="0" w:evenVBand="0" w:oddHBand="0" w:evenHBand="0" w:firstRowFirstColumn="0" w:firstRowLastColumn="0" w:lastRowFirstColumn="0" w:lastRowLastColumn="0"/>
            <w:tcW w:w="482" w:type="pct"/>
            <w:hideMark/>
          </w:tcPr>
          <w:p w14:paraId="086E9909" w14:textId="6DEF3922" w:rsidR="00DB779D" w:rsidRPr="004A0E83" w:rsidRDefault="00DB779D" w:rsidP="00DB779D">
            <w:pPr>
              <w:spacing w:before="114" w:after="114"/>
              <w:rPr>
                <w:lang w:val="en-US"/>
              </w:rPr>
            </w:pPr>
            <w:r w:rsidRPr="004A0E83">
              <w:t>WA</w:t>
            </w:r>
            <w:r w:rsidRPr="004A0E83">
              <w:rPr>
                <w:lang w:val="en-US"/>
              </w:rPr>
              <w:t> </w:t>
            </w:r>
          </w:p>
        </w:tc>
        <w:tc>
          <w:tcPr>
            <w:tcW w:w="1501" w:type="pct"/>
            <w:hideMark/>
          </w:tcPr>
          <w:p w14:paraId="15F1B0A9" w14:textId="11705D7A" w:rsidR="00DB779D" w:rsidRPr="004A0E83" w:rsidRDefault="00DB779D" w:rsidP="00DB779D">
            <w:pPr>
              <w:spacing w:before="114" w:after="114"/>
              <w:cnfStyle w:val="000000000000" w:firstRow="0" w:lastRow="0" w:firstColumn="0" w:lastColumn="0" w:oddVBand="0" w:evenVBand="0" w:oddHBand="0" w:evenHBand="0" w:firstRowFirstColumn="0" w:firstRowLastColumn="0" w:lastRowFirstColumn="0" w:lastRowLastColumn="0"/>
              <w:rPr>
                <w:lang w:val="en-US"/>
              </w:rPr>
            </w:pPr>
            <w:r w:rsidRPr="0057623D">
              <w:rPr>
                <w:lang w:val="en-US"/>
              </w:rPr>
              <w:t>World Bank's Zero Routine Flaring by 2030 initiative</w:t>
            </w:r>
          </w:p>
        </w:tc>
        <w:tc>
          <w:tcPr>
            <w:tcW w:w="3017" w:type="pct"/>
            <w:hideMark/>
          </w:tcPr>
          <w:p w14:paraId="7412F452" w14:textId="0AB8A290" w:rsidR="00DB779D" w:rsidRPr="004A0E83" w:rsidRDefault="00DB779D" w:rsidP="00DB779D">
            <w:pPr>
              <w:spacing w:before="114" w:after="114"/>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WA endorsed the </w:t>
            </w:r>
            <w:r w:rsidRPr="0057623D">
              <w:rPr>
                <w:lang w:val="en-US"/>
              </w:rPr>
              <w:t>World Bank's Zero Routine Flaring by 2030 initiativ</w:t>
            </w:r>
            <w:r>
              <w:rPr>
                <w:lang w:val="en-US"/>
              </w:rPr>
              <w:t xml:space="preserve">e. It has committed to end routine </w:t>
            </w:r>
            <w:r w:rsidR="00FB48FD">
              <w:rPr>
                <w:lang w:val="en-US"/>
              </w:rPr>
              <w:t xml:space="preserve">wellhead </w:t>
            </w:r>
            <w:r>
              <w:rPr>
                <w:lang w:val="en-US"/>
              </w:rPr>
              <w:t xml:space="preserve">flaring during production and at oil refineries </w:t>
            </w:r>
            <w:r w:rsidRPr="00B445B2">
              <w:rPr>
                <w:color w:val="000000"/>
                <w:lang w:val="en-US"/>
              </w:rPr>
              <w:t>(Western Australian Government 2019; World Bank n.d.)</w:t>
            </w:r>
            <w:r>
              <w:rPr>
                <w:lang w:val="en-US"/>
              </w:rPr>
              <w:t>.</w:t>
            </w:r>
          </w:p>
        </w:tc>
      </w:tr>
    </w:tbl>
    <w:p w14:paraId="291B944B" w14:textId="4A949851" w:rsidR="00E3684D" w:rsidRDefault="00E3684D" w:rsidP="00E3684D">
      <w:pPr>
        <w:pStyle w:val="L2Sub-heading"/>
      </w:pPr>
      <w:bookmarkStart w:id="101" w:name="_Toc231298039"/>
      <w:bookmarkStart w:id="102" w:name="_Toc231557423"/>
      <w:bookmarkStart w:id="103" w:name="_Toc232079504"/>
      <w:r>
        <w:lastRenderedPageBreak/>
        <w:t>Appendix D</w:t>
      </w:r>
      <w:bookmarkStart w:id="104" w:name="_Toc227942689"/>
      <w:r>
        <w:t>: Status of the Authority’s 2023 NGER Review recommendations</w:t>
      </w:r>
      <w:bookmarkEnd w:id="104"/>
      <w:r>
        <w:t xml:space="preserve"> (numbers 15-22)</w:t>
      </w:r>
      <w:bookmarkEnd w:id="101"/>
      <w:bookmarkEnd w:id="102"/>
      <w:bookmarkEnd w:id="103"/>
    </w:p>
    <w:p w14:paraId="2214B89F" w14:textId="77777777" w:rsidR="00E3684D" w:rsidRDefault="00E3684D" w:rsidP="00E3684D">
      <w:pPr>
        <w:rPr>
          <w:i/>
          <w:iCs/>
        </w:rPr>
      </w:pPr>
      <w:r w:rsidRPr="00DD025D">
        <w:rPr>
          <w:rFonts w:cs="Calibri"/>
          <w:i/>
        </w:rPr>
        <w:t xml:space="preserve">The Department of Climate Change, Energy, the Environment and Water </w:t>
      </w:r>
      <w:r>
        <w:rPr>
          <w:rFonts w:cs="Calibri"/>
          <w:i/>
        </w:rPr>
        <w:t>(DCCEEW)</w:t>
      </w:r>
      <w:r w:rsidRPr="00DD025D">
        <w:rPr>
          <w:rFonts w:cs="Calibri"/>
          <w:i/>
        </w:rPr>
        <w:t xml:space="preserve"> provided the following update to the Authority for inclusion in this </w:t>
      </w:r>
      <w:r>
        <w:rPr>
          <w:rFonts w:cs="Calibri"/>
          <w:i/>
          <w:iCs/>
        </w:rPr>
        <w:t>consultation</w:t>
      </w:r>
      <w:r w:rsidRPr="00DD025D">
        <w:rPr>
          <w:rFonts w:cs="Calibri"/>
          <w:i/>
        </w:rPr>
        <w:t xml:space="preserve"> paper</w:t>
      </w:r>
      <w:r w:rsidRPr="00DD025D">
        <w:rPr>
          <w:rFonts w:cs="Calibri"/>
          <w:i/>
          <w:iCs/>
        </w:rPr>
        <w:t>.</w:t>
      </w:r>
    </w:p>
    <w:tbl>
      <w:tblPr>
        <w:tblStyle w:val="ListTable3-Accent1"/>
        <w:tblW w:w="5000" w:type="pct"/>
        <w:tblLook w:val="04A0" w:firstRow="1" w:lastRow="0" w:firstColumn="1" w:lastColumn="0" w:noHBand="0" w:noVBand="1"/>
      </w:tblPr>
      <w:tblGrid>
        <w:gridCol w:w="7840"/>
        <w:gridCol w:w="2242"/>
      </w:tblGrid>
      <w:tr w:rsidR="00E3684D" w:rsidRPr="00523963" w14:paraId="79C095C1" w14:textId="77777777" w:rsidTr="007C4DF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888" w:type="pct"/>
          </w:tcPr>
          <w:p w14:paraId="0FFB6828" w14:textId="77777777" w:rsidR="00E3684D" w:rsidRPr="004A6510" w:rsidRDefault="00E3684D" w:rsidP="0058776B">
            <w:pPr>
              <w:spacing w:before="114" w:after="114"/>
              <w:rPr>
                <w:bCs w:val="0"/>
                <w:color w:val="FFFFFF" w:themeColor="background1"/>
                <w:sz w:val="20"/>
                <w:szCs w:val="20"/>
              </w:rPr>
            </w:pPr>
            <w:r w:rsidRPr="004A6510">
              <w:rPr>
                <w:bCs w:val="0"/>
                <w:color w:val="FFFFFF" w:themeColor="background1"/>
                <w:sz w:val="20"/>
                <w:szCs w:val="20"/>
              </w:rPr>
              <w:t>Climate Change Authority recommendation</w:t>
            </w:r>
          </w:p>
        </w:tc>
        <w:tc>
          <w:tcPr>
            <w:tcW w:w="1112" w:type="pct"/>
          </w:tcPr>
          <w:p w14:paraId="3AD78971" w14:textId="77777777" w:rsidR="00E3684D" w:rsidRPr="004A6510" w:rsidRDefault="00E3684D" w:rsidP="0058776B">
            <w:pPr>
              <w:spacing w:before="114" w:after="114"/>
              <w:cnfStyle w:val="100000000000" w:firstRow="1" w:lastRow="0" w:firstColumn="0" w:lastColumn="0" w:oddVBand="0" w:evenVBand="0" w:oddHBand="0" w:evenHBand="0" w:firstRowFirstColumn="0" w:firstRowLastColumn="0" w:lastRowFirstColumn="0" w:lastRowLastColumn="0"/>
              <w:rPr>
                <w:bCs w:val="0"/>
                <w:color w:val="FFFFFF" w:themeColor="background1"/>
                <w:sz w:val="20"/>
                <w:szCs w:val="20"/>
              </w:rPr>
            </w:pPr>
            <w:r w:rsidRPr="004A6510">
              <w:rPr>
                <w:bCs w:val="0"/>
                <w:color w:val="FFFFFF" w:themeColor="background1"/>
                <w:sz w:val="20"/>
                <w:szCs w:val="20"/>
              </w:rPr>
              <w:t>Government response</w:t>
            </w:r>
          </w:p>
        </w:tc>
      </w:tr>
      <w:tr w:rsidR="00E3684D" w:rsidRPr="00523963" w14:paraId="2305E64B" w14:textId="77777777" w:rsidTr="007C4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pct"/>
          </w:tcPr>
          <w:p w14:paraId="6C3E07EB" w14:textId="62027C8B" w:rsidR="00E3684D" w:rsidRPr="00523963" w:rsidRDefault="00E3684D" w:rsidP="004A6510">
            <w:pPr>
              <w:spacing w:before="114" w:after="114"/>
              <w:ind w:left="0"/>
              <w:rPr>
                <w:b w:val="0"/>
                <w:sz w:val="20"/>
                <w:szCs w:val="20"/>
              </w:rPr>
            </w:pPr>
            <w:r w:rsidRPr="00523963">
              <w:rPr>
                <w:b w:val="0"/>
                <w:sz w:val="20"/>
                <w:szCs w:val="20"/>
              </w:rPr>
              <w:t xml:space="preserve">Phase out Method 1 estimation methodologies for fugitive methane emissions, including as a matter of urgency for the extraction of coal in </w:t>
            </w:r>
            <w:r w:rsidR="00CB5EA9">
              <w:rPr>
                <w:b w:val="0"/>
                <w:sz w:val="20"/>
                <w:szCs w:val="20"/>
              </w:rPr>
              <w:t>open cut</w:t>
            </w:r>
            <w:r w:rsidRPr="00523963">
              <w:rPr>
                <w:b w:val="0"/>
                <w:sz w:val="20"/>
                <w:szCs w:val="20"/>
              </w:rPr>
              <w:t xml:space="preserve"> coal mining.</w:t>
            </w:r>
          </w:p>
        </w:tc>
        <w:tc>
          <w:tcPr>
            <w:tcW w:w="1112" w:type="pct"/>
          </w:tcPr>
          <w:p w14:paraId="22C2B77C" w14:textId="77777777" w:rsidR="00E3684D" w:rsidRPr="00523963" w:rsidRDefault="00E3684D" w:rsidP="0058776B">
            <w:pPr>
              <w:spacing w:before="114" w:after="114"/>
              <w:cnfStyle w:val="000000100000" w:firstRow="0" w:lastRow="0" w:firstColumn="0" w:lastColumn="0" w:oddVBand="0" w:evenVBand="0" w:oddHBand="1" w:evenHBand="0" w:firstRowFirstColumn="0" w:firstRowLastColumn="0" w:lastRowFirstColumn="0" w:lastRowLastColumn="0"/>
              <w:rPr>
                <w:sz w:val="20"/>
                <w:szCs w:val="20"/>
              </w:rPr>
            </w:pPr>
            <w:r w:rsidRPr="00523963">
              <w:rPr>
                <w:sz w:val="20"/>
                <w:szCs w:val="20"/>
              </w:rPr>
              <w:t>Agreed-in-principle</w:t>
            </w:r>
            <w:r>
              <w:rPr>
                <w:rStyle w:val="FootnoteReference"/>
                <w:bCs/>
                <w:sz w:val="20"/>
                <w:szCs w:val="20"/>
              </w:rPr>
              <w:footnoteReference w:id="5"/>
            </w:r>
            <w:r>
              <w:rPr>
                <w:sz w:val="20"/>
                <w:szCs w:val="20"/>
              </w:rPr>
              <w:t xml:space="preserve"> </w:t>
            </w:r>
          </w:p>
        </w:tc>
      </w:tr>
      <w:tr w:rsidR="00E3684D" w:rsidRPr="00523963" w14:paraId="6FCE1B4C" w14:textId="77777777" w:rsidTr="007C4DF8">
        <w:tc>
          <w:tcPr>
            <w:cnfStyle w:val="001000000000" w:firstRow="0" w:lastRow="0" w:firstColumn="1" w:lastColumn="0" w:oddVBand="0" w:evenVBand="0" w:oddHBand="0" w:evenHBand="0" w:firstRowFirstColumn="0" w:firstRowLastColumn="0" w:lastRowFirstColumn="0" w:lastRowLastColumn="0"/>
            <w:tcW w:w="3888" w:type="pct"/>
          </w:tcPr>
          <w:p w14:paraId="34608158" w14:textId="22F83E78" w:rsidR="00E3684D" w:rsidRPr="00523963" w:rsidRDefault="00E3684D" w:rsidP="004A6510">
            <w:pPr>
              <w:spacing w:before="114" w:after="114"/>
              <w:ind w:left="0"/>
              <w:rPr>
                <w:b w:val="0"/>
                <w:sz w:val="20"/>
                <w:szCs w:val="20"/>
              </w:rPr>
            </w:pPr>
            <w:r w:rsidRPr="00523963">
              <w:rPr>
                <w:b w:val="0"/>
                <w:sz w:val="20"/>
                <w:szCs w:val="20"/>
              </w:rPr>
              <w:t xml:space="preserve">Resource the </w:t>
            </w:r>
            <w:r>
              <w:rPr>
                <w:b w:val="0"/>
                <w:sz w:val="20"/>
                <w:szCs w:val="20"/>
              </w:rPr>
              <w:t>D</w:t>
            </w:r>
            <w:r w:rsidRPr="00523963">
              <w:rPr>
                <w:b w:val="0"/>
                <w:sz w:val="20"/>
                <w:szCs w:val="20"/>
              </w:rPr>
              <w:t>epartment to establish higher order estimation methods for all fugitive methane emission sources included in the Measurement Determination.</w:t>
            </w:r>
          </w:p>
        </w:tc>
        <w:tc>
          <w:tcPr>
            <w:tcW w:w="1112" w:type="pct"/>
          </w:tcPr>
          <w:p w14:paraId="754EEC59" w14:textId="77777777" w:rsidR="00E3684D" w:rsidRPr="00523963" w:rsidRDefault="00E3684D" w:rsidP="0058776B">
            <w:pPr>
              <w:spacing w:before="114" w:after="114"/>
              <w:cnfStyle w:val="000000000000" w:firstRow="0" w:lastRow="0" w:firstColumn="0" w:lastColumn="0" w:oddVBand="0" w:evenVBand="0" w:oddHBand="0" w:evenHBand="0" w:firstRowFirstColumn="0" w:firstRowLastColumn="0" w:lastRowFirstColumn="0" w:lastRowLastColumn="0"/>
              <w:rPr>
                <w:sz w:val="20"/>
                <w:szCs w:val="20"/>
              </w:rPr>
            </w:pPr>
            <w:r w:rsidRPr="00523963">
              <w:rPr>
                <w:sz w:val="20"/>
                <w:szCs w:val="20"/>
              </w:rPr>
              <w:t>Agreed-in-principle</w:t>
            </w:r>
          </w:p>
        </w:tc>
      </w:tr>
      <w:tr w:rsidR="00E3684D" w:rsidRPr="007F51A1" w14:paraId="387D27DF" w14:textId="77777777" w:rsidTr="007C4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pct"/>
          </w:tcPr>
          <w:p w14:paraId="50FA344F" w14:textId="2881385E" w:rsidR="00E3684D" w:rsidRPr="00523963" w:rsidRDefault="00E3684D" w:rsidP="004A6510">
            <w:pPr>
              <w:spacing w:before="114" w:after="114"/>
              <w:ind w:left="0"/>
              <w:rPr>
                <w:b w:val="0"/>
                <w:sz w:val="20"/>
                <w:szCs w:val="20"/>
              </w:rPr>
            </w:pPr>
            <w:r w:rsidRPr="00523963">
              <w:rPr>
                <w:b w:val="0"/>
                <w:sz w:val="20"/>
                <w:szCs w:val="20"/>
              </w:rPr>
              <w:t xml:space="preserve">As a matter of urgency, review Method 2 for extraction of coal in open cut coal mining with respect to sampling requirements and standards. </w:t>
            </w:r>
          </w:p>
        </w:tc>
        <w:tc>
          <w:tcPr>
            <w:tcW w:w="1112" w:type="pct"/>
          </w:tcPr>
          <w:p w14:paraId="29B5A4B9" w14:textId="77777777" w:rsidR="00E3684D" w:rsidRPr="00523963" w:rsidRDefault="00E3684D" w:rsidP="0058776B">
            <w:pPr>
              <w:keepNext/>
              <w:spacing w:before="114" w:after="190" w:line="276" w:lineRule="auto"/>
              <w:cnfStyle w:val="000000100000" w:firstRow="0" w:lastRow="0" w:firstColumn="0" w:lastColumn="0" w:oddVBand="0" w:evenVBand="0" w:oddHBand="1" w:evenHBand="0" w:firstRowFirstColumn="0" w:firstRowLastColumn="0" w:lastRowFirstColumn="0" w:lastRowLastColumn="0"/>
              <w:rPr>
                <w:rFonts w:cs="Calibri"/>
                <w:sz w:val="20"/>
                <w:szCs w:val="20"/>
              </w:rPr>
            </w:pPr>
            <w:r w:rsidRPr="00523963">
              <w:rPr>
                <w:rFonts w:cs="Calibri"/>
                <w:sz w:val="20"/>
                <w:szCs w:val="20"/>
              </w:rPr>
              <w:t>Agreed</w:t>
            </w:r>
          </w:p>
        </w:tc>
      </w:tr>
      <w:tr w:rsidR="00E3684D" w:rsidRPr="007F51A1" w14:paraId="1A4BD111" w14:textId="77777777" w:rsidTr="007C4DF8">
        <w:tc>
          <w:tcPr>
            <w:cnfStyle w:val="001000000000" w:firstRow="0" w:lastRow="0" w:firstColumn="1" w:lastColumn="0" w:oddVBand="0" w:evenVBand="0" w:oddHBand="0" w:evenHBand="0" w:firstRowFirstColumn="0" w:firstRowLastColumn="0" w:lastRowFirstColumn="0" w:lastRowLastColumn="0"/>
            <w:tcW w:w="3888" w:type="pct"/>
          </w:tcPr>
          <w:p w14:paraId="346F679C" w14:textId="391D1DE0" w:rsidR="00E3684D" w:rsidRPr="00F661B9" w:rsidRDefault="00E3684D" w:rsidP="004A6510">
            <w:pPr>
              <w:spacing w:before="114" w:after="114"/>
              <w:ind w:left="0"/>
              <w:rPr>
                <w:b w:val="0"/>
                <w:bCs w:val="0"/>
                <w:sz w:val="20"/>
                <w:szCs w:val="20"/>
              </w:rPr>
            </w:pPr>
            <w:r w:rsidRPr="00F661B9">
              <w:rPr>
                <w:b w:val="0"/>
                <w:bCs w:val="0"/>
                <w:sz w:val="20"/>
                <w:szCs w:val="20"/>
              </w:rPr>
              <w:t>Review the requirement for integrated gas facilities to use the same method across activities to allow for flexibility to use higher order methods for larger emission sources, while ensuring integrity of estimated emissions.</w:t>
            </w:r>
          </w:p>
        </w:tc>
        <w:tc>
          <w:tcPr>
            <w:tcW w:w="1112" w:type="pct"/>
          </w:tcPr>
          <w:p w14:paraId="30E69E18" w14:textId="77777777" w:rsidR="00E3684D" w:rsidRPr="00D578B0" w:rsidRDefault="00E3684D" w:rsidP="0058776B">
            <w:pPr>
              <w:spacing w:before="114" w:after="114"/>
              <w:cnfStyle w:val="000000000000" w:firstRow="0" w:lastRow="0" w:firstColumn="0" w:lastColumn="0" w:oddVBand="0" w:evenVBand="0" w:oddHBand="0" w:evenHBand="0" w:firstRowFirstColumn="0" w:firstRowLastColumn="0" w:lastRowFirstColumn="0" w:lastRowLastColumn="0"/>
              <w:rPr>
                <w:sz w:val="20"/>
                <w:szCs w:val="20"/>
              </w:rPr>
            </w:pPr>
            <w:r w:rsidRPr="00D578B0">
              <w:rPr>
                <w:sz w:val="20"/>
                <w:szCs w:val="20"/>
              </w:rPr>
              <w:t>Agreed</w:t>
            </w:r>
          </w:p>
        </w:tc>
      </w:tr>
      <w:tr w:rsidR="00E3684D" w:rsidRPr="007F51A1" w14:paraId="46ED838B" w14:textId="77777777" w:rsidTr="007C4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pct"/>
          </w:tcPr>
          <w:p w14:paraId="69A0448D" w14:textId="2D0FF304" w:rsidR="00E3684D" w:rsidRPr="00F661B9" w:rsidRDefault="00E3684D" w:rsidP="004A6510">
            <w:pPr>
              <w:spacing w:before="114" w:after="114"/>
              <w:ind w:left="0"/>
              <w:rPr>
                <w:b w:val="0"/>
                <w:bCs w:val="0"/>
                <w:sz w:val="20"/>
                <w:szCs w:val="20"/>
              </w:rPr>
            </w:pPr>
            <w:r w:rsidRPr="00F661B9">
              <w:rPr>
                <w:b w:val="0"/>
                <w:bCs w:val="0"/>
                <w:sz w:val="20"/>
                <w:szCs w:val="20"/>
              </w:rPr>
              <w:t>Commission a panel of Australian and international experts to establish a best practice process to document the standards and requirements for making transparent, repeatable and credible top-down measurements of fugitive methane emissions from Australian facilities. This panel should evaluate whether any further research studies are needed and should be resourced to conduct required studies. The panel of experts should be commissioned in the first quarter of 2024, and the guidelines for making top-down verification measurements published as soon as practicable.</w:t>
            </w:r>
          </w:p>
        </w:tc>
        <w:tc>
          <w:tcPr>
            <w:tcW w:w="1112" w:type="pct"/>
          </w:tcPr>
          <w:p w14:paraId="4472CB16" w14:textId="77777777" w:rsidR="00E3684D" w:rsidRPr="00D578B0" w:rsidRDefault="00E3684D" w:rsidP="0058776B">
            <w:pPr>
              <w:spacing w:before="114" w:after="114"/>
              <w:cnfStyle w:val="000000100000" w:firstRow="0" w:lastRow="0" w:firstColumn="0" w:lastColumn="0" w:oddVBand="0" w:evenVBand="0" w:oddHBand="1" w:evenHBand="0" w:firstRowFirstColumn="0" w:firstRowLastColumn="0" w:lastRowFirstColumn="0" w:lastRowLastColumn="0"/>
              <w:rPr>
                <w:sz w:val="20"/>
                <w:szCs w:val="20"/>
              </w:rPr>
            </w:pPr>
            <w:r w:rsidRPr="00D578B0">
              <w:rPr>
                <w:sz w:val="20"/>
                <w:szCs w:val="20"/>
              </w:rPr>
              <w:t>Agreed</w:t>
            </w:r>
          </w:p>
          <w:p w14:paraId="02E5DA1F" w14:textId="77777777" w:rsidR="00E3684D" w:rsidRPr="00523963" w:rsidRDefault="00E3684D" w:rsidP="0058776B">
            <w:pPr>
              <w:spacing w:before="114" w:after="190" w:line="276" w:lineRule="auto"/>
              <w:cnfStyle w:val="000000100000" w:firstRow="0" w:lastRow="0" w:firstColumn="0" w:lastColumn="0" w:oddVBand="0" w:evenVBand="0" w:oddHBand="1" w:evenHBand="0" w:firstRowFirstColumn="0" w:firstRowLastColumn="0" w:lastRowFirstColumn="0" w:lastRowLastColumn="0"/>
              <w:rPr>
                <w:rFonts w:cs="Calibri"/>
                <w:sz w:val="20"/>
                <w:szCs w:val="20"/>
              </w:rPr>
            </w:pPr>
          </w:p>
        </w:tc>
      </w:tr>
      <w:tr w:rsidR="00E3684D" w:rsidRPr="007F51A1" w14:paraId="4B54D702" w14:textId="77777777" w:rsidTr="007C4DF8">
        <w:tc>
          <w:tcPr>
            <w:cnfStyle w:val="001000000000" w:firstRow="0" w:lastRow="0" w:firstColumn="1" w:lastColumn="0" w:oddVBand="0" w:evenVBand="0" w:oddHBand="0" w:evenHBand="0" w:firstRowFirstColumn="0" w:firstRowLastColumn="0" w:lastRowFirstColumn="0" w:lastRowLastColumn="0"/>
            <w:tcW w:w="3888" w:type="pct"/>
          </w:tcPr>
          <w:p w14:paraId="20DC52C0" w14:textId="7860082C" w:rsidR="00E3684D" w:rsidRPr="00F661B9" w:rsidRDefault="00E3684D" w:rsidP="004A6510">
            <w:pPr>
              <w:spacing w:before="114" w:after="114"/>
              <w:ind w:left="0"/>
              <w:rPr>
                <w:b w:val="0"/>
                <w:bCs w:val="0"/>
                <w:sz w:val="20"/>
                <w:szCs w:val="20"/>
              </w:rPr>
            </w:pPr>
            <w:r w:rsidRPr="00F661B9">
              <w:rPr>
                <w:b w:val="0"/>
                <w:bCs w:val="0"/>
                <w:sz w:val="20"/>
                <w:szCs w:val="20"/>
              </w:rPr>
              <w:t>Develop a top-down verification policy framework for the verification of bottom-up estimates of fugitive methane emissions reported under the NGER scheme. This should be phased in on a trial basis as soon as practicable, with mandatory verification using top-down measurements commencing the year after. If any discrepancies are found between bottom-up estimates obtained using an NGER method and the top-down verification measurement, the bottom-up measurement approach should be refined by the reporting entity to reconcile the emission estimates.</w:t>
            </w:r>
          </w:p>
        </w:tc>
        <w:tc>
          <w:tcPr>
            <w:tcW w:w="1112" w:type="pct"/>
          </w:tcPr>
          <w:p w14:paraId="3F5F65C5" w14:textId="77777777" w:rsidR="00E3684D" w:rsidRPr="00D578B0" w:rsidRDefault="00E3684D" w:rsidP="0058776B">
            <w:pPr>
              <w:spacing w:before="114" w:after="114"/>
              <w:cnfStyle w:val="000000000000" w:firstRow="0" w:lastRow="0" w:firstColumn="0" w:lastColumn="0" w:oddVBand="0" w:evenVBand="0" w:oddHBand="0" w:evenHBand="0" w:firstRowFirstColumn="0" w:firstRowLastColumn="0" w:lastRowFirstColumn="0" w:lastRowLastColumn="0"/>
              <w:rPr>
                <w:sz w:val="20"/>
                <w:szCs w:val="20"/>
              </w:rPr>
            </w:pPr>
            <w:r w:rsidRPr="00D578B0">
              <w:rPr>
                <w:sz w:val="20"/>
                <w:szCs w:val="20"/>
              </w:rPr>
              <w:t>Agreed-in-principle</w:t>
            </w:r>
          </w:p>
          <w:p w14:paraId="49CFFE1F" w14:textId="77777777" w:rsidR="00E3684D" w:rsidRPr="00D578B0" w:rsidRDefault="00E3684D" w:rsidP="0058776B">
            <w:pPr>
              <w:spacing w:before="114" w:after="114"/>
              <w:cnfStyle w:val="000000000000" w:firstRow="0" w:lastRow="0" w:firstColumn="0" w:lastColumn="0" w:oddVBand="0" w:evenVBand="0" w:oddHBand="0" w:evenHBand="0" w:firstRowFirstColumn="0" w:firstRowLastColumn="0" w:lastRowFirstColumn="0" w:lastRowLastColumn="0"/>
              <w:rPr>
                <w:sz w:val="20"/>
                <w:szCs w:val="20"/>
              </w:rPr>
            </w:pPr>
          </w:p>
        </w:tc>
      </w:tr>
      <w:tr w:rsidR="00E3684D" w:rsidRPr="007F51A1" w14:paraId="497E4592" w14:textId="77777777" w:rsidTr="007C4D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8" w:type="pct"/>
          </w:tcPr>
          <w:p w14:paraId="10C94936" w14:textId="17267F4A" w:rsidR="00E3684D" w:rsidRPr="00F661B9" w:rsidRDefault="00E3684D" w:rsidP="004A6510">
            <w:pPr>
              <w:spacing w:before="114" w:after="114"/>
              <w:ind w:left="0"/>
              <w:rPr>
                <w:b w:val="0"/>
                <w:bCs w:val="0"/>
                <w:sz w:val="20"/>
                <w:szCs w:val="20"/>
              </w:rPr>
            </w:pPr>
            <w:r w:rsidRPr="00F661B9">
              <w:rPr>
                <w:b w:val="0"/>
                <w:bCs w:val="0"/>
                <w:sz w:val="20"/>
                <w:szCs w:val="20"/>
              </w:rPr>
              <w:t>Determine the appropriate requirements to be met for future use of satellite technology in detection of fugitive methane emissions, and for verification of estimated fugitive methane emissions.</w:t>
            </w:r>
          </w:p>
        </w:tc>
        <w:tc>
          <w:tcPr>
            <w:tcW w:w="1112" w:type="pct"/>
          </w:tcPr>
          <w:p w14:paraId="150A5C29" w14:textId="77777777" w:rsidR="00E3684D" w:rsidRPr="00D578B0" w:rsidRDefault="00E3684D" w:rsidP="0058776B">
            <w:pPr>
              <w:spacing w:before="114" w:after="114"/>
              <w:cnfStyle w:val="000000100000" w:firstRow="0" w:lastRow="0" w:firstColumn="0" w:lastColumn="0" w:oddVBand="0" w:evenVBand="0" w:oddHBand="1" w:evenHBand="0" w:firstRowFirstColumn="0" w:firstRowLastColumn="0" w:lastRowFirstColumn="0" w:lastRowLastColumn="0"/>
              <w:rPr>
                <w:sz w:val="20"/>
                <w:szCs w:val="20"/>
              </w:rPr>
            </w:pPr>
            <w:r w:rsidRPr="00D578B0">
              <w:rPr>
                <w:sz w:val="20"/>
                <w:szCs w:val="20"/>
              </w:rPr>
              <w:t>Agreed-in-principle</w:t>
            </w:r>
          </w:p>
        </w:tc>
      </w:tr>
      <w:tr w:rsidR="00E3684D" w:rsidRPr="007F51A1" w14:paraId="7B59CF28" w14:textId="77777777" w:rsidTr="007C4DF8">
        <w:tc>
          <w:tcPr>
            <w:cnfStyle w:val="001000000000" w:firstRow="0" w:lastRow="0" w:firstColumn="1" w:lastColumn="0" w:oddVBand="0" w:evenVBand="0" w:oddHBand="0" w:evenHBand="0" w:firstRowFirstColumn="0" w:firstRowLastColumn="0" w:lastRowFirstColumn="0" w:lastRowLastColumn="0"/>
            <w:tcW w:w="3888" w:type="pct"/>
          </w:tcPr>
          <w:p w14:paraId="0C3FC01E" w14:textId="3AEE04BD" w:rsidR="00E3684D" w:rsidRPr="00F661B9" w:rsidRDefault="00E3684D" w:rsidP="004A6510">
            <w:pPr>
              <w:spacing w:before="114" w:after="114"/>
              <w:ind w:left="0"/>
              <w:rPr>
                <w:b w:val="0"/>
                <w:bCs w:val="0"/>
                <w:sz w:val="20"/>
                <w:szCs w:val="20"/>
              </w:rPr>
            </w:pPr>
            <w:r w:rsidRPr="00F661B9">
              <w:rPr>
                <w:b w:val="0"/>
                <w:bCs w:val="0"/>
                <w:sz w:val="20"/>
                <w:szCs w:val="20"/>
              </w:rPr>
              <w:t>Prioritise and support the development of Australia’s sovereign capability in methane emissions measurement and quantification, by building on existing expertise and leveraging international partnerships where appropriate.</w:t>
            </w:r>
          </w:p>
        </w:tc>
        <w:tc>
          <w:tcPr>
            <w:tcW w:w="1112" w:type="pct"/>
          </w:tcPr>
          <w:p w14:paraId="04B9FCB8" w14:textId="77777777" w:rsidR="00E3684D" w:rsidRPr="00D578B0" w:rsidRDefault="00E3684D" w:rsidP="0058776B">
            <w:pPr>
              <w:spacing w:before="114" w:after="114"/>
              <w:cnfStyle w:val="000000000000" w:firstRow="0" w:lastRow="0" w:firstColumn="0" w:lastColumn="0" w:oddVBand="0" w:evenVBand="0" w:oddHBand="0" w:evenHBand="0" w:firstRowFirstColumn="0" w:firstRowLastColumn="0" w:lastRowFirstColumn="0" w:lastRowLastColumn="0"/>
              <w:rPr>
                <w:sz w:val="20"/>
                <w:szCs w:val="20"/>
              </w:rPr>
            </w:pPr>
            <w:r w:rsidRPr="00D578B0">
              <w:rPr>
                <w:sz w:val="20"/>
                <w:szCs w:val="20"/>
              </w:rPr>
              <w:t>Agreed</w:t>
            </w:r>
          </w:p>
          <w:p w14:paraId="6E20CCB3" w14:textId="77777777" w:rsidR="00E3684D" w:rsidRPr="00523963" w:rsidRDefault="00E3684D" w:rsidP="0058776B">
            <w:pPr>
              <w:spacing w:before="114" w:after="190" w:line="276" w:lineRule="auto"/>
              <w:cnfStyle w:val="000000000000" w:firstRow="0" w:lastRow="0" w:firstColumn="0" w:lastColumn="0" w:oddVBand="0" w:evenVBand="0" w:oddHBand="0" w:evenHBand="0" w:firstRowFirstColumn="0" w:firstRowLastColumn="0" w:lastRowFirstColumn="0" w:lastRowLastColumn="0"/>
              <w:rPr>
                <w:rFonts w:cs="Calibri"/>
                <w:sz w:val="20"/>
                <w:szCs w:val="20"/>
              </w:rPr>
            </w:pPr>
          </w:p>
        </w:tc>
      </w:tr>
    </w:tbl>
    <w:p w14:paraId="3F6D3388" w14:textId="49424BF6" w:rsidR="00E3684D" w:rsidRPr="00523963" w:rsidRDefault="00E3684D" w:rsidP="00E3684D">
      <w:pPr>
        <w:spacing w:after="200" w:line="276" w:lineRule="auto"/>
        <w:rPr>
          <w:rFonts w:cs="Calibri"/>
        </w:rPr>
      </w:pPr>
      <w:r w:rsidRPr="00523963">
        <w:rPr>
          <w:rFonts w:cs="Calibri"/>
        </w:rPr>
        <w:lastRenderedPageBreak/>
        <w:t xml:space="preserve">The Australian Government is implementing its response to the 2023 </w:t>
      </w:r>
      <w:r>
        <w:rPr>
          <w:rFonts w:cs="Calibri"/>
        </w:rPr>
        <w:t xml:space="preserve">Climate Change Authority </w:t>
      </w:r>
      <w:r w:rsidRPr="00523963">
        <w:rPr>
          <w:rFonts w:cs="Calibri"/>
        </w:rPr>
        <w:t xml:space="preserve">review of the NGER scheme. This includes further enhancing the transparency and accuracy of fugitive methane emissions estimation through reforms to the Safeguard Mechanism and the </w:t>
      </w:r>
      <w:r w:rsidR="006A3FFA">
        <w:rPr>
          <w:rFonts w:cs="Calibri"/>
        </w:rPr>
        <w:t>regular</w:t>
      </w:r>
      <w:r w:rsidR="00AB3B4E" w:rsidRPr="00523963">
        <w:rPr>
          <w:rFonts w:cs="Calibri"/>
        </w:rPr>
        <w:t xml:space="preserve"> </w:t>
      </w:r>
      <w:r w:rsidRPr="00523963">
        <w:rPr>
          <w:rFonts w:cs="Calibri"/>
        </w:rPr>
        <w:t>NGER scheme review and update. Improvements include:</w:t>
      </w:r>
    </w:p>
    <w:p w14:paraId="5B5EC7F0" w14:textId="3C4D2AAD" w:rsidR="00E3684D" w:rsidRPr="00E3684D" w:rsidRDefault="00E3684D" w:rsidP="00E3684D">
      <w:pPr>
        <w:pStyle w:val="ListParagraph"/>
        <w:numPr>
          <w:ilvl w:val="0"/>
          <w:numId w:val="18"/>
        </w:numPr>
        <w:spacing w:before="0" w:after="200" w:line="276" w:lineRule="auto"/>
        <w:ind w:left="714" w:hanging="357"/>
        <w:contextualSpacing w:val="0"/>
        <w:rPr>
          <w:rFonts w:cs="Calibri"/>
          <w:sz w:val="21"/>
          <w:szCs w:val="21"/>
        </w:rPr>
      </w:pPr>
      <w:r w:rsidRPr="00E3684D">
        <w:rPr>
          <w:rFonts w:cs="Calibri"/>
          <w:sz w:val="21"/>
          <w:szCs w:val="21"/>
        </w:rPr>
        <w:t xml:space="preserve">phasing out the use of Method 1 (least technically sophisticated method with minimal facility-specific data) for estimating fugitive methane emissions from coal extraction from </w:t>
      </w:r>
      <w:r w:rsidR="00CB5EA9">
        <w:rPr>
          <w:rFonts w:cs="Calibri"/>
          <w:sz w:val="21"/>
          <w:szCs w:val="21"/>
        </w:rPr>
        <w:t>open cut</w:t>
      </w:r>
      <w:r w:rsidRPr="00E3684D">
        <w:rPr>
          <w:rFonts w:cs="Calibri"/>
          <w:sz w:val="21"/>
          <w:szCs w:val="21"/>
        </w:rPr>
        <w:t xml:space="preserve"> mines covered by the Safeguard Mechanism (consistent with the government’s response to recommendation 15 of the 2023 CCA review)</w:t>
      </w:r>
    </w:p>
    <w:p w14:paraId="5E2932BA" w14:textId="77777777" w:rsidR="00E3684D" w:rsidRPr="00E3684D" w:rsidRDefault="00E3684D" w:rsidP="00E3684D">
      <w:pPr>
        <w:pStyle w:val="ListParagraph"/>
        <w:numPr>
          <w:ilvl w:val="0"/>
          <w:numId w:val="18"/>
        </w:numPr>
        <w:spacing w:before="0" w:after="200" w:line="276" w:lineRule="auto"/>
        <w:ind w:left="714" w:hanging="357"/>
        <w:contextualSpacing w:val="0"/>
        <w:rPr>
          <w:rFonts w:cs="Calibri"/>
          <w:sz w:val="21"/>
          <w:szCs w:val="21"/>
        </w:rPr>
      </w:pPr>
      <w:r w:rsidRPr="00E3684D">
        <w:rPr>
          <w:rFonts w:cs="Calibri"/>
          <w:sz w:val="21"/>
          <w:szCs w:val="21"/>
        </w:rPr>
        <w:t xml:space="preserve">introducing an additional Method 2 (more technically sophisticated method with more facility-specific data) to enable more accurate estimation of fugitive methane emissions from flaring of gas in natural gas production, transmission and distribution </w:t>
      </w:r>
    </w:p>
    <w:p w14:paraId="6D8C0307" w14:textId="77777777" w:rsidR="00E3684D" w:rsidRPr="00E3684D" w:rsidRDefault="00E3684D" w:rsidP="00E3684D">
      <w:pPr>
        <w:pStyle w:val="ListParagraph"/>
        <w:numPr>
          <w:ilvl w:val="0"/>
          <w:numId w:val="18"/>
        </w:numPr>
        <w:spacing w:before="0" w:after="200" w:line="276" w:lineRule="auto"/>
        <w:ind w:left="714" w:hanging="357"/>
        <w:contextualSpacing w:val="0"/>
        <w:rPr>
          <w:rFonts w:cs="Calibri"/>
          <w:sz w:val="21"/>
          <w:szCs w:val="21"/>
        </w:rPr>
      </w:pPr>
      <w:r w:rsidRPr="00E3684D">
        <w:rPr>
          <w:rFonts w:cs="Calibri"/>
          <w:sz w:val="21"/>
          <w:szCs w:val="21"/>
        </w:rPr>
        <w:t xml:space="preserve">improving Method 2 for estimating fugitive methane emissions from produced water from oil or gas operations to better reflect on-site operations and incentivise on-site abatement </w:t>
      </w:r>
    </w:p>
    <w:p w14:paraId="2F5D0E3E" w14:textId="77777777" w:rsidR="00E3684D" w:rsidRPr="00E3684D" w:rsidRDefault="00E3684D" w:rsidP="00E3684D">
      <w:pPr>
        <w:pStyle w:val="ListParagraph"/>
        <w:numPr>
          <w:ilvl w:val="0"/>
          <w:numId w:val="18"/>
        </w:numPr>
        <w:spacing w:before="0" w:after="200" w:line="276" w:lineRule="auto"/>
        <w:ind w:left="714" w:hanging="357"/>
        <w:contextualSpacing w:val="0"/>
        <w:rPr>
          <w:rFonts w:cs="Calibri"/>
          <w:sz w:val="21"/>
          <w:szCs w:val="21"/>
        </w:rPr>
      </w:pPr>
      <w:r w:rsidRPr="00E3684D">
        <w:rPr>
          <w:rFonts w:cs="Calibri"/>
          <w:sz w:val="21"/>
          <w:szCs w:val="21"/>
        </w:rPr>
        <w:t xml:space="preserve">improving completeness by reinstating a method for estimating fugitive methane emissions from oil or gas exploration and development mud de-gassing activities </w:t>
      </w:r>
    </w:p>
    <w:p w14:paraId="1FF82D2D" w14:textId="77777777" w:rsidR="00E3684D" w:rsidRPr="00E3684D" w:rsidRDefault="00E3684D" w:rsidP="00E3684D">
      <w:pPr>
        <w:pStyle w:val="ListParagraph"/>
        <w:numPr>
          <w:ilvl w:val="0"/>
          <w:numId w:val="18"/>
        </w:numPr>
        <w:spacing w:before="0" w:after="200" w:line="276" w:lineRule="auto"/>
        <w:ind w:left="714" w:hanging="357"/>
        <w:contextualSpacing w:val="0"/>
        <w:rPr>
          <w:rFonts w:cs="Calibri"/>
          <w:sz w:val="21"/>
          <w:szCs w:val="21"/>
        </w:rPr>
      </w:pPr>
      <w:r w:rsidRPr="00E3684D">
        <w:rPr>
          <w:rFonts w:cs="Calibri"/>
          <w:sz w:val="21"/>
          <w:szCs w:val="21"/>
        </w:rPr>
        <w:t xml:space="preserve">improving the accuracy of emission factors for estimating fugitive methane emissions from flaring during oil and gas operations </w:t>
      </w:r>
    </w:p>
    <w:p w14:paraId="0EE9EA39" w14:textId="77777777" w:rsidR="00E3684D" w:rsidRPr="00E3684D" w:rsidRDefault="00E3684D" w:rsidP="00E3684D">
      <w:pPr>
        <w:pStyle w:val="ListParagraph"/>
        <w:numPr>
          <w:ilvl w:val="0"/>
          <w:numId w:val="18"/>
        </w:numPr>
        <w:spacing w:before="0" w:after="200" w:line="276" w:lineRule="auto"/>
        <w:ind w:left="714" w:hanging="357"/>
        <w:contextualSpacing w:val="0"/>
        <w:rPr>
          <w:rFonts w:cs="Calibri"/>
          <w:sz w:val="21"/>
          <w:szCs w:val="21"/>
        </w:rPr>
      </w:pPr>
      <w:r w:rsidRPr="00E3684D">
        <w:rPr>
          <w:rFonts w:cs="Calibri"/>
          <w:sz w:val="21"/>
          <w:szCs w:val="21"/>
        </w:rPr>
        <w:t>requiring publication of the methods used by Safeguard Mechanism facilities to estimate fugitive methane emissions</w:t>
      </w:r>
    </w:p>
    <w:p w14:paraId="3ECB3C23" w14:textId="77777777" w:rsidR="00E3684D" w:rsidRPr="00523963" w:rsidRDefault="00E3684D" w:rsidP="00E3684D">
      <w:pPr>
        <w:pStyle w:val="ListParagraph"/>
        <w:numPr>
          <w:ilvl w:val="0"/>
          <w:numId w:val="18"/>
        </w:numPr>
        <w:spacing w:before="0" w:after="200" w:line="276" w:lineRule="auto"/>
        <w:ind w:left="714" w:hanging="357"/>
        <w:contextualSpacing w:val="0"/>
        <w:rPr>
          <w:rFonts w:cs="Calibri"/>
        </w:rPr>
      </w:pPr>
      <w:r w:rsidRPr="00E3684D">
        <w:rPr>
          <w:rFonts w:cs="Calibri"/>
          <w:sz w:val="21"/>
          <w:szCs w:val="21"/>
        </w:rPr>
        <w:t>requiring publication of methane, carbon dioxide and nitrous oxide, emissions reported by Safeguard Mechanism facilities.</w:t>
      </w:r>
      <w:r w:rsidRPr="00523963">
        <w:rPr>
          <w:rFonts w:cs="Calibri"/>
        </w:rPr>
        <w:t xml:space="preserve"> </w:t>
      </w:r>
    </w:p>
    <w:p w14:paraId="15CEE3BC" w14:textId="77777777" w:rsidR="00E3684D" w:rsidRPr="00523963" w:rsidRDefault="00E3684D" w:rsidP="00E3684D">
      <w:pPr>
        <w:spacing w:after="200" w:line="276" w:lineRule="auto"/>
        <w:rPr>
          <w:rFonts w:cs="Calibri"/>
          <w:b/>
        </w:rPr>
      </w:pPr>
      <w:r w:rsidRPr="00523963">
        <w:rPr>
          <w:rFonts w:cs="Calibri"/>
        </w:rPr>
        <w:t xml:space="preserve">In parallel, </w:t>
      </w:r>
      <w:r>
        <w:rPr>
          <w:rFonts w:cs="Calibri"/>
        </w:rPr>
        <w:t>DCCEEW</w:t>
      </w:r>
      <w:r w:rsidRPr="00523963">
        <w:rPr>
          <w:rFonts w:cs="Calibri"/>
        </w:rPr>
        <w:t xml:space="preserve"> has established </w:t>
      </w:r>
      <w:r>
        <w:rPr>
          <w:rFonts w:cs="Calibri"/>
        </w:rPr>
        <w:t>3</w:t>
      </w:r>
      <w:r w:rsidRPr="00523963">
        <w:rPr>
          <w:rFonts w:cs="Calibri"/>
        </w:rPr>
        <w:t xml:space="preserve"> workstreams to support further improvements to fugitive methane emission estimation in the medium to longer-term.</w:t>
      </w:r>
    </w:p>
    <w:p w14:paraId="3D034EAE" w14:textId="552A1373" w:rsidR="00E3684D" w:rsidRPr="00523963" w:rsidRDefault="00E3684D" w:rsidP="0018586C">
      <w:pPr>
        <w:pStyle w:val="L3SectionHeading"/>
      </w:pPr>
      <w:r w:rsidRPr="00523963">
        <w:t xml:space="preserve">Review of Method 2 for estimating fugitive emissions from </w:t>
      </w:r>
      <w:r w:rsidR="00CB5EA9">
        <w:t>open cut</w:t>
      </w:r>
      <w:r w:rsidRPr="00523963">
        <w:t xml:space="preserve"> coal mine extraction</w:t>
      </w:r>
    </w:p>
    <w:p w14:paraId="20AB8AF2" w14:textId="77777777" w:rsidR="008B36CD" w:rsidRPr="00523963" w:rsidRDefault="008B36CD" w:rsidP="008B36CD">
      <w:pPr>
        <w:keepNext/>
        <w:spacing w:after="200" w:line="276" w:lineRule="auto"/>
        <w:rPr>
          <w:rFonts w:cs="Calibri"/>
        </w:rPr>
      </w:pPr>
      <w:r>
        <w:rPr>
          <w:rFonts w:cs="Calibri"/>
        </w:rPr>
        <w:t xml:space="preserve">Consistent with the government’s response to recommendation 17 </w:t>
      </w:r>
      <w:r w:rsidRPr="00350EA4">
        <w:rPr>
          <w:rFonts w:cs="Calibri"/>
        </w:rPr>
        <w:t>of the 2023 CCA review, review of Method 2 has commenced</w:t>
      </w:r>
      <w:r>
        <w:rPr>
          <w:rFonts w:cs="Calibri"/>
        </w:rPr>
        <w:t>. The</w:t>
      </w:r>
      <w:r w:rsidRPr="00523963">
        <w:rPr>
          <w:rFonts w:cs="Calibri"/>
        </w:rPr>
        <w:t xml:space="preserve"> </w:t>
      </w:r>
      <w:r>
        <w:rPr>
          <w:rFonts w:cs="Calibri"/>
        </w:rPr>
        <w:t>g</w:t>
      </w:r>
      <w:r w:rsidRPr="00523963">
        <w:rPr>
          <w:rFonts w:cs="Calibri"/>
        </w:rPr>
        <w:t>overnment is reviewing Method 2 to ensure it remains fit for purpose and based on the best available science, technologies and practices. The review will cover issues including the timing and location of gas sampling relative to mining activity, the minimum number of boreholes required to classify a gas domain, lateral gas movement, transparency and peer review processes, and emission estimation when pre-mining drainage occurs.</w:t>
      </w:r>
    </w:p>
    <w:p w14:paraId="6FFE1D95" w14:textId="77777777" w:rsidR="008B36CD" w:rsidRPr="00536C75" w:rsidRDefault="008B36CD" w:rsidP="008B36CD">
      <w:pPr>
        <w:spacing w:after="200" w:line="276" w:lineRule="auto"/>
        <w:rPr>
          <w:rFonts w:cs="Calibri"/>
        </w:rPr>
      </w:pPr>
      <w:r>
        <w:rPr>
          <w:rFonts w:cs="Calibri"/>
        </w:rPr>
        <w:t>DCCEEW</w:t>
      </w:r>
      <w:r w:rsidRPr="00523963">
        <w:rPr>
          <w:rFonts w:cs="Calibri"/>
        </w:rPr>
        <w:t xml:space="preserve"> will lead the review in consultation with the Clean Energy Regulator, and engage with scientific and technical experts, industry and other stakeholders. </w:t>
      </w:r>
      <w:r>
        <w:rPr>
          <w:rFonts w:cs="Calibri"/>
        </w:rPr>
        <w:t>DCCEEW</w:t>
      </w:r>
      <w:r w:rsidRPr="00523963">
        <w:rPr>
          <w:rFonts w:cs="Calibri"/>
        </w:rPr>
        <w:t xml:space="preserve"> will work closely with Australian Coal Industry’s Research Program, which is responsible for the Guidelines that form a core component of Method 2. The scope of the review was informed by stakeholder consultation, including through the </w:t>
      </w:r>
      <w:hyperlink r:id="rId42">
        <w:r w:rsidRPr="00536C75">
          <w:rPr>
            <w:rStyle w:val="Hyperlink"/>
            <w:rFonts w:cs="Calibri"/>
          </w:rPr>
          <w:t>2025 NGER scheme public consultation</w:t>
        </w:r>
      </w:hyperlink>
      <w:r>
        <w:t xml:space="preserve"> </w:t>
      </w:r>
      <w:r w:rsidRPr="00B445B2">
        <w:rPr>
          <w:color w:val="000000"/>
        </w:rPr>
        <w:t>(DCCEEW 2025f)</w:t>
      </w:r>
      <w:r w:rsidRPr="00536C75">
        <w:rPr>
          <w:rFonts w:cs="Calibri"/>
        </w:rPr>
        <w:t>.</w:t>
      </w:r>
    </w:p>
    <w:p w14:paraId="02C1DBC3" w14:textId="77777777" w:rsidR="008B36CD" w:rsidRPr="00536C75" w:rsidRDefault="008B36CD" w:rsidP="008B36CD">
      <w:pPr>
        <w:spacing w:after="200" w:line="276" w:lineRule="auto"/>
        <w:rPr>
          <w:rFonts w:cs="Calibri"/>
        </w:rPr>
      </w:pPr>
      <w:r w:rsidRPr="00536C75">
        <w:rPr>
          <w:rFonts w:cs="Calibri"/>
        </w:rPr>
        <w:t xml:space="preserve">The review is expected to conclude by June 2028. Where appropriate, incremental improvements to Method 2 will be implemented during the review. Implementation arrangements will consider the situations of those facilities that are transitioning to, or already using, Method 2. Legislative amendments to the NGER Regulations </w:t>
      </w:r>
      <w:r w:rsidRPr="00536C75">
        <w:rPr>
          <w:rFonts w:cs="Calibri"/>
        </w:rPr>
        <w:lastRenderedPageBreak/>
        <w:t xml:space="preserve">and Determinations arising from the review will undergo public consultation as part of the annual NGER scheme consultation cycle. </w:t>
      </w:r>
    </w:p>
    <w:p w14:paraId="62187A6A" w14:textId="77777777" w:rsidR="008B36CD" w:rsidRPr="00536C75" w:rsidRDefault="008B36CD" w:rsidP="008B36CD">
      <w:pPr>
        <w:spacing w:after="200" w:line="276" w:lineRule="auto"/>
        <w:rPr>
          <w:rFonts w:cs="Calibri"/>
        </w:rPr>
      </w:pPr>
      <w:r w:rsidRPr="00536C75">
        <w:rPr>
          <w:rFonts w:cs="Calibri"/>
        </w:rPr>
        <w:t xml:space="preserve">The Terms of Reference for the review of Method 2 </w:t>
      </w:r>
      <w:r>
        <w:rPr>
          <w:rFonts w:cs="Calibri"/>
        </w:rPr>
        <w:t>are</w:t>
      </w:r>
      <w:r w:rsidRPr="00536C75">
        <w:rPr>
          <w:rFonts w:cs="Calibri"/>
        </w:rPr>
        <w:t xml:space="preserve"> published on the </w:t>
      </w:r>
      <w:r>
        <w:rPr>
          <w:rFonts w:cs="Calibri"/>
        </w:rPr>
        <w:t>D</w:t>
      </w:r>
      <w:r w:rsidRPr="00536C75">
        <w:rPr>
          <w:rFonts w:cs="Calibri"/>
        </w:rPr>
        <w:t>epartment’s website</w:t>
      </w:r>
      <w:r>
        <w:rPr>
          <w:rFonts w:cs="Calibri"/>
        </w:rPr>
        <w:t xml:space="preserve"> </w:t>
      </w:r>
      <w:r w:rsidRPr="00B445B2">
        <w:rPr>
          <w:rFonts w:cs="Calibri"/>
          <w:color w:val="000000"/>
        </w:rPr>
        <w:t>(DCCEEW 2026g)</w:t>
      </w:r>
      <w:r w:rsidRPr="00536C75">
        <w:rPr>
          <w:rFonts w:cs="Calibri"/>
        </w:rPr>
        <w:t>.</w:t>
      </w:r>
    </w:p>
    <w:p w14:paraId="029C786B" w14:textId="77777777" w:rsidR="00E3684D" w:rsidRPr="00536C75" w:rsidRDefault="00E3684D" w:rsidP="0018586C">
      <w:pPr>
        <w:pStyle w:val="L3SectionHeading"/>
      </w:pPr>
      <w:r w:rsidRPr="00536C75">
        <w:t xml:space="preserve">Expert Panel on Atmospheric Measurement of Fugitive Methane </w:t>
      </w:r>
    </w:p>
    <w:p w14:paraId="40C8FB0E" w14:textId="77777777" w:rsidR="00707535" w:rsidRPr="00536C75" w:rsidRDefault="00707535" w:rsidP="00707535">
      <w:pPr>
        <w:spacing w:after="200" w:line="276" w:lineRule="auto"/>
        <w:rPr>
          <w:rFonts w:cs="Calibri"/>
        </w:rPr>
      </w:pPr>
      <w:r w:rsidRPr="00731F32">
        <w:rPr>
          <w:rFonts w:cs="Calibri"/>
        </w:rPr>
        <w:t xml:space="preserve">Consistent with the </w:t>
      </w:r>
      <w:r>
        <w:rPr>
          <w:rFonts w:cs="Calibri"/>
        </w:rPr>
        <w:t>g</w:t>
      </w:r>
      <w:r w:rsidRPr="00731F32">
        <w:rPr>
          <w:rFonts w:cs="Calibri"/>
        </w:rPr>
        <w:t>overnment’s response to recommendations 19-21 of the 2023 CCA review, it has established a Fugitive Methane Expert Panel</w:t>
      </w:r>
      <w:r>
        <w:rPr>
          <w:rFonts w:cs="Calibri"/>
        </w:rPr>
        <w:t xml:space="preserve">. </w:t>
      </w:r>
      <w:r w:rsidRPr="00536C75">
        <w:rPr>
          <w:rFonts w:cs="Calibri"/>
        </w:rPr>
        <w:t xml:space="preserve">The Panel, chaired by Australia’s former Chief Scientist Dr Cathy Foley, was established to provide advice to </w:t>
      </w:r>
      <w:r>
        <w:rPr>
          <w:rFonts w:cs="Calibri"/>
        </w:rPr>
        <w:t>g</w:t>
      </w:r>
      <w:r w:rsidRPr="00536C75">
        <w:rPr>
          <w:rFonts w:cs="Calibri"/>
        </w:rPr>
        <w:t xml:space="preserve">overnment on atmospheric (‘top-down’) estimation of fugitive methane emissions in Australia. The Panel held a public webinar on 29 August 2025 to introduce members and provide information on its mandate and progress to date. The webinar is available on the </w:t>
      </w:r>
      <w:hyperlink r:id="rId43">
        <w:r w:rsidRPr="00536C75">
          <w:rPr>
            <w:rStyle w:val="Hyperlink"/>
            <w:rFonts w:cs="Calibri"/>
            <w:color w:val="165788"/>
          </w:rPr>
          <w:t>Panel website</w:t>
        </w:r>
      </w:hyperlink>
      <w:r>
        <w:t xml:space="preserve"> </w:t>
      </w:r>
      <w:r w:rsidRPr="00B445B2">
        <w:rPr>
          <w:color w:val="000000"/>
        </w:rPr>
        <w:t>(DCCEEW 2026g)</w:t>
      </w:r>
      <w:r w:rsidRPr="00536C75">
        <w:rPr>
          <w:rFonts w:cs="Calibri"/>
        </w:rPr>
        <w:t>.</w:t>
      </w:r>
    </w:p>
    <w:p w14:paraId="79541915" w14:textId="77777777" w:rsidR="00707535" w:rsidRPr="00536C75" w:rsidRDefault="00707535" w:rsidP="00707535">
      <w:pPr>
        <w:spacing w:after="200" w:line="276" w:lineRule="auto"/>
        <w:rPr>
          <w:rFonts w:cs="Calibri"/>
        </w:rPr>
      </w:pPr>
      <w:r w:rsidRPr="00536C75">
        <w:rPr>
          <w:rFonts w:cs="Calibri"/>
        </w:rPr>
        <w:t xml:space="preserve">The Panel has developed a comprehensive work program and scoped the information needed to support its work, including the detailed technical information required on each component of top-down approaches for detecting or quantifying fugitive methane emissions. </w:t>
      </w:r>
      <w:r w:rsidRPr="00AE1B8A">
        <w:rPr>
          <w:rFonts w:cs="Calibri"/>
        </w:rPr>
        <w:t>A CSIRO research team has finished compiling the information scoped by the Panel through an extensive scientific literature review and engagement with over 150 suppliers and developers.</w:t>
      </w:r>
    </w:p>
    <w:p w14:paraId="2A532208" w14:textId="77777777" w:rsidR="00707535" w:rsidRPr="00536C75" w:rsidRDefault="00707535" w:rsidP="00707535">
      <w:pPr>
        <w:spacing w:after="200" w:line="276" w:lineRule="auto"/>
        <w:rPr>
          <w:rFonts w:cs="Calibri"/>
        </w:rPr>
      </w:pPr>
      <w:r w:rsidRPr="00536C75">
        <w:rPr>
          <w:rFonts w:cs="Calibri"/>
        </w:rPr>
        <w:t xml:space="preserve">The Panel plans to prepare an interim report providing more detail on its work to date and early insights, for release mid-2026. In accordance with its </w:t>
      </w:r>
      <w:hyperlink r:id="rId44" w:history="1">
        <w:r w:rsidRPr="00536C75">
          <w:rPr>
            <w:rStyle w:val="Hyperlink"/>
            <w:rFonts w:cs="Calibri"/>
          </w:rPr>
          <w:t>Terms of Reference</w:t>
        </w:r>
      </w:hyperlink>
      <w:r w:rsidRPr="00536C75">
        <w:rPr>
          <w:rFonts w:cs="Calibri"/>
        </w:rPr>
        <w:t xml:space="preserve">, interim reports will be published on the </w:t>
      </w:r>
      <w:r>
        <w:rPr>
          <w:rFonts w:cs="Calibri"/>
        </w:rPr>
        <w:t>D</w:t>
      </w:r>
      <w:r w:rsidRPr="00536C75">
        <w:rPr>
          <w:rFonts w:cs="Calibri"/>
        </w:rPr>
        <w:t>epartment’s website. The Panel will provide its final advice to government and the public at the end of its term in mid-2027.</w:t>
      </w:r>
    </w:p>
    <w:p w14:paraId="3BFF784F" w14:textId="77777777" w:rsidR="00E3684D" w:rsidRPr="001D0FDA" w:rsidRDefault="00E3684D" w:rsidP="0018586C">
      <w:pPr>
        <w:pStyle w:val="L3SectionHeading"/>
        <w:rPr>
          <w:lang w:val="en-US"/>
        </w:rPr>
      </w:pPr>
      <w:r w:rsidRPr="00536C75">
        <w:rPr>
          <w:lang w:val="en-US"/>
        </w:rPr>
        <w:t xml:space="preserve">Government-funded </w:t>
      </w:r>
      <w:r w:rsidRPr="001D0FDA">
        <w:rPr>
          <w:lang w:val="en-US"/>
        </w:rPr>
        <w:t>fugitive methane emissions science</w:t>
      </w:r>
    </w:p>
    <w:p w14:paraId="52B743E4" w14:textId="77777777" w:rsidR="00E3684D" w:rsidRPr="00536C75" w:rsidRDefault="00E3684D" w:rsidP="00E3684D">
      <w:pPr>
        <w:rPr>
          <w:rFonts w:cs="Calibri"/>
        </w:rPr>
      </w:pPr>
      <w:r w:rsidRPr="005C2B07">
        <w:rPr>
          <w:rFonts w:cs="Calibri"/>
        </w:rPr>
        <w:t xml:space="preserve">Consistent with the </w:t>
      </w:r>
      <w:r>
        <w:rPr>
          <w:rFonts w:cs="Calibri"/>
        </w:rPr>
        <w:t>g</w:t>
      </w:r>
      <w:r w:rsidRPr="005C2B07">
        <w:rPr>
          <w:rFonts w:cs="Calibri"/>
        </w:rPr>
        <w:t>overnment’s response to recommendation 19 and 22</w:t>
      </w:r>
      <w:r>
        <w:rPr>
          <w:rFonts w:cs="Calibri"/>
        </w:rPr>
        <w:t xml:space="preserve">, government </w:t>
      </w:r>
      <w:r w:rsidRPr="00536C75">
        <w:rPr>
          <w:rFonts w:cs="Calibri"/>
        </w:rPr>
        <w:t>is also funding science to help fill information gaps regarding the application of satellite and other ‘top-down’ approaches in detecting and estimating fugitive methane emissions. This work will support the Panel, build scientific capacity in Australia and contribute to global efforts to better understand, monitor and manage fugitive methane emissions.</w:t>
      </w:r>
    </w:p>
    <w:p w14:paraId="5BB46FD2" w14:textId="5DD14A49" w:rsidR="00E3684D" w:rsidRDefault="00E3684D" w:rsidP="00E3684D">
      <w:pPr>
        <w:spacing w:after="200" w:line="276" w:lineRule="auto"/>
      </w:pPr>
      <w:r w:rsidRPr="00536C75">
        <w:rPr>
          <w:rFonts w:cs="Calibri"/>
        </w:rPr>
        <w:t xml:space="preserve">Australia and the United Nations Environment Programme’s International Methane Emissions Observatory are collaborating on a </w:t>
      </w:r>
      <w:hyperlink r:id="rId45" w:history="1">
        <w:r w:rsidRPr="00536C75">
          <w:rPr>
            <w:rStyle w:val="Hyperlink"/>
            <w:rFonts w:cs="Calibri"/>
          </w:rPr>
          <w:t>world-first study in Australia</w:t>
        </w:r>
      </w:hyperlink>
      <w:r w:rsidRPr="00536C75">
        <w:rPr>
          <w:rFonts w:cs="Calibri"/>
        </w:rPr>
        <w:t xml:space="preserve"> to test the capability of a range of atmospheric approaches, including ground-based, airborne and satellite-based sensors, in detecting and estimating fugitive methane emissions at a site simulating </w:t>
      </w:r>
      <w:r w:rsidR="00CB5EA9">
        <w:rPr>
          <w:rFonts w:cs="Calibri"/>
        </w:rPr>
        <w:t>open cut</w:t>
      </w:r>
      <w:r w:rsidRPr="00536C75">
        <w:rPr>
          <w:rFonts w:cs="Calibri"/>
        </w:rPr>
        <w:t xml:space="preserve"> coal mine operation.</w:t>
      </w:r>
    </w:p>
    <w:p w14:paraId="38B29930" w14:textId="3A47B6FA" w:rsidR="00AA3981" w:rsidRDefault="00E3684D" w:rsidP="0018586C">
      <w:pPr>
        <w:spacing w:after="200" w:line="276" w:lineRule="auto"/>
        <w:rPr>
          <w:rFonts w:cs="Calibri"/>
        </w:rPr>
      </w:pPr>
      <w:r w:rsidRPr="00536C75">
        <w:rPr>
          <w:rFonts w:cs="Calibri"/>
        </w:rPr>
        <w:t>The study will be undertaken by internationally recognised experts in the field of controlled methane release science from FluxLab research group at St. Francis Xavier University and Stanford University’s Environmental Assessment and Optimization Group</w:t>
      </w:r>
      <w:r>
        <w:rPr>
          <w:rFonts w:cs="Calibri"/>
        </w:rPr>
        <w:t xml:space="preserve"> (</w:t>
      </w:r>
      <w:hyperlink r:id="rId46" w:history="1">
        <w:r w:rsidRPr="001D03D9">
          <w:rPr>
            <w:rStyle w:val="Hyperlink"/>
            <w:rFonts w:cs="Calibri"/>
          </w:rPr>
          <w:t>EREF, 2025</w:t>
        </w:r>
      </w:hyperlink>
      <w:r>
        <w:rPr>
          <w:rFonts w:cs="Calibri"/>
        </w:rPr>
        <w:t>)</w:t>
      </w:r>
      <w:r w:rsidRPr="00536C75">
        <w:rPr>
          <w:rFonts w:cs="Calibri"/>
        </w:rPr>
        <w:t>. The science team is progressing design and logistical arrangements, including selection of a suitable site and engagement with Australian and international scientists, academics and industry. The study is expected to be completed by the end of 2027, with its finding</w:t>
      </w:r>
      <w:r w:rsidR="00967796">
        <w:rPr>
          <w:rFonts w:cs="Calibri"/>
        </w:rPr>
        <w:t>s</w:t>
      </w:r>
      <w:r w:rsidRPr="00536C75">
        <w:rPr>
          <w:rFonts w:cs="Calibri"/>
        </w:rPr>
        <w:t xml:space="preserve"> published in early 2028. The science team will seek to provide early insights to the Panel as they emerge.</w:t>
      </w:r>
    </w:p>
    <w:p w14:paraId="037A1960" w14:textId="77777777" w:rsidR="00AA3981" w:rsidRDefault="00AA3981">
      <w:pPr>
        <w:spacing w:before="0" w:after="160" w:line="279" w:lineRule="auto"/>
        <w:rPr>
          <w:rFonts w:cs="Calibri"/>
        </w:rPr>
      </w:pPr>
      <w:r>
        <w:rPr>
          <w:rFonts w:cs="Calibri"/>
        </w:rPr>
        <w:br w:type="page"/>
      </w:r>
    </w:p>
    <w:p w14:paraId="45F16C64" w14:textId="55803151" w:rsidR="00B64D50" w:rsidRDefault="00B64D50" w:rsidP="00B64D50">
      <w:pPr>
        <w:pStyle w:val="L1Heading"/>
      </w:pPr>
      <w:bookmarkStart w:id="105" w:name="_Toc232079505"/>
      <w:r>
        <w:lastRenderedPageBreak/>
        <w:t>Reference</w:t>
      </w:r>
      <w:r w:rsidR="00462131">
        <w:t>s</w:t>
      </w:r>
      <w:bookmarkEnd w:id="105"/>
    </w:p>
    <w:p w14:paraId="31F0D6A1" w14:textId="77777777" w:rsidR="00462131" w:rsidRDefault="00462131" w:rsidP="00B64D50">
      <w:pPr>
        <w:rPr>
          <w:rFonts w:eastAsia="Times New Roman"/>
          <w:color w:val="000000"/>
        </w:rPr>
        <w:sectPr w:rsidR="00462131" w:rsidSect="007D0563">
          <w:headerReference w:type="default" r:id="rId47"/>
          <w:footerReference w:type="even" r:id="rId48"/>
          <w:footerReference w:type="default" r:id="rId49"/>
          <w:pgSz w:w="11906" w:h="16838" w:code="9"/>
          <w:pgMar w:top="1135" w:right="907" w:bottom="851" w:left="907" w:header="284" w:footer="720" w:gutter="0"/>
          <w:pgNumType w:start="1"/>
          <w:cols w:space="720"/>
          <w:docGrid w:linePitch="360"/>
        </w:sectPr>
      </w:pPr>
    </w:p>
    <w:p w14:paraId="59D8257F" w14:textId="5740E52F" w:rsidR="00B64D50" w:rsidRPr="00726FFD" w:rsidRDefault="00B64D50" w:rsidP="00303705">
      <w:pPr>
        <w:pStyle w:val="ReportReferences"/>
        <w:rPr>
          <w:szCs w:val="24"/>
        </w:rPr>
      </w:pPr>
      <w:r w:rsidRPr="00726FFD">
        <w:t xml:space="preserve">2 Degrees Institute (2026) </w:t>
      </w:r>
      <w:r w:rsidRPr="00726FFD">
        <w:rPr>
          <w:i/>
          <w:iCs/>
        </w:rPr>
        <w:t>Atmospheric CH4 Levels Graph</w:t>
      </w:r>
      <w:r w:rsidRPr="00726FFD">
        <w:t>, https://www.methanelevels.org/.</w:t>
      </w:r>
    </w:p>
    <w:p w14:paraId="54236BED" w14:textId="77777777" w:rsidR="00B64D50" w:rsidRPr="00726FFD" w:rsidRDefault="00B64D50" w:rsidP="00303705">
      <w:pPr>
        <w:pStyle w:val="ReportReferences"/>
      </w:pPr>
      <w:r w:rsidRPr="00726FFD">
        <w:t xml:space="preserve">Australian Treasury (2025) </w:t>
      </w:r>
      <w:r w:rsidRPr="00726FFD">
        <w:rPr>
          <w:i/>
          <w:iCs/>
        </w:rPr>
        <w:t>Australia’s Net Zero Transformation: Treasury Modelling and Analysis</w:t>
      </w:r>
      <w:r w:rsidRPr="00726FFD">
        <w:t>, Canberra, https://treasury.gov.au/publication/p2025-700922.</w:t>
      </w:r>
    </w:p>
    <w:p w14:paraId="6DF0476D" w14:textId="77777777" w:rsidR="00B64D50" w:rsidRPr="00726FFD" w:rsidRDefault="00B64D50" w:rsidP="00303705">
      <w:pPr>
        <w:pStyle w:val="ReportReferences"/>
      </w:pPr>
      <w:r>
        <w:t>Climate Change Authority (</w:t>
      </w:r>
      <w:r w:rsidRPr="00726FFD">
        <w:t>CCA</w:t>
      </w:r>
      <w:r>
        <w:t>)</w:t>
      </w:r>
      <w:r w:rsidRPr="00726FFD">
        <w:t xml:space="preserve"> (2024) </w:t>
      </w:r>
      <w:r w:rsidRPr="00726FFD">
        <w:rPr>
          <w:i/>
          <w:iCs/>
        </w:rPr>
        <w:t>Sector Pathways Review</w:t>
      </w:r>
      <w:r w:rsidRPr="00726FFD">
        <w:t>, https://www.climatechangeauthority.gov.au/sites/default/files/documents/2024-09/2024SectorPathwaysReview.pdf.</w:t>
      </w:r>
    </w:p>
    <w:p w14:paraId="35F102C1" w14:textId="77777777" w:rsidR="00B64D50" w:rsidRPr="00726FFD" w:rsidRDefault="00B64D50" w:rsidP="00303705">
      <w:pPr>
        <w:pStyle w:val="ReportReferences"/>
      </w:pPr>
      <w:r w:rsidRPr="00726FFD">
        <w:t xml:space="preserve">CCA (2025a) </w:t>
      </w:r>
      <w:r w:rsidRPr="00726FFD">
        <w:rPr>
          <w:i/>
          <w:iCs/>
        </w:rPr>
        <w:t>2035 Emissions Reduction Targets Report</w:t>
      </w:r>
      <w:r w:rsidRPr="00726FFD">
        <w:t>, Canberra, https://www.climatechangeauthority.gov.au/2035-emissions-reduction-targets-advice.</w:t>
      </w:r>
    </w:p>
    <w:p w14:paraId="7A037E27" w14:textId="77777777" w:rsidR="00B64D50" w:rsidRPr="00726FFD" w:rsidRDefault="00B64D50" w:rsidP="00303705">
      <w:pPr>
        <w:pStyle w:val="ReportReferences"/>
      </w:pPr>
      <w:r w:rsidRPr="00726FFD">
        <w:t xml:space="preserve">CCA (2025b) </w:t>
      </w:r>
      <w:r w:rsidRPr="00726FFD">
        <w:rPr>
          <w:i/>
          <w:iCs/>
        </w:rPr>
        <w:t>2025 Annual Progress Report</w:t>
      </w:r>
      <w:r w:rsidRPr="00726FFD">
        <w:t>, Canberra, https://www.climatechangeauthority.gov.au/2025-annual-progress-report.</w:t>
      </w:r>
    </w:p>
    <w:p w14:paraId="730B886A" w14:textId="77777777" w:rsidR="00B64D50" w:rsidRPr="00726FFD" w:rsidRDefault="00B64D50" w:rsidP="00303705">
      <w:pPr>
        <w:pStyle w:val="ReportReferences"/>
      </w:pPr>
      <w:r w:rsidRPr="00A463B5">
        <w:t xml:space="preserve">Climate and Clean Air Coalition (CCAC) </w:t>
      </w:r>
      <w:r w:rsidRPr="00726FFD">
        <w:t xml:space="preserve">(2025) </w:t>
      </w:r>
      <w:r w:rsidRPr="00726FFD">
        <w:rPr>
          <w:i/>
          <w:iCs/>
        </w:rPr>
        <w:t>National Methane Roadmaps and Action Plans</w:t>
      </w:r>
      <w:r w:rsidRPr="00726FFD">
        <w:t>, https://www.ccacoalition.org/resources/national-methane-action-plans.</w:t>
      </w:r>
    </w:p>
    <w:p w14:paraId="1C7D3A3A" w14:textId="77777777" w:rsidR="00B64D50" w:rsidRPr="00726FFD" w:rsidRDefault="00B64D50" w:rsidP="00303705">
      <w:pPr>
        <w:pStyle w:val="ReportReferences"/>
      </w:pPr>
      <w:r w:rsidRPr="00726FFD">
        <w:t xml:space="preserve">CCAC (n.d.) </w:t>
      </w:r>
      <w:r w:rsidRPr="00726FFD">
        <w:rPr>
          <w:i/>
          <w:iCs/>
        </w:rPr>
        <w:t>Methane</w:t>
      </w:r>
      <w:r w:rsidRPr="00726FFD">
        <w:t>, https://www.ccacoalition.org/short-lived-climate-pollutants/methane.</w:t>
      </w:r>
    </w:p>
    <w:p w14:paraId="0B2F9652" w14:textId="77777777" w:rsidR="00B64D50" w:rsidRPr="00726FFD" w:rsidRDefault="00B64D50" w:rsidP="00303705">
      <w:pPr>
        <w:pStyle w:val="ReportReferences"/>
      </w:pPr>
      <w:r w:rsidRPr="006C28E5">
        <w:t xml:space="preserve">Climate Crisis Advisory Group </w:t>
      </w:r>
      <w:r>
        <w:t>(</w:t>
      </w:r>
      <w:r w:rsidRPr="00726FFD">
        <w:t>CCAG</w:t>
      </w:r>
      <w:r>
        <w:t>)</w:t>
      </w:r>
      <w:r w:rsidRPr="00726FFD">
        <w:t xml:space="preserve"> (2025) </w:t>
      </w:r>
      <w:r w:rsidRPr="00726FFD">
        <w:rPr>
          <w:i/>
          <w:iCs/>
        </w:rPr>
        <w:t>Methane: the emergency brake for climate heating</w:t>
      </w:r>
      <w:r w:rsidRPr="00726FFD">
        <w:t>, https://www.ccag.earth/reports/methane-the-emergency-brake-for-climate-heating.</w:t>
      </w:r>
    </w:p>
    <w:p w14:paraId="6E7C595C" w14:textId="77777777" w:rsidR="00EC3D83" w:rsidRDefault="00EC3D83" w:rsidP="00303705">
      <w:pPr>
        <w:pStyle w:val="ReportReferences"/>
      </w:pPr>
    </w:p>
    <w:p w14:paraId="5DD102B3" w14:textId="77777777" w:rsidR="00EC3D83" w:rsidRDefault="00EC3D83" w:rsidP="00303705">
      <w:pPr>
        <w:pStyle w:val="ReportReferences"/>
      </w:pPr>
    </w:p>
    <w:p w14:paraId="3BA673B3" w14:textId="4BF60D9E" w:rsidR="00B64D50" w:rsidRPr="00726FFD" w:rsidRDefault="00B64D50" w:rsidP="00303705">
      <w:pPr>
        <w:pStyle w:val="ReportReferences"/>
      </w:pPr>
      <w:r w:rsidRPr="00726FFD">
        <w:t>C</w:t>
      </w:r>
      <w:r>
        <w:t xml:space="preserve">lean </w:t>
      </w:r>
      <w:r w:rsidRPr="00726FFD">
        <w:t>E</w:t>
      </w:r>
      <w:r>
        <w:t xml:space="preserve">nergy </w:t>
      </w:r>
      <w:r w:rsidRPr="00726FFD">
        <w:t>R</w:t>
      </w:r>
      <w:r>
        <w:t>egulator (CER)</w:t>
      </w:r>
      <w:r w:rsidRPr="00726FFD">
        <w:t xml:space="preserve"> (2026a) </w:t>
      </w:r>
      <w:r w:rsidRPr="00726FFD">
        <w:rPr>
          <w:i/>
          <w:iCs/>
        </w:rPr>
        <w:t>2024–25 baselines and emissions data</w:t>
      </w:r>
      <w:r w:rsidRPr="00726FFD">
        <w:t>, Canberra, https://cer.gov.au/markets/reports-and-data/safeguard-data/2024-25-baselines-and-emissions-data.</w:t>
      </w:r>
    </w:p>
    <w:p w14:paraId="7BB15E6F" w14:textId="77777777" w:rsidR="00B64D50" w:rsidRPr="00726FFD" w:rsidRDefault="00B64D50" w:rsidP="00303705">
      <w:pPr>
        <w:pStyle w:val="ReportReferences"/>
      </w:pPr>
      <w:r w:rsidRPr="00726FFD">
        <w:t xml:space="preserve">CER (2026b) </w:t>
      </w:r>
      <w:r w:rsidRPr="00726FFD">
        <w:rPr>
          <w:i/>
          <w:iCs/>
        </w:rPr>
        <w:t>2023–24 baselines and emissions data</w:t>
      </w:r>
      <w:r w:rsidRPr="00726FFD">
        <w:t>, Canberra, https://cer.gov.au/markets/reports-and-data/safeguard-data/2023-24-baselines-and-emissions-data.</w:t>
      </w:r>
    </w:p>
    <w:p w14:paraId="5E80C24E" w14:textId="77777777" w:rsidR="00B64D50" w:rsidRPr="00726FFD" w:rsidRDefault="00B64D50" w:rsidP="00303705">
      <w:pPr>
        <w:pStyle w:val="ReportReferences"/>
      </w:pPr>
      <w:r w:rsidRPr="00726FFD">
        <w:t xml:space="preserve">Climate Analytics (2021) </w:t>
      </w:r>
      <w:r w:rsidRPr="00726FFD">
        <w:rPr>
          <w:i/>
          <w:iCs/>
        </w:rPr>
        <w:t>The science of temperature overshoots</w:t>
      </w:r>
      <w:r w:rsidRPr="00726FFD">
        <w:t>, https://ca1-clm.edcdn.com/assets/temperature-overshoots_ar6.pdf.</w:t>
      </w:r>
    </w:p>
    <w:p w14:paraId="0CAB1F74" w14:textId="77777777" w:rsidR="00B64D50" w:rsidRPr="00726FFD" w:rsidRDefault="00B64D50" w:rsidP="00303705">
      <w:pPr>
        <w:pStyle w:val="ReportReferences"/>
      </w:pPr>
      <w:r w:rsidRPr="00726FFD">
        <w:t xml:space="preserve">Climate Analytics (2026) </w:t>
      </w:r>
      <w:r w:rsidRPr="00726FFD">
        <w:rPr>
          <w:i/>
          <w:iCs/>
        </w:rPr>
        <w:t>National methane reduction targets</w:t>
      </w:r>
      <w:r w:rsidRPr="00726FFD">
        <w:t xml:space="preserve">, </w:t>
      </w:r>
      <w:r w:rsidRPr="00726FFD">
        <w:rPr>
          <w:i/>
          <w:iCs/>
        </w:rPr>
        <w:t>Global Methane Explorer</w:t>
      </w:r>
      <w:r w:rsidRPr="00726FFD">
        <w:t>.</w:t>
      </w:r>
    </w:p>
    <w:p w14:paraId="1BE254F3" w14:textId="77777777" w:rsidR="00B64D50" w:rsidRPr="00726FFD" w:rsidRDefault="00B64D50" w:rsidP="00303705">
      <w:pPr>
        <w:pStyle w:val="ReportReferences"/>
      </w:pPr>
      <w:r w:rsidRPr="00726FFD">
        <w:t xml:space="preserve">Climate Council (2024) </w:t>
      </w:r>
      <w:r w:rsidRPr="00726FFD">
        <w:rPr>
          <w:i/>
          <w:iCs/>
        </w:rPr>
        <w:t>Dangerously Overlooked: Why we need to talk about methane</w:t>
      </w:r>
      <w:r w:rsidRPr="00726FFD">
        <w:t>, https://www.climatecouncil.org.au/resources/dangerously-overlooked-why-we-need-to-talk-about-methane/.</w:t>
      </w:r>
    </w:p>
    <w:p w14:paraId="54E19D68" w14:textId="77777777" w:rsidR="00B64D50" w:rsidRPr="00726FFD" w:rsidRDefault="00B64D50" w:rsidP="00303705">
      <w:pPr>
        <w:pStyle w:val="ReportReferences"/>
      </w:pPr>
      <w:r w:rsidRPr="00726FFD">
        <w:t xml:space="preserve">Climateworks (2024) </w:t>
      </w:r>
      <w:r w:rsidRPr="00726FFD">
        <w:rPr>
          <w:i/>
          <w:iCs/>
        </w:rPr>
        <w:t>Leading climate policies from Australia’s states and territories</w:t>
      </w:r>
      <w:r w:rsidRPr="00726FFD">
        <w:t>, Melbourne</w:t>
      </w:r>
      <w:r>
        <w:t xml:space="preserve">, </w:t>
      </w:r>
      <w:r w:rsidRPr="00130840">
        <w:t>https://climateworkscentre.org/resource/leading-climate-policies-from-australias-states-and-territories/</w:t>
      </w:r>
      <w:r>
        <w:t>.</w:t>
      </w:r>
    </w:p>
    <w:p w14:paraId="761B8B4A" w14:textId="3B48D232" w:rsidR="005C3327" w:rsidRDefault="005C3327" w:rsidP="005C3327">
      <w:pPr>
        <w:pStyle w:val="ReportReferences"/>
      </w:pPr>
      <w:r>
        <w:t>Commonwealth of Australia</w:t>
      </w:r>
      <w:r w:rsidRPr="00726FFD">
        <w:t xml:space="preserve"> (</w:t>
      </w:r>
      <w:r>
        <w:t>2006</w:t>
      </w:r>
      <w:r w:rsidRPr="00726FFD">
        <w:t xml:space="preserve">) </w:t>
      </w:r>
      <w:r w:rsidRPr="00726FFD">
        <w:rPr>
          <w:i/>
          <w:iCs/>
        </w:rPr>
        <w:t>Offshore Petroleum and Greenhouse Gas Storage Act 2006 (Cth)</w:t>
      </w:r>
      <w:r w:rsidRPr="00726FFD">
        <w:t>, https://www.legislation.gov.au/C2006A00014/2008-11-22/text.</w:t>
      </w:r>
    </w:p>
    <w:p w14:paraId="56968C10" w14:textId="77777777" w:rsidR="00EC3D83" w:rsidRDefault="00EC3D83" w:rsidP="00303705">
      <w:pPr>
        <w:pStyle w:val="ReportReferences"/>
      </w:pPr>
    </w:p>
    <w:p w14:paraId="4A17F624" w14:textId="77777777" w:rsidR="00EC3D83" w:rsidRDefault="00EC3D83" w:rsidP="00303705">
      <w:pPr>
        <w:pStyle w:val="ReportReferences"/>
      </w:pPr>
    </w:p>
    <w:p w14:paraId="0BBAE8D5" w14:textId="77777777" w:rsidR="00EC3D83" w:rsidRDefault="00EC3D83" w:rsidP="00303705">
      <w:pPr>
        <w:pStyle w:val="ReportReferences"/>
      </w:pPr>
    </w:p>
    <w:p w14:paraId="6E608249" w14:textId="3B5CE720" w:rsidR="00B64D50" w:rsidRPr="00726FFD" w:rsidRDefault="00B64D50" w:rsidP="00303705">
      <w:pPr>
        <w:pStyle w:val="ReportReferences"/>
      </w:pPr>
      <w:r w:rsidRPr="00726FFD">
        <w:lastRenderedPageBreak/>
        <w:t xml:space="preserve">Commonwealth of Australia (2024) </w:t>
      </w:r>
      <w:r w:rsidRPr="00726FFD">
        <w:rPr>
          <w:i/>
          <w:iCs/>
        </w:rPr>
        <w:t>Australian Government response to the Climate Change Authority’s 2023 Review of the National Greenhouse and Energy Reporting legislation</w:t>
      </w:r>
      <w:r w:rsidRPr="00726FFD">
        <w:t>, Canberra, https://www.dcceew.gov.au/sites/default/files/documents/government-response-cca-nger-review.pdf.</w:t>
      </w:r>
    </w:p>
    <w:p w14:paraId="07730CC1" w14:textId="7BC82F47" w:rsidR="00B64D50" w:rsidRPr="00726FFD" w:rsidRDefault="00B64D50" w:rsidP="00303705">
      <w:pPr>
        <w:pStyle w:val="ReportReferences"/>
      </w:pPr>
      <w:r w:rsidRPr="00726FFD">
        <w:t xml:space="preserve">Commonwealth of Australia (2025) </w:t>
      </w:r>
      <w:r w:rsidRPr="00726FFD">
        <w:rPr>
          <w:i/>
          <w:iCs/>
        </w:rPr>
        <w:t>Australia’s 2035 Nationally Determined Contribution</w:t>
      </w:r>
      <w:r w:rsidRPr="00726FFD">
        <w:t>, Canberra, https://unfccc.int/sites/default/files/2025-09/Australias%20Second%20NDC.pdf.</w:t>
      </w:r>
    </w:p>
    <w:p w14:paraId="63BD00AF" w14:textId="3085A064" w:rsidR="00B64D50" w:rsidRPr="00726FFD" w:rsidRDefault="00B64D50" w:rsidP="00303705">
      <w:pPr>
        <w:pStyle w:val="ReportReferences"/>
      </w:pPr>
      <w:r w:rsidRPr="00726FFD">
        <w:t xml:space="preserve">Copernicus (2022) </w:t>
      </w:r>
      <w:r w:rsidRPr="00726FFD">
        <w:rPr>
          <w:i/>
          <w:iCs/>
        </w:rPr>
        <w:t>Methane, the omnipresent and elusive “second” greenhouse gas</w:t>
      </w:r>
      <w:r w:rsidRPr="00726FFD">
        <w:t>, https://atmosphere.copernicus.eu/methane-omnipresent-and-elusive-second-greenhouse-gas.</w:t>
      </w:r>
    </w:p>
    <w:p w14:paraId="64D018BB" w14:textId="77777777" w:rsidR="00B64D50" w:rsidRPr="00726FFD" w:rsidRDefault="00B64D50" w:rsidP="00303705">
      <w:pPr>
        <w:pStyle w:val="ReportReferences"/>
      </w:pPr>
      <w:r w:rsidRPr="00273EFE">
        <w:t xml:space="preserve">Commonwealth Scientific and Industrial Research Organisation </w:t>
      </w:r>
      <w:r>
        <w:t>(</w:t>
      </w:r>
      <w:r w:rsidRPr="00726FFD">
        <w:t>CSIRO</w:t>
      </w:r>
      <w:r>
        <w:t>)</w:t>
      </w:r>
      <w:r w:rsidRPr="00726FFD">
        <w:t xml:space="preserve"> (2024) </w:t>
      </w:r>
      <w:r w:rsidRPr="00726FFD">
        <w:rPr>
          <w:i/>
          <w:iCs/>
        </w:rPr>
        <w:t>Catalytic VAMMIT trials: tackling methane emissions in mining</w:t>
      </w:r>
      <w:r w:rsidRPr="00726FFD">
        <w:t>, https://www.csiro.au/en/news/All/Articles/2024/October/VAMMIT-methane-emissions.</w:t>
      </w:r>
    </w:p>
    <w:p w14:paraId="1E51B200" w14:textId="446A7F49" w:rsidR="00B64D50" w:rsidRPr="00726FFD" w:rsidRDefault="00B64D50" w:rsidP="00303705">
      <w:pPr>
        <w:pStyle w:val="ReportReferences"/>
      </w:pPr>
      <w:r w:rsidRPr="00273EFE">
        <w:t xml:space="preserve">CSIRO </w:t>
      </w:r>
      <w:r w:rsidRPr="00726FFD">
        <w:t>(n.d.</w:t>
      </w:r>
      <w:r w:rsidR="005B5F1D">
        <w:t>-a</w:t>
      </w:r>
      <w:r w:rsidRPr="00726FFD">
        <w:t xml:space="preserve">) </w:t>
      </w:r>
      <w:r w:rsidRPr="00726FFD">
        <w:rPr>
          <w:i/>
          <w:iCs/>
        </w:rPr>
        <w:t>Global Methane Budget</w:t>
      </w:r>
      <w:r w:rsidRPr="00726FFD">
        <w:t>, https://www.csiro.au/en/research/environmental-impacts/emissions/Global-greenhouse-gas-budgets/Global-methane-budget.</w:t>
      </w:r>
    </w:p>
    <w:p w14:paraId="3F266B56" w14:textId="6C28ECE8" w:rsidR="00B64D50" w:rsidRPr="00726FFD" w:rsidRDefault="00B64D50" w:rsidP="00303705">
      <w:pPr>
        <w:pStyle w:val="ReportReferences"/>
      </w:pPr>
      <w:r w:rsidRPr="00273EFE">
        <w:t xml:space="preserve">CSIRO </w:t>
      </w:r>
      <w:r w:rsidRPr="00726FFD">
        <w:t>(n.d.</w:t>
      </w:r>
      <w:r w:rsidR="005B5F1D">
        <w:t>-b</w:t>
      </w:r>
      <w:r w:rsidRPr="00726FFD">
        <w:t xml:space="preserve">) </w:t>
      </w:r>
      <w:r w:rsidRPr="00726FFD">
        <w:rPr>
          <w:i/>
          <w:iCs/>
        </w:rPr>
        <w:t>How do greenhouse gases warm the planet?</w:t>
      </w:r>
      <w:r w:rsidRPr="00726FFD">
        <w:t>, https://www.csiro.au/en/research/environmental-impacts/climate-change/climate-change-qa/how-do-greenhouse-gases-warm-the-planet.</w:t>
      </w:r>
    </w:p>
    <w:p w14:paraId="3FF0AB11" w14:textId="7C8DC9C6" w:rsidR="00B64D50" w:rsidRPr="00726FFD" w:rsidRDefault="00B64D50" w:rsidP="00303705">
      <w:pPr>
        <w:pStyle w:val="ReportReferences"/>
      </w:pPr>
      <w:r w:rsidRPr="00273EFE">
        <w:t xml:space="preserve">CSIRO </w:t>
      </w:r>
      <w:r w:rsidRPr="00726FFD">
        <w:t>(n.d.</w:t>
      </w:r>
      <w:r w:rsidR="00937D62">
        <w:t>-</w:t>
      </w:r>
      <w:r w:rsidR="00937D62" w:rsidRPr="00726FFD">
        <w:t>c</w:t>
      </w:r>
      <w:r w:rsidRPr="00726FFD">
        <w:t xml:space="preserve">) </w:t>
      </w:r>
      <w:r w:rsidRPr="00726FFD">
        <w:rPr>
          <w:i/>
          <w:iCs/>
        </w:rPr>
        <w:t>Fugitive emissions abatement</w:t>
      </w:r>
      <w:r w:rsidRPr="00726FFD">
        <w:t>, https://www.csiro.au/en/work-with-us/industries/mining-resources/Mining/Fugitive-emissions-abatement.</w:t>
      </w:r>
    </w:p>
    <w:p w14:paraId="674EF52A" w14:textId="77777777" w:rsidR="00EC3D83" w:rsidRDefault="00EC3D83" w:rsidP="00303705">
      <w:pPr>
        <w:pStyle w:val="ReportReferences"/>
      </w:pPr>
    </w:p>
    <w:p w14:paraId="0EDF8970" w14:textId="6806B82C" w:rsidR="00B64D50" w:rsidRPr="00726FFD" w:rsidRDefault="00B64D50" w:rsidP="00303705">
      <w:pPr>
        <w:pStyle w:val="ReportReferences"/>
      </w:pPr>
      <w:r w:rsidRPr="00474A27">
        <w:t xml:space="preserve">Department of Agriculture, Fisheries and Forestry </w:t>
      </w:r>
      <w:r>
        <w:t>(</w:t>
      </w:r>
      <w:r w:rsidRPr="00726FFD">
        <w:t>DAFF</w:t>
      </w:r>
      <w:r>
        <w:t>)</w:t>
      </w:r>
      <w:r w:rsidRPr="00726FFD">
        <w:t xml:space="preserve"> (2025) </w:t>
      </w:r>
      <w:r w:rsidRPr="00726FFD">
        <w:rPr>
          <w:i/>
          <w:iCs/>
        </w:rPr>
        <w:t>Agriculture and Land Sector Plan</w:t>
      </w:r>
      <w:r w:rsidRPr="00726FFD">
        <w:t>, Canberra, https://www.agriculture.gov.au/agriculture-land/farm-food-drought/climatechange/ag-and-land-sector-plan.</w:t>
      </w:r>
    </w:p>
    <w:p w14:paraId="0244A2EF" w14:textId="3C0B6083" w:rsidR="006C706B" w:rsidRPr="0055236C" w:rsidRDefault="00B64D50" w:rsidP="006C706B">
      <w:pPr>
        <w:pStyle w:val="ReportReferences"/>
      </w:pPr>
      <w:r w:rsidRPr="005612A6">
        <w:t xml:space="preserve">Department of Climate Change, Energy, the Environment and Water </w:t>
      </w:r>
      <w:r>
        <w:t>(</w:t>
      </w:r>
      <w:r w:rsidRPr="005612A6">
        <w:t>DCCEEW</w:t>
      </w:r>
      <w:r>
        <w:t xml:space="preserve">) </w:t>
      </w:r>
      <w:r w:rsidRPr="00726FFD">
        <w:t>(</w:t>
      </w:r>
      <w:r w:rsidR="006C706B">
        <w:t xml:space="preserve">2023) </w:t>
      </w:r>
      <w:r w:rsidR="006C706B" w:rsidRPr="00423A6D">
        <w:t>Offshore Petroleum and Greenhouse Gas Storage (Environment) Regulations 2023</w:t>
      </w:r>
      <w:r w:rsidR="006C706B">
        <w:t xml:space="preserve"> (Cth), </w:t>
      </w:r>
      <w:r w:rsidR="006C706B" w:rsidRPr="00423A6D">
        <w:t>https://www.legislation.gov.au/F2023L00998/latest/text</w:t>
      </w:r>
    </w:p>
    <w:p w14:paraId="30A8547F" w14:textId="647C2C4F" w:rsidR="00B64D50" w:rsidRPr="00726FFD" w:rsidRDefault="00B64D50" w:rsidP="00303705">
      <w:pPr>
        <w:pStyle w:val="ReportReferences"/>
      </w:pPr>
      <w:r w:rsidRPr="005612A6">
        <w:t>DCCEEW</w:t>
      </w:r>
      <w:r>
        <w:t xml:space="preserve"> </w:t>
      </w:r>
      <w:r w:rsidRPr="00726FFD">
        <w:t xml:space="preserve">(2024a) </w:t>
      </w:r>
      <w:r w:rsidRPr="00726FFD">
        <w:rPr>
          <w:i/>
          <w:iCs/>
        </w:rPr>
        <w:t>Powering the Regions Fund - STS Batch 2 - Grant funding decision</w:t>
      </w:r>
      <w:r w:rsidRPr="00726FFD">
        <w:t>, https://www.dcceew.gov.au/sites/default/files/documents/77677.pdf.</w:t>
      </w:r>
    </w:p>
    <w:p w14:paraId="44BE5890" w14:textId="77777777" w:rsidR="00B64D50" w:rsidRPr="00726FFD" w:rsidRDefault="00B64D50" w:rsidP="00303705">
      <w:pPr>
        <w:pStyle w:val="ReportReferences"/>
      </w:pPr>
      <w:r w:rsidRPr="005612A6">
        <w:t>DCCEEW</w:t>
      </w:r>
      <w:r w:rsidRPr="00726FFD">
        <w:t xml:space="preserve"> (2024b) </w:t>
      </w:r>
      <w:r w:rsidRPr="00726FFD">
        <w:rPr>
          <w:i/>
          <w:iCs/>
        </w:rPr>
        <w:t>Joint media release: $91 million to drive down emissions in heavy industry</w:t>
      </w:r>
      <w:r w:rsidRPr="00726FFD">
        <w:t>, https://minister.dcceew.gov.au/bowen/media-releases/joint-release-powering-the-regions-20240712.</w:t>
      </w:r>
    </w:p>
    <w:p w14:paraId="555870A4" w14:textId="77777777" w:rsidR="00B64D50" w:rsidRPr="00726FFD" w:rsidRDefault="00B64D50" w:rsidP="00303705">
      <w:pPr>
        <w:pStyle w:val="ReportReferences"/>
      </w:pPr>
      <w:r w:rsidRPr="005612A6">
        <w:t>DCCEEW</w:t>
      </w:r>
      <w:r w:rsidRPr="00726FFD">
        <w:t xml:space="preserve"> (2024c) </w:t>
      </w:r>
      <w:r w:rsidRPr="00726FFD">
        <w:rPr>
          <w:i/>
          <w:iCs/>
        </w:rPr>
        <w:t>Emissions reporting</w:t>
      </w:r>
      <w:r w:rsidRPr="00726FFD">
        <w:t>, https://www.dcceew.gov.au/climate-change/emissions-reporting.</w:t>
      </w:r>
    </w:p>
    <w:p w14:paraId="3CE625BC" w14:textId="77777777" w:rsidR="00B64D50" w:rsidRPr="00726FFD" w:rsidRDefault="00B64D50" w:rsidP="00303705">
      <w:pPr>
        <w:pStyle w:val="ReportReferences"/>
      </w:pPr>
      <w:r w:rsidRPr="005612A6">
        <w:t>DCCEEW</w:t>
      </w:r>
      <w:r w:rsidRPr="00726FFD">
        <w:t xml:space="preserve"> (2025a) </w:t>
      </w:r>
      <w:r w:rsidRPr="00726FFD">
        <w:rPr>
          <w:i/>
          <w:iCs/>
        </w:rPr>
        <w:t>Reducing methane from livestock</w:t>
      </w:r>
      <w:r w:rsidRPr="00726FFD">
        <w:t>, https://www.dcceew.gov.au/climate-change/emissions-reduction/agricultural-land-sectors/livestock.</w:t>
      </w:r>
    </w:p>
    <w:p w14:paraId="64427530" w14:textId="77777777" w:rsidR="00B64D50" w:rsidRPr="00726FFD" w:rsidRDefault="00B64D50" w:rsidP="00303705">
      <w:pPr>
        <w:pStyle w:val="ReportReferences"/>
      </w:pPr>
      <w:r w:rsidRPr="005612A6">
        <w:t>DCCEEW</w:t>
      </w:r>
      <w:r w:rsidRPr="00726FFD">
        <w:t xml:space="preserve"> (2025b) </w:t>
      </w:r>
      <w:r w:rsidRPr="00726FFD">
        <w:rPr>
          <w:i/>
          <w:iCs/>
        </w:rPr>
        <w:t>Energy trade</w:t>
      </w:r>
      <w:r w:rsidRPr="00726FFD">
        <w:t>, https://www.energy.gov.au/energy-data/australian-energy-statistics/energy-trade.</w:t>
      </w:r>
    </w:p>
    <w:p w14:paraId="64968EBF" w14:textId="64A36724" w:rsidR="00B64D50" w:rsidRPr="00726FFD" w:rsidRDefault="00B64D50" w:rsidP="00303705">
      <w:pPr>
        <w:pStyle w:val="ReportReferences"/>
      </w:pPr>
      <w:r w:rsidRPr="005612A6">
        <w:t>DCCEEW</w:t>
      </w:r>
      <w:r w:rsidRPr="00726FFD">
        <w:t xml:space="preserve"> (2025c) </w:t>
      </w:r>
      <w:r w:rsidRPr="00726FFD">
        <w:rPr>
          <w:i/>
          <w:iCs/>
        </w:rPr>
        <w:t>Australia’s Net Zero Plan</w:t>
      </w:r>
      <w:r w:rsidRPr="00726FFD">
        <w:t>, https://www.dcceew.gov.au/sites/default/files/documents/net-zero-report.pdf.</w:t>
      </w:r>
    </w:p>
    <w:p w14:paraId="7EEF2D32" w14:textId="77777777" w:rsidR="00B64D50" w:rsidRPr="00726FFD" w:rsidRDefault="00B64D50" w:rsidP="00303705">
      <w:pPr>
        <w:pStyle w:val="ReportReferences"/>
      </w:pPr>
      <w:r w:rsidRPr="005612A6">
        <w:t>DCCEEW</w:t>
      </w:r>
      <w:r w:rsidRPr="00726FFD">
        <w:t xml:space="preserve"> (2025d) </w:t>
      </w:r>
      <w:r w:rsidRPr="00726FFD">
        <w:rPr>
          <w:i/>
          <w:iCs/>
        </w:rPr>
        <w:t>National Greenhouse Accounts Factors: 2025</w:t>
      </w:r>
      <w:r w:rsidRPr="00726FFD">
        <w:t>, Canberra, https://www.dcceew.gov.au/climate-change/publications/national-greenhouse-accounts-factors-2025.</w:t>
      </w:r>
    </w:p>
    <w:p w14:paraId="38A5C203" w14:textId="77777777" w:rsidR="00B64D50" w:rsidRPr="00726FFD" w:rsidRDefault="00B64D50" w:rsidP="00303705">
      <w:pPr>
        <w:pStyle w:val="ReportReferences"/>
      </w:pPr>
      <w:r w:rsidRPr="005612A6">
        <w:lastRenderedPageBreak/>
        <w:t>DCCEEW</w:t>
      </w:r>
      <w:r w:rsidRPr="00726FFD">
        <w:t xml:space="preserve"> (2025e) </w:t>
      </w:r>
      <w:r w:rsidRPr="00726FFD">
        <w:rPr>
          <w:i/>
          <w:iCs/>
        </w:rPr>
        <w:t>Coal Mine Waste Gas method 2015 Periodic review report</w:t>
      </w:r>
      <w:r w:rsidRPr="00726FFD">
        <w:t>, https://www.dcceew.gov.au/sites/default/files/documents/coal-mine-waste-gas-method-periodic-review-report-2025.pdf.</w:t>
      </w:r>
    </w:p>
    <w:p w14:paraId="4A10C7D4" w14:textId="77777777" w:rsidR="00B64D50" w:rsidRPr="00726FFD" w:rsidRDefault="00B64D50" w:rsidP="00303705">
      <w:pPr>
        <w:pStyle w:val="ReportReferences"/>
      </w:pPr>
      <w:r w:rsidRPr="005612A6">
        <w:t>DCCEEW</w:t>
      </w:r>
      <w:r w:rsidRPr="00726FFD">
        <w:t xml:space="preserve"> (2025f) </w:t>
      </w:r>
      <w:r w:rsidRPr="00726FFD">
        <w:rPr>
          <w:i/>
          <w:iCs/>
        </w:rPr>
        <w:t>National Greenhouse and Energy Reporting (NGER) Scheme</w:t>
      </w:r>
      <w:r w:rsidRPr="00726FFD">
        <w:t>, https://consult.dcceew.gov.au/national-greenhouse-and-energy-reporting-nger-scheme.</w:t>
      </w:r>
    </w:p>
    <w:p w14:paraId="00CEE896" w14:textId="77777777" w:rsidR="00B64D50" w:rsidRPr="00726FFD" w:rsidRDefault="00B64D50" w:rsidP="00303705">
      <w:pPr>
        <w:pStyle w:val="ReportReferences"/>
      </w:pPr>
      <w:r w:rsidRPr="005612A6">
        <w:t>DCCEEW</w:t>
      </w:r>
      <w:r w:rsidRPr="00726FFD">
        <w:t xml:space="preserve"> (2025g) </w:t>
      </w:r>
      <w:r w:rsidRPr="00726FFD">
        <w:rPr>
          <w:i/>
          <w:iCs/>
        </w:rPr>
        <w:t>Australia’s emissions projections 2025: November 2025</w:t>
      </w:r>
      <w:r w:rsidRPr="00726FFD">
        <w:t>, Canberra, https://www.dcceew.gov.au/sites/default/files/documents/australias-emissions-projections-2025.pdf.</w:t>
      </w:r>
    </w:p>
    <w:p w14:paraId="1CBD6A6E" w14:textId="77777777" w:rsidR="00B64D50" w:rsidRPr="00726FFD" w:rsidRDefault="00B64D50" w:rsidP="00303705">
      <w:pPr>
        <w:pStyle w:val="ReportReferences"/>
      </w:pPr>
      <w:r w:rsidRPr="005612A6">
        <w:t>DCCEEW</w:t>
      </w:r>
      <w:r w:rsidRPr="00726FFD">
        <w:t xml:space="preserve"> (2026a) </w:t>
      </w:r>
      <w:r w:rsidRPr="00726FFD">
        <w:rPr>
          <w:i/>
          <w:iCs/>
        </w:rPr>
        <w:t>Australia’s National Greenhouse Accounts</w:t>
      </w:r>
      <w:r w:rsidRPr="00726FFD">
        <w:t>, https://www.greenhouseaccounts.climatechange.gov.au/.</w:t>
      </w:r>
    </w:p>
    <w:p w14:paraId="29A8D0AF" w14:textId="181C5585" w:rsidR="00B64D50" w:rsidRPr="00726FFD" w:rsidRDefault="00B64D50" w:rsidP="00303705">
      <w:pPr>
        <w:pStyle w:val="ReportReferences"/>
      </w:pPr>
      <w:r w:rsidRPr="005612A6">
        <w:t>DCCEEW</w:t>
      </w:r>
      <w:r w:rsidRPr="00726FFD">
        <w:t xml:space="preserve"> (2026b) </w:t>
      </w:r>
      <w:r w:rsidRPr="00726FFD">
        <w:rPr>
          <w:i/>
          <w:iCs/>
        </w:rPr>
        <w:t>National Greenhouse Gas Inventory Quarterly Update: December 2025</w:t>
      </w:r>
      <w:r w:rsidRPr="00726FFD">
        <w:t xml:space="preserve">, </w:t>
      </w:r>
      <w:r w:rsidR="00CF2820">
        <w:br/>
      </w:r>
      <w:r w:rsidRPr="00726FFD">
        <w:t>https://www.dcceew.gov.au/climate-change/publications/national-greenhouse-gas-inventory-quarterly-update-december-2025.</w:t>
      </w:r>
    </w:p>
    <w:p w14:paraId="4C5A9CEE" w14:textId="77777777" w:rsidR="00B64D50" w:rsidRPr="00726FFD" w:rsidRDefault="00B64D50" w:rsidP="00303705">
      <w:pPr>
        <w:pStyle w:val="ReportReferences"/>
      </w:pPr>
      <w:r w:rsidRPr="005612A6">
        <w:t>DCCEEW</w:t>
      </w:r>
      <w:r w:rsidRPr="00726FFD">
        <w:t xml:space="preserve"> (2026c) </w:t>
      </w:r>
      <w:r w:rsidRPr="00726FFD">
        <w:rPr>
          <w:i/>
          <w:iCs/>
        </w:rPr>
        <w:t>Safeguard Mechanism</w:t>
      </w:r>
      <w:r w:rsidRPr="00726FFD">
        <w:t>, https://www.dcceew.gov.au/climate-change/emissions-reporting/national-greenhouse-energy-reporting-scheme/safeguard-mechanism.</w:t>
      </w:r>
    </w:p>
    <w:p w14:paraId="4B43465E" w14:textId="77777777" w:rsidR="00B64D50" w:rsidRPr="00726FFD" w:rsidRDefault="00B64D50" w:rsidP="00303705">
      <w:pPr>
        <w:pStyle w:val="ReportReferences"/>
      </w:pPr>
      <w:r w:rsidRPr="005612A6">
        <w:t>DCCEEW</w:t>
      </w:r>
      <w:r w:rsidRPr="00726FFD">
        <w:t xml:space="preserve"> (2026d) </w:t>
      </w:r>
      <w:r w:rsidRPr="00726FFD">
        <w:rPr>
          <w:i/>
          <w:iCs/>
        </w:rPr>
        <w:t>National Inventory Report 2024, Volume I</w:t>
      </w:r>
      <w:r w:rsidRPr="00726FFD">
        <w:t>, Canberra, https://www.dcceew.gov.au/sites/default/files/documents/national-inventory-report-2024-vol-1.pdf.</w:t>
      </w:r>
    </w:p>
    <w:p w14:paraId="6EEF5585" w14:textId="77777777" w:rsidR="00B64D50" w:rsidRPr="00726FFD" w:rsidRDefault="00B64D50" w:rsidP="00303705">
      <w:pPr>
        <w:pStyle w:val="ReportReferences"/>
      </w:pPr>
      <w:r w:rsidRPr="005612A6">
        <w:t>DCCEEW</w:t>
      </w:r>
      <w:r w:rsidRPr="00726FFD">
        <w:t xml:space="preserve"> (2026e) </w:t>
      </w:r>
      <w:r w:rsidRPr="00726FFD">
        <w:rPr>
          <w:i/>
          <w:iCs/>
        </w:rPr>
        <w:t>Australian Carbon Credit Unit (ACCU) Scheme</w:t>
      </w:r>
      <w:r w:rsidRPr="00726FFD">
        <w:t>, https://www.dcceew.gov.au/climate-change/emissions-reduction/accu-scheme.</w:t>
      </w:r>
    </w:p>
    <w:p w14:paraId="6EB0B331" w14:textId="77777777" w:rsidR="00B64D50" w:rsidRPr="00726FFD" w:rsidRDefault="00B64D50" w:rsidP="00303705">
      <w:pPr>
        <w:pStyle w:val="ReportReferences"/>
      </w:pPr>
      <w:r w:rsidRPr="005612A6">
        <w:t>DCCEEW</w:t>
      </w:r>
      <w:r w:rsidRPr="00726FFD">
        <w:t xml:space="preserve"> (2026f) </w:t>
      </w:r>
      <w:r w:rsidRPr="00726FFD">
        <w:rPr>
          <w:i/>
          <w:iCs/>
        </w:rPr>
        <w:t>Environment Protection and Biodiversity Conservation Act 1999 (EPBC Act)</w:t>
      </w:r>
      <w:r w:rsidRPr="00726FFD">
        <w:t>, https://www.dcceew.gov.au/environment/epbc.</w:t>
      </w:r>
    </w:p>
    <w:p w14:paraId="0BD763F4" w14:textId="2B757D09" w:rsidR="00B64D50" w:rsidRPr="00726FFD" w:rsidRDefault="00B64D50" w:rsidP="00303705">
      <w:pPr>
        <w:pStyle w:val="ReportReferences"/>
      </w:pPr>
      <w:r w:rsidRPr="005612A6">
        <w:t>DCCEEW</w:t>
      </w:r>
      <w:r w:rsidRPr="00726FFD">
        <w:t xml:space="preserve"> (2026g) </w:t>
      </w:r>
      <w:r w:rsidRPr="00726FFD">
        <w:rPr>
          <w:i/>
          <w:iCs/>
        </w:rPr>
        <w:t>Expert Panel on Atmospheric Measurement of Fugitive Methane Emissions in Australia</w:t>
      </w:r>
      <w:r w:rsidRPr="00726FFD">
        <w:t xml:space="preserve">, </w:t>
      </w:r>
      <w:r w:rsidRPr="007C3A5D">
        <w:t>https://www.dcceew.gov.au/climate-change/emissions-reporting/national-greenhouse-energy-reporting-scheme/expert-panel-atmospheric-measurement-fugitive-methane-emissions-au</w:t>
      </w:r>
      <w:r w:rsidRPr="00726FFD">
        <w:t>.</w:t>
      </w:r>
    </w:p>
    <w:p w14:paraId="6F8D214B" w14:textId="42783F3F" w:rsidR="005F3D0F" w:rsidRPr="00726FFD" w:rsidRDefault="005F3D0F" w:rsidP="005F3D0F">
      <w:pPr>
        <w:pStyle w:val="ReportReferences"/>
      </w:pPr>
      <w:r w:rsidRPr="00726FFD">
        <w:t>D</w:t>
      </w:r>
      <w:r w:rsidR="00F17FE7">
        <w:t xml:space="preserve">epartment of </w:t>
      </w:r>
      <w:r w:rsidRPr="00726FFD">
        <w:t>I</w:t>
      </w:r>
      <w:r w:rsidR="00F17FE7">
        <w:t xml:space="preserve">ndustry </w:t>
      </w:r>
      <w:r w:rsidRPr="00726FFD">
        <w:t>S</w:t>
      </w:r>
      <w:r w:rsidR="00F17FE7">
        <w:t xml:space="preserve">cience and </w:t>
      </w:r>
      <w:r w:rsidRPr="00726FFD">
        <w:t>R</w:t>
      </w:r>
      <w:r w:rsidR="00F17FE7">
        <w:t>esources</w:t>
      </w:r>
      <w:r w:rsidRPr="00726FFD">
        <w:t xml:space="preserve"> (</w:t>
      </w:r>
      <w:r w:rsidR="00B20405">
        <w:t xml:space="preserve">DISR) </w:t>
      </w:r>
      <w:r w:rsidRPr="00726FFD">
        <w:t xml:space="preserve">(2024a) </w:t>
      </w:r>
      <w:r w:rsidRPr="00726FFD">
        <w:rPr>
          <w:i/>
          <w:iCs/>
        </w:rPr>
        <w:t>$91 million to drive down emissions in heavy industry</w:t>
      </w:r>
      <w:r w:rsidRPr="00726FFD">
        <w:t>, https://www.minister.industry.gov.au/ministers/husic/media-releases/91-million-drive-down-emissions-heavy-industry.</w:t>
      </w:r>
    </w:p>
    <w:p w14:paraId="52A5BAFC" w14:textId="782DFD68" w:rsidR="00B641C0" w:rsidRDefault="00B210A7" w:rsidP="00B641C0">
      <w:pPr>
        <w:pStyle w:val="ReportReferences"/>
      </w:pPr>
      <w:r>
        <w:t>DISR</w:t>
      </w:r>
      <w:r w:rsidRPr="00726FFD">
        <w:t xml:space="preserve"> (2024b) </w:t>
      </w:r>
      <w:r w:rsidRPr="00726FFD">
        <w:rPr>
          <w:i/>
          <w:iCs/>
        </w:rPr>
        <w:t>Future Gas Strategy</w:t>
      </w:r>
      <w:r w:rsidRPr="00726FFD">
        <w:t xml:space="preserve">, </w:t>
      </w:r>
      <w:r w:rsidRPr="00771B3C">
        <w:t>https://www.industry.gov.au/publications/future-gas-strategy</w:t>
      </w:r>
      <w:r w:rsidRPr="00726FFD">
        <w:t>.</w:t>
      </w:r>
    </w:p>
    <w:p w14:paraId="3042255B" w14:textId="2216757B" w:rsidR="00B641C0" w:rsidRDefault="00B641C0" w:rsidP="00B641C0">
      <w:pPr>
        <w:pStyle w:val="ReportReferences"/>
      </w:pPr>
      <w:r w:rsidRPr="00771B3C">
        <w:t xml:space="preserve">DISR (2025a) </w:t>
      </w:r>
      <w:r w:rsidRPr="009F58B4">
        <w:rPr>
          <w:i/>
        </w:rPr>
        <w:t>Resources and Energy Quarterly: December 2025,</w:t>
      </w:r>
      <w:r w:rsidRPr="00771B3C">
        <w:t xml:space="preserve"> https://www.industry.gov.au/sites/default/files/2025-12/resources-and-energy-quarterly-december-2025.pdf</w:t>
      </w:r>
      <w:r>
        <w:t>.</w:t>
      </w:r>
    </w:p>
    <w:p w14:paraId="36C8DCFA" w14:textId="3AB47C0C" w:rsidR="00401069" w:rsidRDefault="00401069" w:rsidP="00771B3C">
      <w:pPr>
        <w:pStyle w:val="ReportReferences"/>
      </w:pPr>
      <w:r>
        <w:t>DISR</w:t>
      </w:r>
      <w:r w:rsidRPr="00401069">
        <w:t xml:space="preserve"> (2025b) Resources Sector Plan, https://www.industry.gov.au/publications/resources-sector-plan</w:t>
      </w:r>
    </w:p>
    <w:p w14:paraId="6AE7A32C" w14:textId="765AAB0F" w:rsidR="00771B3C" w:rsidRPr="00771B3C" w:rsidRDefault="007D05C6" w:rsidP="00771B3C">
      <w:pPr>
        <w:pStyle w:val="ReportReferences"/>
      </w:pPr>
      <w:r>
        <w:t>DISR</w:t>
      </w:r>
      <w:r w:rsidRPr="007D05C6">
        <w:t xml:space="preserve"> (2025</w:t>
      </w:r>
      <w:r w:rsidR="00401069">
        <w:t>c</w:t>
      </w:r>
      <w:r w:rsidRPr="007D05C6">
        <w:t xml:space="preserve">) </w:t>
      </w:r>
      <w:r w:rsidRPr="009F58B4">
        <w:rPr>
          <w:i/>
        </w:rPr>
        <w:t>Policy statement: Venting and flaring from offshore petroleum facilities,</w:t>
      </w:r>
      <w:r w:rsidRPr="007D05C6">
        <w:t xml:space="preserve"> https://www.industry.gov.au/publications/policy-statement-venting-and-flaring-offshore-petroleum-facilities.</w:t>
      </w:r>
    </w:p>
    <w:p w14:paraId="00ECB15C" w14:textId="77777777" w:rsidR="00643578" w:rsidRDefault="00643578" w:rsidP="00303705">
      <w:pPr>
        <w:pStyle w:val="ReportReferences"/>
      </w:pPr>
    </w:p>
    <w:p w14:paraId="67F70288" w14:textId="77777777" w:rsidR="00643578" w:rsidRDefault="00643578" w:rsidP="00303705">
      <w:pPr>
        <w:pStyle w:val="ReportReferences"/>
      </w:pPr>
    </w:p>
    <w:p w14:paraId="6136E95E" w14:textId="77777777" w:rsidR="00643578" w:rsidRDefault="00643578" w:rsidP="00303705">
      <w:pPr>
        <w:pStyle w:val="ReportReferences"/>
      </w:pPr>
    </w:p>
    <w:p w14:paraId="5BEF8635" w14:textId="0A28FB21" w:rsidR="00B64D50" w:rsidRPr="00726FFD" w:rsidRDefault="00B64D50" w:rsidP="00303705">
      <w:pPr>
        <w:pStyle w:val="ReportReferences"/>
      </w:pPr>
      <w:r w:rsidRPr="00726FFD">
        <w:lastRenderedPageBreak/>
        <w:t xml:space="preserve">Drouet L, Bosetti V, Padoan SA, Aleluia Reis L, Bertram C, Dalla Longa F, Després J, Emmerling J, Fosse F, Fragkiadakis K, Frank S, Fricko O, Fujimori S, Harmsen M, Krey V, Oshiro K, Nogueira LP, Paroussos L, Piontek F, Riahi K, Rochedo PRR, Schaeffer R, Takakura J, van der Wijst K-I, van der Zwaan B, van Vuuren D, Vrontisi Z, Weitzel M, Zakeri B and Tavoni M (2021) ‘Net zero-emission pathways reduce the physical and economic risks of climate change’, </w:t>
      </w:r>
      <w:r w:rsidRPr="00726FFD">
        <w:rPr>
          <w:i/>
          <w:iCs/>
        </w:rPr>
        <w:t>Nature Climate Change</w:t>
      </w:r>
      <w:r w:rsidRPr="00726FFD">
        <w:t>, 11(12):1070–1076, doi:10.1038/s41558-021-01218-z.</w:t>
      </w:r>
    </w:p>
    <w:p w14:paraId="0EFC7FEA" w14:textId="77777777" w:rsidR="00B64D50" w:rsidRPr="00726FFD" w:rsidRDefault="00B64D50" w:rsidP="00303705">
      <w:pPr>
        <w:pStyle w:val="ReportReferences"/>
      </w:pPr>
      <w:r w:rsidRPr="00726FFD">
        <w:t xml:space="preserve">Encyclopædia Britannica (2026) </w:t>
      </w:r>
      <w:r w:rsidRPr="00726FFD">
        <w:rPr>
          <w:i/>
          <w:iCs/>
        </w:rPr>
        <w:t>hydrocarbon</w:t>
      </w:r>
      <w:r w:rsidRPr="00726FFD">
        <w:t xml:space="preserve">, </w:t>
      </w:r>
      <w:r w:rsidRPr="00726FFD">
        <w:rPr>
          <w:i/>
          <w:iCs/>
        </w:rPr>
        <w:t>Britannica</w:t>
      </w:r>
      <w:r w:rsidRPr="00726FFD">
        <w:t>, https://www.britannica.com/science/hydrocarbon.</w:t>
      </w:r>
    </w:p>
    <w:p w14:paraId="07C3F3A0" w14:textId="77777777" w:rsidR="00B64D50" w:rsidRPr="00726FFD" w:rsidRDefault="00B64D50" w:rsidP="00303705">
      <w:pPr>
        <w:pStyle w:val="ReportReferences"/>
      </w:pPr>
      <w:r w:rsidRPr="00474A27">
        <w:t>Environmental Research &amp; Education Foundation</w:t>
      </w:r>
      <w:r w:rsidRPr="00726FFD">
        <w:t xml:space="preserve"> </w:t>
      </w:r>
      <w:r>
        <w:t>(</w:t>
      </w:r>
      <w:r w:rsidRPr="00726FFD">
        <w:t>EREF</w:t>
      </w:r>
      <w:r>
        <w:t>)</w:t>
      </w:r>
      <w:r w:rsidRPr="00726FFD">
        <w:t xml:space="preserve"> (2025) </w:t>
      </w:r>
      <w:r w:rsidRPr="00726FFD">
        <w:rPr>
          <w:i/>
          <w:iCs/>
        </w:rPr>
        <w:t>EREF Launches Third Controlled Release Study to Improve Methane Detection at Landfills</w:t>
      </w:r>
      <w:r w:rsidRPr="00726FFD">
        <w:t>, https://erefdn.org/eref-launches-third-controlled-release-study-to-improve-methane-detection-at-landfills/.</w:t>
      </w:r>
    </w:p>
    <w:p w14:paraId="0365FCC6" w14:textId="77777777" w:rsidR="00B64D50" w:rsidRPr="00726FFD" w:rsidRDefault="00B64D50" w:rsidP="00303705">
      <w:pPr>
        <w:pStyle w:val="ReportReferences"/>
      </w:pPr>
      <w:r w:rsidRPr="00726FFD">
        <w:t xml:space="preserve">European Commission (n.d.) </w:t>
      </w:r>
      <w:r w:rsidRPr="00726FFD">
        <w:rPr>
          <w:i/>
          <w:iCs/>
        </w:rPr>
        <w:t>Methane emissions</w:t>
      </w:r>
      <w:r w:rsidRPr="00726FFD">
        <w:t>, https://energy.ec.europa.eu/topics/carbon-management-and-fossil-fuels/methane-emissions_en.</w:t>
      </w:r>
    </w:p>
    <w:p w14:paraId="7A9EDB84" w14:textId="77777777" w:rsidR="00B64D50" w:rsidRPr="00726FFD" w:rsidRDefault="00B64D50" w:rsidP="00303705">
      <w:pPr>
        <w:pStyle w:val="ReportReferences"/>
      </w:pPr>
      <w:r w:rsidRPr="00726FFD">
        <w:t xml:space="preserve">Global Energy Monitor (2025) </w:t>
      </w:r>
      <w:r w:rsidRPr="00726FFD">
        <w:rPr>
          <w:i/>
          <w:iCs/>
        </w:rPr>
        <w:t>Global Coal Mine Tracker</w:t>
      </w:r>
      <w:r w:rsidRPr="00726FFD">
        <w:t>, https://globalenergymonitor.org/projects/global-coal-mine-tracker.</w:t>
      </w:r>
    </w:p>
    <w:p w14:paraId="3B5861DF" w14:textId="77777777" w:rsidR="00B64D50" w:rsidRPr="00726FFD" w:rsidRDefault="00B64D50" w:rsidP="00303705">
      <w:pPr>
        <w:pStyle w:val="ReportReferences"/>
      </w:pPr>
      <w:r w:rsidRPr="00726FFD">
        <w:t xml:space="preserve">Global Methane Initiative (n.d.) </w:t>
      </w:r>
      <w:r w:rsidRPr="00726FFD">
        <w:rPr>
          <w:i/>
          <w:iCs/>
        </w:rPr>
        <w:t>Global Methane Initiative (GMI) Policymaker Framework for Addressing Methane Emissions</w:t>
      </w:r>
      <w:r w:rsidRPr="00726FFD">
        <w:t>, https://globalmethane.org/pmf.</w:t>
      </w:r>
    </w:p>
    <w:p w14:paraId="48AF78DC" w14:textId="77777777" w:rsidR="00B64D50" w:rsidRPr="00726FFD" w:rsidRDefault="00B64D50" w:rsidP="00303705">
      <w:pPr>
        <w:pStyle w:val="ReportReferences"/>
      </w:pPr>
      <w:r w:rsidRPr="00726FFD">
        <w:t xml:space="preserve">Global Methane Pledge (2026) </w:t>
      </w:r>
      <w:r w:rsidRPr="00726FFD">
        <w:rPr>
          <w:i/>
          <w:iCs/>
        </w:rPr>
        <w:t>Global Methane Pledge</w:t>
      </w:r>
      <w:r w:rsidRPr="00726FFD">
        <w:t>, https://www.globalmethanepledge.org.</w:t>
      </w:r>
    </w:p>
    <w:p w14:paraId="0EBC6964" w14:textId="77777777" w:rsidR="00B64D50" w:rsidRPr="00726FFD" w:rsidRDefault="00B64D50" w:rsidP="00303705">
      <w:pPr>
        <w:pStyle w:val="ReportReferences"/>
      </w:pPr>
      <w:r w:rsidRPr="00726FFD">
        <w:t xml:space="preserve">Gordon D and Hughes S (2023) </w:t>
      </w:r>
      <w:r w:rsidRPr="00726FFD">
        <w:rPr>
          <w:i/>
          <w:iCs/>
        </w:rPr>
        <w:t>Reality Check: Natural Gas’s True Climate Risk</w:t>
      </w:r>
      <w:r w:rsidRPr="00726FFD">
        <w:t xml:space="preserve">, </w:t>
      </w:r>
      <w:r w:rsidRPr="00726FFD">
        <w:rPr>
          <w:i/>
          <w:iCs/>
        </w:rPr>
        <w:t>RMI</w:t>
      </w:r>
      <w:r w:rsidRPr="00726FFD">
        <w:t>, https://www.ccacoalition.org/short-lived-climate-pollutants/methane.</w:t>
      </w:r>
    </w:p>
    <w:p w14:paraId="6D23D028" w14:textId="77777777" w:rsidR="00B64D50" w:rsidRPr="00726FFD" w:rsidRDefault="00B64D50" w:rsidP="00303705">
      <w:pPr>
        <w:pStyle w:val="ReportReferences"/>
      </w:pPr>
      <w:r w:rsidRPr="00726FFD">
        <w:t xml:space="preserve">Government of Canada (n.d.) </w:t>
      </w:r>
      <w:r w:rsidRPr="00726FFD">
        <w:rPr>
          <w:i/>
          <w:iCs/>
        </w:rPr>
        <w:t>Reducing methane emissions</w:t>
      </w:r>
      <w:r w:rsidRPr="00726FFD">
        <w:t>, https://www.canada.ca/en/services/environment/weather/climatechange/climate-plan/reducing-methane-emissions.html.</w:t>
      </w:r>
    </w:p>
    <w:p w14:paraId="11F57C87" w14:textId="77777777" w:rsidR="00B64D50" w:rsidRPr="00726FFD" w:rsidRDefault="00B64D50" w:rsidP="00303705">
      <w:pPr>
        <w:pStyle w:val="ReportReferences"/>
      </w:pPr>
      <w:r>
        <w:t>International Energy Agency (</w:t>
      </w:r>
      <w:r w:rsidRPr="00726FFD">
        <w:t>IEA</w:t>
      </w:r>
      <w:r>
        <w:t>)</w:t>
      </w:r>
      <w:r w:rsidRPr="00726FFD">
        <w:t xml:space="preserve"> (2022) </w:t>
      </w:r>
      <w:r w:rsidRPr="00726FFD">
        <w:rPr>
          <w:i/>
          <w:iCs/>
        </w:rPr>
        <w:t>(Queensland) Petroleum and Gas (Production and Safety) Act 2004</w:t>
      </w:r>
      <w:r w:rsidRPr="00726FFD">
        <w:t>, https://www.iea.org/policies/8620-queensland-petroleum-and-gas-production-and-safety-act-2004.</w:t>
      </w:r>
    </w:p>
    <w:p w14:paraId="11B71366" w14:textId="77777777" w:rsidR="00B64D50" w:rsidRPr="00726FFD" w:rsidRDefault="00B64D50" w:rsidP="00303705">
      <w:pPr>
        <w:pStyle w:val="ReportReferences"/>
      </w:pPr>
      <w:r w:rsidRPr="00474A27">
        <w:t xml:space="preserve">IEA </w:t>
      </w:r>
      <w:r w:rsidRPr="00726FFD">
        <w:t xml:space="preserve">(2023) </w:t>
      </w:r>
      <w:r w:rsidRPr="00726FFD">
        <w:rPr>
          <w:i/>
          <w:iCs/>
        </w:rPr>
        <w:t>Driving Down Coal Mine Methane Emissions</w:t>
      </w:r>
      <w:r w:rsidRPr="00726FFD">
        <w:t>, Paris, https://www.iea.org/reports/driving-down-coal-mine-methane-emissions.</w:t>
      </w:r>
    </w:p>
    <w:p w14:paraId="376FE70E" w14:textId="77777777" w:rsidR="00B64D50" w:rsidRPr="00726FFD" w:rsidRDefault="00B64D50" w:rsidP="00303705">
      <w:pPr>
        <w:pStyle w:val="ReportReferences"/>
      </w:pPr>
      <w:r w:rsidRPr="00474A27">
        <w:t xml:space="preserve">IEA </w:t>
      </w:r>
      <w:r w:rsidRPr="00726FFD">
        <w:t xml:space="preserve">(2024) </w:t>
      </w:r>
      <w:r w:rsidRPr="00726FFD">
        <w:rPr>
          <w:i/>
          <w:iCs/>
        </w:rPr>
        <w:t>World Energy Outlook 2024</w:t>
      </w:r>
      <w:r w:rsidRPr="00726FFD">
        <w:t>, Paris, https://www.iea.org/reports/world-energy-outlook-2024.</w:t>
      </w:r>
    </w:p>
    <w:p w14:paraId="5AFFC400" w14:textId="77777777" w:rsidR="00B64D50" w:rsidRPr="00726FFD" w:rsidRDefault="00B64D50" w:rsidP="00303705">
      <w:pPr>
        <w:pStyle w:val="ReportReferences"/>
      </w:pPr>
      <w:r w:rsidRPr="00474A27">
        <w:t xml:space="preserve">IEA </w:t>
      </w:r>
      <w:r w:rsidRPr="00726FFD">
        <w:t xml:space="preserve">(2025a) </w:t>
      </w:r>
      <w:r w:rsidRPr="00726FFD">
        <w:rPr>
          <w:i/>
          <w:iCs/>
        </w:rPr>
        <w:t>Assessing emissions from LNG supply and abatement options</w:t>
      </w:r>
      <w:r w:rsidRPr="00726FFD">
        <w:t>, Paris, https://www.iea.org/reports/assessing-emissions-from-lng-supply-and-abatement-options.</w:t>
      </w:r>
    </w:p>
    <w:p w14:paraId="210F0B85" w14:textId="77777777" w:rsidR="00B64D50" w:rsidRPr="00726FFD" w:rsidRDefault="00B64D50" w:rsidP="00303705">
      <w:pPr>
        <w:pStyle w:val="ReportReferences"/>
      </w:pPr>
      <w:r w:rsidRPr="00474A27">
        <w:t xml:space="preserve">IEA </w:t>
      </w:r>
      <w:r w:rsidRPr="00726FFD">
        <w:t xml:space="preserve">(2025b) </w:t>
      </w:r>
      <w:r w:rsidRPr="00726FFD">
        <w:rPr>
          <w:i/>
          <w:iCs/>
        </w:rPr>
        <w:t>World Energy Outlook 2025</w:t>
      </w:r>
      <w:r w:rsidRPr="00726FFD">
        <w:t>, Paris, https://www.iea.org/reports/world-energy-outlook-2025</w:t>
      </w:r>
      <w:r>
        <w:t>.</w:t>
      </w:r>
    </w:p>
    <w:p w14:paraId="5939A6C9" w14:textId="77777777" w:rsidR="00B64D50" w:rsidRPr="00726FFD" w:rsidRDefault="00B64D50" w:rsidP="00303705">
      <w:pPr>
        <w:pStyle w:val="ReportReferences"/>
      </w:pPr>
      <w:r w:rsidRPr="00474A27">
        <w:t xml:space="preserve">IEA </w:t>
      </w:r>
      <w:r w:rsidRPr="00726FFD">
        <w:t xml:space="preserve">(2025c) </w:t>
      </w:r>
      <w:r w:rsidRPr="00726FFD">
        <w:rPr>
          <w:i/>
          <w:iCs/>
        </w:rPr>
        <w:t>Coal 2025</w:t>
      </w:r>
      <w:r w:rsidRPr="00726FFD">
        <w:t>, Paris, https://www.iea.org/reports/coal-2025.</w:t>
      </w:r>
    </w:p>
    <w:p w14:paraId="13C05313" w14:textId="77777777" w:rsidR="00B64D50" w:rsidRPr="00726FFD" w:rsidRDefault="00B64D50" w:rsidP="00303705">
      <w:pPr>
        <w:pStyle w:val="ReportReferences"/>
      </w:pPr>
      <w:r w:rsidRPr="00474A27">
        <w:t xml:space="preserve">IEA </w:t>
      </w:r>
      <w:r w:rsidRPr="00726FFD">
        <w:t xml:space="preserve">(2026a) </w:t>
      </w:r>
      <w:r w:rsidRPr="00726FFD">
        <w:rPr>
          <w:i/>
          <w:iCs/>
        </w:rPr>
        <w:t>Methane Tracker</w:t>
      </w:r>
      <w:r w:rsidRPr="00726FFD">
        <w:t>, https://www.iea.org/data-and-statistics/data-tools/methane-tracker.</w:t>
      </w:r>
    </w:p>
    <w:p w14:paraId="543FC283" w14:textId="77777777" w:rsidR="00B64D50" w:rsidRPr="00726FFD" w:rsidRDefault="00B64D50" w:rsidP="00303705">
      <w:pPr>
        <w:pStyle w:val="ReportReferences"/>
      </w:pPr>
      <w:r w:rsidRPr="00474A27">
        <w:t xml:space="preserve">IEA </w:t>
      </w:r>
      <w:r w:rsidRPr="00726FFD">
        <w:t xml:space="preserve">(2026b) </w:t>
      </w:r>
      <w:r w:rsidRPr="00726FFD">
        <w:rPr>
          <w:i/>
          <w:iCs/>
        </w:rPr>
        <w:t>Global Methane Tracker 2026</w:t>
      </w:r>
      <w:r w:rsidRPr="00726FFD">
        <w:t>, Paris, https://www.iea.org/reports/global-methane-tracker-2026</w:t>
      </w:r>
      <w:r>
        <w:t>.</w:t>
      </w:r>
    </w:p>
    <w:p w14:paraId="2D1607CA" w14:textId="77777777" w:rsidR="00B64D50" w:rsidRPr="00726FFD" w:rsidRDefault="00B64D50" w:rsidP="00303705">
      <w:pPr>
        <w:pStyle w:val="ReportReferences"/>
      </w:pPr>
      <w:r w:rsidRPr="00335A6D">
        <w:t xml:space="preserve">Institute for Energy Economics and Financial Analysis </w:t>
      </w:r>
      <w:r>
        <w:t>(</w:t>
      </w:r>
      <w:r w:rsidRPr="00726FFD">
        <w:t>IEEFA</w:t>
      </w:r>
      <w:r>
        <w:t>)</w:t>
      </w:r>
      <w:r w:rsidRPr="00726FFD">
        <w:t xml:space="preserve"> (2024) </w:t>
      </w:r>
      <w:r w:rsidRPr="00726FFD">
        <w:rPr>
          <w:i/>
          <w:iCs/>
        </w:rPr>
        <w:t>Prioritising methane abatement makes economic sense</w:t>
      </w:r>
      <w:r w:rsidRPr="00726FFD">
        <w:t>, https://ieefa.org/resources/prioritising-methane-abatement-makes-economic-sense.</w:t>
      </w:r>
    </w:p>
    <w:p w14:paraId="29592017" w14:textId="77777777" w:rsidR="00CF3BE7" w:rsidRDefault="00CF3BE7" w:rsidP="00303705">
      <w:pPr>
        <w:pStyle w:val="ReportReferences"/>
      </w:pPr>
    </w:p>
    <w:p w14:paraId="41358EF3" w14:textId="47F8A830" w:rsidR="00B64D50" w:rsidRPr="00726FFD" w:rsidRDefault="00B64D50" w:rsidP="00303705">
      <w:pPr>
        <w:pStyle w:val="ReportReferences"/>
      </w:pPr>
      <w:r w:rsidRPr="00397C17">
        <w:lastRenderedPageBreak/>
        <w:t xml:space="preserve">Intergovernmental Panel on Climate Change </w:t>
      </w:r>
      <w:r>
        <w:t>(</w:t>
      </w:r>
      <w:r w:rsidRPr="00726FFD">
        <w:t>IPCC</w:t>
      </w:r>
      <w:r>
        <w:t>)</w:t>
      </w:r>
      <w:r w:rsidRPr="00726FFD">
        <w:t xml:space="preserve"> (2014) </w:t>
      </w:r>
      <w:r w:rsidRPr="00726FFD">
        <w:rPr>
          <w:i/>
          <w:iCs/>
        </w:rPr>
        <w:t>Climate Change 2014: Synthesis Report</w:t>
      </w:r>
      <w:r w:rsidRPr="00726FFD">
        <w:t>, https://www.ipcc.ch/report/ar5/syr/.</w:t>
      </w:r>
    </w:p>
    <w:p w14:paraId="3EB9CD74" w14:textId="0667DFEA" w:rsidR="00B64D50" w:rsidRPr="00726FFD" w:rsidRDefault="00B64D50" w:rsidP="00303705">
      <w:pPr>
        <w:pStyle w:val="ReportReferences"/>
      </w:pPr>
      <w:r w:rsidRPr="00726FFD">
        <w:t xml:space="preserve">IPCC (2019) ‘2019 Refinement to the 2006 IPCC Guidelines </w:t>
      </w:r>
      <w:r w:rsidR="00E3001A" w:rsidRPr="00726FFD">
        <w:t>for National</w:t>
      </w:r>
      <w:r w:rsidRPr="00726FFD">
        <w:t xml:space="preserve"> Greenhouse Gas Inventories’, in </w:t>
      </w:r>
      <w:r w:rsidRPr="00726FFD">
        <w:rPr>
          <w:i/>
          <w:iCs/>
        </w:rPr>
        <w:t>2019 Refinement to the 2006 IPCC Guidelines for National Greenhouse Gas Inventories</w:t>
      </w:r>
      <w:r w:rsidRPr="00726FFD">
        <w:t>, Geneva, https://www.ipcc-nggip.iges.or.jp/public/2006gl/vol2.html.</w:t>
      </w:r>
    </w:p>
    <w:p w14:paraId="790BB86C" w14:textId="77777777" w:rsidR="00B64D50" w:rsidRPr="00726FFD" w:rsidRDefault="00B64D50" w:rsidP="00303705">
      <w:pPr>
        <w:pStyle w:val="ReportReferences"/>
      </w:pPr>
      <w:r w:rsidRPr="00726FFD">
        <w:t xml:space="preserve">IPCC (2021) </w:t>
      </w:r>
      <w:r w:rsidRPr="00726FFD">
        <w:rPr>
          <w:i/>
          <w:iCs/>
        </w:rPr>
        <w:t>Climate Change 2021 – The Physical Science Basis Contribution of Working Group I to the Sixth Assessment Report of the Intergovernmental Panel on Climate Change</w:t>
      </w:r>
      <w:r w:rsidRPr="00726FFD">
        <w:t>, Geneva, doi:10.1017/9781009157896.</w:t>
      </w:r>
    </w:p>
    <w:p w14:paraId="51AF0CE8" w14:textId="77777777" w:rsidR="00B64D50" w:rsidRPr="00726FFD" w:rsidRDefault="00B64D50" w:rsidP="00303705">
      <w:pPr>
        <w:pStyle w:val="ReportReferences"/>
      </w:pPr>
      <w:r w:rsidRPr="00726FFD">
        <w:t xml:space="preserve">IPCC (2023) </w:t>
      </w:r>
      <w:r w:rsidRPr="00726FFD">
        <w:rPr>
          <w:i/>
          <w:iCs/>
        </w:rPr>
        <w:t>Climate Change 2023: Synthesis Report. Contribution of Working Groups I, II and III to the Sixth Assessment Report of the Intergovernmental Panel on Climate Change</w:t>
      </w:r>
      <w:r w:rsidRPr="00726FFD">
        <w:t>, P Arias, M Bustamante, I Elgizouli, G Flato, M Howden, C Méndez-Vallejo, JJ Pereira, R Pichs-Madruga, SK Rose, Y Saheb, R Sánchez Rodríguez, D Ürge-Vorsatz, C Xiao, N Yassaa, J Romero, J Kim, EF Haites, Y Jung, R Stavins, A Birt, M Ha, DJA Orendain, L Ignon, S Park, Y Park, A Reisinger, D Cammaramo, A Fischlin, JS Fuglestvedt, G Hansen, C Ludden, V Masson-Delmotte, JBR Matthews, K Mintenbeck, A Pirani, E Poloczanska, N Leprince-Ringuet, and C Péan (eds), Geneva, Switzerland, doi:10.59327/IPCC/AR6-9789291691647.</w:t>
      </w:r>
    </w:p>
    <w:p w14:paraId="0ACC3D79" w14:textId="0BC16CB8" w:rsidR="004D6678" w:rsidRDefault="004D6678" w:rsidP="00571CA2">
      <w:pPr>
        <w:pStyle w:val="ReportReferences"/>
      </w:pPr>
      <w:r>
        <w:t xml:space="preserve">Nature Geoscience (2023) </w:t>
      </w:r>
      <w:r w:rsidRPr="00726FFD">
        <w:t>‘Reversing climate overshoot’ 16(6):467–467, doi:10.1038/s41561-023-01213-3.</w:t>
      </w:r>
    </w:p>
    <w:p w14:paraId="7E01D5EB" w14:textId="77777777" w:rsidR="00CF3BE7" w:rsidRDefault="00CF3BE7" w:rsidP="00303705">
      <w:pPr>
        <w:pStyle w:val="ReportReferences"/>
      </w:pPr>
    </w:p>
    <w:p w14:paraId="5A9E78D6" w14:textId="77777777" w:rsidR="00CF3BE7" w:rsidRDefault="00CF3BE7" w:rsidP="00303705">
      <w:pPr>
        <w:pStyle w:val="ReportReferences"/>
      </w:pPr>
    </w:p>
    <w:p w14:paraId="438EFBEB" w14:textId="2778A6A9" w:rsidR="00B64D50" w:rsidRPr="00726FFD" w:rsidRDefault="00B64D50" w:rsidP="00303705">
      <w:pPr>
        <w:pStyle w:val="ReportReferences"/>
      </w:pPr>
      <w:r w:rsidRPr="00726FFD">
        <w:t>NSW E</w:t>
      </w:r>
      <w:r>
        <w:t xml:space="preserve">nvironment </w:t>
      </w:r>
      <w:r w:rsidRPr="00726FFD">
        <w:t>P</w:t>
      </w:r>
      <w:r>
        <w:t xml:space="preserve">rotection </w:t>
      </w:r>
      <w:r w:rsidRPr="00726FFD">
        <w:t>A</w:t>
      </w:r>
      <w:r>
        <w:t>gency (EPA)</w:t>
      </w:r>
      <w:r w:rsidRPr="00726FFD">
        <w:t xml:space="preserve"> (2026a) </w:t>
      </w:r>
      <w:r w:rsidRPr="00726FFD">
        <w:rPr>
          <w:i/>
          <w:iCs/>
        </w:rPr>
        <w:t>Climate change requirements for licensees</w:t>
      </w:r>
      <w:r w:rsidRPr="00726FFD">
        <w:t>, https://www.epa.nsw.gov.au/Your-environment/Climate-change/climate-change-requirements-licensees.</w:t>
      </w:r>
    </w:p>
    <w:p w14:paraId="5F6345D4" w14:textId="0868DCE5" w:rsidR="00B64D50" w:rsidRPr="00726FFD" w:rsidRDefault="00B64D50" w:rsidP="00303705">
      <w:pPr>
        <w:pStyle w:val="ReportReferences"/>
      </w:pPr>
      <w:r w:rsidRPr="00726FFD">
        <w:t xml:space="preserve">NSW </w:t>
      </w:r>
      <w:r>
        <w:t>EPA</w:t>
      </w:r>
      <w:r w:rsidRPr="00726FFD">
        <w:t xml:space="preserve"> (2026b) </w:t>
      </w:r>
      <w:r w:rsidRPr="00726FFD">
        <w:rPr>
          <w:i/>
          <w:iCs/>
        </w:rPr>
        <w:t>NSW to regulate reduction of coal mine emissions</w:t>
      </w:r>
      <w:r w:rsidRPr="00726FFD">
        <w:t>, https://www.epa.nsw.gov.au/news/epamedia/260319-nsw-to-regulate-reduction-of-coal-mine-emissions.</w:t>
      </w:r>
    </w:p>
    <w:p w14:paraId="576ADCDE" w14:textId="0E49BD7F" w:rsidR="001374BF" w:rsidRPr="00726FFD" w:rsidRDefault="001374BF" w:rsidP="001374BF">
      <w:pPr>
        <w:pStyle w:val="ReportReferences"/>
      </w:pPr>
      <w:r w:rsidRPr="00726FFD">
        <w:t>NSW Government (</w:t>
      </w:r>
      <w:r>
        <w:t>1979</w:t>
      </w:r>
      <w:r w:rsidRPr="00726FFD">
        <w:t xml:space="preserve">) </w:t>
      </w:r>
      <w:r w:rsidRPr="00726FFD">
        <w:rPr>
          <w:i/>
          <w:iCs/>
        </w:rPr>
        <w:t>Environmental Planning and Assessment Act 1979 No 203</w:t>
      </w:r>
      <w:r w:rsidRPr="00726FFD">
        <w:t>, https://legislation.nsw.gov.au/view/html/inforce/current/act-1979-203.</w:t>
      </w:r>
    </w:p>
    <w:p w14:paraId="7E7ABF96" w14:textId="0F20DC96" w:rsidR="00B64D50" w:rsidRPr="00726FFD" w:rsidRDefault="00B64D50" w:rsidP="00303705">
      <w:pPr>
        <w:pStyle w:val="ReportReferences"/>
      </w:pPr>
      <w:r w:rsidRPr="00726FFD">
        <w:t xml:space="preserve">NSW Government (1997) </w:t>
      </w:r>
      <w:r w:rsidRPr="00726FFD">
        <w:rPr>
          <w:i/>
          <w:iCs/>
        </w:rPr>
        <w:t>Protection of the Environment Operations Act 1997 No 156</w:t>
      </w:r>
      <w:r w:rsidRPr="00726FFD">
        <w:t>, https://legislation.nsw.gov.au/view/html/inforce/current/act-1997-156</w:t>
      </w:r>
      <w:r>
        <w:t>.</w:t>
      </w:r>
    </w:p>
    <w:p w14:paraId="4614DB12" w14:textId="77777777" w:rsidR="00B64D50" w:rsidRPr="00726FFD" w:rsidRDefault="00B64D50" w:rsidP="00303705">
      <w:pPr>
        <w:pStyle w:val="ReportReferences"/>
      </w:pPr>
      <w:r w:rsidRPr="00726FFD">
        <w:t xml:space="preserve">NSW Government (2025) </w:t>
      </w:r>
      <w:r w:rsidRPr="00726FFD">
        <w:rPr>
          <w:i/>
          <w:iCs/>
        </w:rPr>
        <w:t>Delivering a Gas Decarbonisation Roadmap</w:t>
      </w:r>
      <w:r w:rsidRPr="00726FFD">
        <w:t xml:space="preserve">, </w:t>
      </w:r>
      <w:r w:rsidRPr="00726FFD">
        <w:rPr>
          <w:i/>
          <w:iCs/>
        </w:rPr>
        <w:t>NSW Climate and Energy Action</w:t>
      </w:r>
      <w:r w:rsidRPr="00726FFD">
        <w:t>, https://www.energy.nsw.gov.au/nsw-plans-and-progress/regulation-and-policy/delivering-gas-decarbonisation-roadmap</w:t>
      </w:r>
      <w:r>
        <w:t>.</w:t>
      </w:r>
    </w:p>
    <w:p w14:paraId="29252BDD" w14:textId="77777777" w:rsidR="00B64D50" w:rsidRPr="00726FFD" w:rsidRDefault="00B64D50" w:rsidP="00303705">
      <w:pPr>
        <w:pStyle w:val="ReportReferences"/>
      </w:pPr>
      <w:r w:rsidRPr="00726FFD">
        <w:t xml:space="preserve">NSW Government (2026a) </w:t>
      </w:r>
      <w:r w:rsidRPr="00726FFD">
        <w:rPr>
          <w:i/>
          <w:iCs/>
        </w:rPr>
        <w:t>NSW Coal Industry 2026–50</w:t>
      </w:r>
      <w:r w:rsidRPr="00726FFD">
        <w:t>, https://www.nsw.gov.au/regional-and-primary-industries/nsw-coal-industry-2026-50</w:t>
      </w:r>
    </w:p>
    <w:p w14:paraId="12108D76" w14:textId="77777777" w:rsidR="00B64D50" w:rsidRPr="00726FFD" w:rsidRDefault="00B64D50" w:rsidP="00303705">
      <w:pPr>
        <w:pStyle w:val="ReportReferences"/>
      </w:pPr>
      <w:r w:rsidRPr="00726FFD">
        <w:t xml:space="preserve">NSW Government (2026b) </w:t>
      </w:r>
      <w:r w:rsidRPr="00726FFD">
        <w:rPr>
          <w:i/>
          <w:iCs/>
        </w:rPr>
        <w:t>Minns Labor Government securing gas supply for NSW homes and industry</w:t>
      </w:r>
      <w:r w:rsidRPr="00726FFD">
        <w:t>, https://www.nsw.gov.au/ministerial-releases/new-areas-open-gas-exploration</w:t>
      </w:r>
      <w:r>
        <w:t>.</w:t>
      </w:r>
    </w:p>
    <w:p w14:paraId="13D2791B" w14:textId="77777777" w:rsidR="00B64D50" w:rsidRPr="00726FFD" w:rsidRDefault="00B64D50" w:rsidP="00303705">
      <w:pPr>
        <w:pStyle w:val="ReportReferences"/>
      </w:pPr>
      <w:r w:rsidRPr="00726FFD">
        <w:t xml:space="preserve">NSW Net Zero Commission (2025) </w:t>
      </w:r>
      <w:r w:rsidRPr="00726FFD">
        <w:rPr>
          <w:i/>
          <w:iCs/>
        </w:rPr>
        <w:t>Coal Mining Emissions Spotlight Report</w:t>
      </w:r>
      <w:r w:rsidRPr="00726FFD">
        <w:t>, https://www.netzerocommission.nsw.gov.au/sites/default/files/2025-12/NZC_Coal_Spotlight_Report_2025.pdf</w:t>
      </w:r>
      <w:r>
        <w:t>.</w:t>
      </w:r>
    </w:p>
    <w:p w14:paraId="52355E7B" w14:textId="77777777" w:rsidR="00CF3BE7" w:rsidRDefault="00CF3BE7" w:rsidP="00303705">
      <w:pPr>
        <w:pStyle w:val="ReportReferences"/>
      </w:pPr>
    </w:p>
    <w:p w14:paraId="0C7CC512" w14:textId="0C8E829C" w:rsidR="00B64D50" w:rsidRPr="00726FFD" w:rsidRDefault="00B64D50" w:rsidP="00303705">
      <w:pPr>
        <w:pStyle w:val="ReportReferences"/>
      </w:pPr>
      <w:r w:rsidRPr="00D505A2">
        <w:lastRenderedPageBreak/>
        <w:t xml:space="preserve">Organisation for Economic Co-operation and Development (OECD) </w:t>
      </w:r>
      <w:r w:rsidRPr="00726FFD">
        <w:t xml:space="preserve">(2025) </w:t>
      </w:r>
      <w:r w:rsidRPr="00726FFD">
        <w:rPr>
          <w:i/>
          <w:iCs/>
        </w:rPr>
        <w:t>Targeting methane emissions to mitigate the risk of climate overshoot</w:t>
      </w:r>
      <w:r w:rsidRPr="00726FFD">
        <w:t>, Paris, https://www.oecd.org/en/about/programmes/net-zero-building-climate-and-economic-resilience.html.</w:t>
      </w:r>
    </w:p>
    <w:p w14:paraId="29A10939" w14:textId="3F3BA8B6" w:rsidR="00B64D50" w:rsidRPr="00726FFD" w:rsidRDefault="00B64D50" w:rsidP="00303705">
      <w:pPr>
        <w:pStyle w:val="ReportReferences"/>
      </w:pPr>
      <w:r w:rsidRPr="009762AF">
        <w:t xml:space="preserve">Oil and Gas Decarbonization Charter </w:t>
      </w:r>
      <w:r>
        <w:t>(</w:t>
      </w:r>
      <w:r w:rsidRPr="00726FFD">
        <w:t>OGDC</w:t>
      </w:r>
      <w:r>
        <w:t>)</w:t>
      </w:r>
      <w:r w:rsidRPr="00726FFD">
        <w:t xml:space="preserve"> (2026) </w:t>
      </w:r>
      <w:r w:rsidRPr="00726FFD">
        <w:rPr>
          <w:i/>
          <w:iCs/>
        </w:rPr>
        <w:t>The Oil and Gas Decarbonization Charter</w:t>
      </w:r>
      <w:r w:rsidRPr="00726FFD">
        <w:t>, https://www.ogdc.org/</w:t>
      </w:r>
      <w:r>
        <w:t>.</w:t>
      </w:r>
    </w:p>
    <w:p w14:paraId="21EBA6B3" w14:textId="26CA4F26" w:rsidR="00B64D50" w:rsidRPr="00726FFD" w:rsidRDefault="00B64D50" w:rsidP="00303705">
      <w:pPr>
        <w:pStyle w:val="ReportReferences"/>
      </w:pPr>
      <w:r w:rsidRPr="00726FFD">
        <w:t>Queensland Government (</w:t>
      </w:r>
      <w:r w:rsidR="00E16D25" w:rsidRPr="00E16D25">
        <w:t>1989</w:t>
      </w:r>
      <w:r w:rsidRPr="00726FFD">
        <w:t xml:space="preserve">) </w:t>
      </w:r>
      <w:r w:rsidRPr="00726FFD">
        <w:rPr>
          <w:i/>
          <w:iCs/>
        </w:rPr>
        <w:t>Mineral Resources Act 1989</w:t>
      </w:r>
      <w:r w:rsidRPr="00726FFD">
        <w:t>, Australia, https://www.legislation.qld.gov.au/view/html/inforce/current/act-1989-110.</w:t>
      </w:r>
    </w:p>
    <w:p w14:paraId="7070E1AF" w14:textId="77777777" w:rsidR="000079E5" w:rsidRPr="00726FFD" w:rsidRDefault="000079E5" w:rsidP="000079E5">
      <w:pPr>
        <w:pStyle w:val="ReportReferences"/>
      </w:pPr>
      <w:r w:rsidRPr="00726FFD">
        <w:t>Queensland Government (</w:t>
      </w:r>
      <w:r>
        <w:t>1994</w:t>
      </w:r>
      <w:r w:rsidRPr="00726FFD">
        <w:t xml:space="preserve">) </w:t>
      </w:r>
      <w:r w:rsidRPr="00726FFD">
        <w:rPr>
          <w:i/>
          <w:iCs/>
        </w:rPr>
        <w:t>Environmental Protection Act 1994 (Qld)</w:t>
      </w:r>
      <w:r w:rsidRPr="00726FFD">
        <w:t>,</w:t>
      </w:r>
      <w:r>
        <w:t xml:space="preserve"> </w:t>
      </w:r>
      <w:r w:rsidRPr="00726FFD">
        <w:t>https://www.legislation.qld.gov.au/view/html/inforce/current/act-1994-062</w:t>
      </w:r>
      <w:r>
        <w:t>.</w:t>
      </w:r>
    </w:p>
    <w:p w14:paraId="72E7A4C0" w14:textId="6AACCF99" w:rsidR="000079E5" w:rsidRPr="00726FFD" w:rsidRDefault="000079E5" w:rsidP="000079E5">
      <w:pPr>
        <w:pStyle w:val="ReportReferences"/>
      </w:pPr>
      <w:r w:rsidRPr="00726FFD">
        <w:t>Queensland Government (</w:t>
      </w:r>
      <w:r>
        <w:t>2004</w:t>
      </w:r>
      <w:r w:rsidRPr="00726FFD">
        <w:t xml:space="preserve">) </w:t>
      </w:r>
      <w:r w:rsidRPr="00726FFD">
        <w:rPr>
          <w:i/>
          <w:iCs/>
        </w:rPr>
        <w:t>Petroleum and Gas (Production and Safety) Act 2004</w:t>
      </w:r>
      <w:r w:rsidRPr="00726FFD">
        <w:t>, Australia, https://www.legislation.qld.gov.au/view/html/inforce/current/act-2004-025</w:t>
      </w:r>
      <w:r>
        <w:t>.</w:t>
      </w:r>
    </w:p>
    <w:p w14:paraId="6866F672" w14:textId="77777777" w:rsidR="00B64D50" w:rsidRPr="00726FFD" w:rsidRDefault="00B64D50" w:rsidP="00303705">
      <w:pPr>
        <w:pStyle w:val="ReportReferences"/>
      </w:pPr>
      <w:r w:rsidRPr="00726FFD">
        <w:t xml:space="preserve">Queensland Government (2019) </w:t>
      </w:r>
      <w:r w:rsidRPr="00726FFD">
        <w:rPr>
          <w:i/>
          <w:iCs/>
        </w:rPr>
        <w:t>Methane management in underground coal mines: Best practice and recommendations</w:t>
      </w:r>
      <w:r w:rsidRPr="00726FFD">
        <w:t>, https://www.resources.qld.gov.au/__data/assets/pdf_file/0004/1449121/methane-management-in-underground-coal-mines.pdf</w:t>
      </w:r>
    </w:p>
    <w:p w14:paraId="6D4D03A0" w14:textId="4CFA59D0" w:rsidR="00B64D50" w:rsidRPr="00726FFD" w:rsidRDefault="00B64D50" w:rsidP="00303705">
      <w:pPr>
        <w:pStyle w:val="ReportReferences"/>
      </w:pPr>
      <w:r w:rsidRPr="00726FFD">
        <w:t>Queensland Government (</w:t>
      </w:r>
      <w:r w:rsidR="000079E5">
        <w:t>2024</w:t>
      </w:r>
      <w:r w:rsidRPr="00726FFD">
        <w:t xml:space="preserve">) </w:t>
      </w:r>
      <w:r w:rsidRPr="00726FFD">
        <w:rPr>
          <w:i/>
          <w:iCs/>
        </w:rPr>
        <w:t>Clean Economy Jobs Act 2024 (Qld)</w:t>
      </w:r>
      <w:r w:rsidRPr="00726FFD">
        <w:t>, https://www.legislation.qld.gov.au/view/html/inforce/current/act-2024-016</w:t>
      </w:r>
    </w:p>
    <w:p w14:paraId="5F04CD3E" w14:textId="77777777" w:rsidR="00B64D50" w:rsidRPr="00726FFD" w:rsidRDefault="00B64D50" w:rsidP="00303705">
      <w:pPr>
        <w:pStyle w:val="ReportReferences"/>
      </w:pPr>
      <w:r w:rsidRPr="00726FFD">
        <w:t xml:space="preserve">Queensland Treasury (2026) </w:t>
      </w:r>
      <w:r w:rsidRPr="00726FFD">
        <w:rPr>
          <w:i/>
          <w:iCs/>
        </w:rPr>
        <w:t>Low Emissions Investment Partnerships</w:t>
      </w:r>
      <w:r w:rsidRPr="00726FFD">
        <w:t>, https://www.treasury.qld.gov.au/policies-and-programs/investment/leip/</w:t>
      </w:r>
      <w:r>
        <w:t>.</w:t>
      </w:r>
    </w:p>
    <w:p w14:paraId="30B122E0" w14:textId="77777777" w:rsidR="00CF3BE7" w:rsidRDefault="00CF3BE7" w:rsidP="00303705">
      <w:pPr>
        <w:pStyle w:val="ReportReferences"/>
      </w:pPr>
    </w:p>
    <w:p w14:paraId="3D01CC2A" w14:textId="77777777" w:rsidR="00CF3BE7" w:rsidRDefault="00CF3BE7" w:rsidP="00303705">
      <w:pPr>
        <w:pStyle w:val="ReportReferences"/>
      </w:pPr>
    </w:p>
    <w:p w14:paraId="33F02BA1" w14:textId="77777777" w:rsidR="00CF3BE7" w:rsidRDefault="00CF3BE7" w:rsidP="00303705">
      <w:pPr>
        <w:pStyle w:val="ReportReferences"/>
      </w:pPr>
    </w:p>
    <w:p w14:paraId="578A08B4" w14:textId="09022FCB" w:rsidR="00B64D50" w:rsidRPr="00726FFD" w:rsidRDefault="00B64D50" w:rsidP="00303705">
      <w:pPr>
        <w:pStyle w:val="ReportReferences"/>
      </w:pPr>
      <w:r w:rsidRPr="00726FFD">
        <w:t xml:space="preserve">Saunois M, Martinez A, Poulter B, Zhang Z, Raymond PA, Regnier P, Canadell JG, Jackson RB, Patra PK, Bousquet P, Ciais P, Dlugokencky EJ, Lan X, Allen GH, Bastviken D, Beerling DJ, Belikov DA, Blake DR, Castaldi S, Crippa M, Deemer BR, Dennison F, Etiope G, Gedney N, Höglund-Isaksson L, Holgerson MA, Hopcroft PO, Hugelius G, Ito A, Jain AK, Janardanan R, Johnson MS, Kleinen T, Krummel PB, Lauerwald R, Li T, Liu X, McDonald KC, Melton JR, Mühle J, Müller J, Murguia-Flores F, Niwa Y, Noce S, Pan S, Parker RJ, Peng C, Ramonet M, Riley WJ, Rocher-Ros G, Rosentreter JA, Sasakawa M, Segers A, Smith SJ, Stanley EH, Thanwerdas J, Tian H, Tsuruta A, Tubiello FN, Weber TS, van der Werf GR, Worthy DEJ, Xi Y, Yoshida Y, Zhang W, Zheng B, Zhu Qing, Zhu Qiuan and Zhuang Q (2025) ‘Global Methane Budget 2000–2020’, </w:t>
      </w:r>
      <w:r w:rsidRPr="00726FFD">
        <w:rPr>
          <w:i/>
          <w:iCs/>
        </w:rPr>
        <w:t>Earth System Science Data</w:t>
      </w:r>
      <w:r w:rsidRPr="00726FFD">
        <w:t>, 17(5):1873–1958, doi:10.5194/essd-17-1873-2025.</w:t>
      </w:r>
    </w:p>
    <w:p w14:paraId="657CB95B" w14:textId="77777777" w:rsidR="00B64D50" w:rsidRPr="00726FFD" w:rsidRDefault="00B64D50" w:rsidP="00303705">
      <w:pPr>
        <w:pStyle w:val="ReportReferences"/>
      </w:pPr>
      <w:r w:rsidRPr="00726FFD">
        <w:t xml:space="preserve">South Australian Government (2024) </w:t>
      </w:r>
      <w:r w:rsidRPr="00726FFD">
        <w:rPr>
          <w:i/>
          <w:iCs/>
        </w:rPr>
        <w:t>South Australia’s Net Zero Strategy</w:t>
      </w:r>
      <w:r w:rsidRPr="00726FFD">
        <w:t>, https://cdn.environment.sa.gov.au/environment/docs/SA-Net-Zero-Strategy-WEB.pdf.</w:t>
      </w:r>
    </w:p>
    <w:p w14:paraId="7CDFBB56" w14:textId="77777777" w:rsidR="00B64D50" w:rsidRPr="00726FFD" w:rsidRDefault="00B64D50" w:rsidP="00303705">
      <w:pPr>
        <w:pStyle w:val="ReportReferences"/>
      </w:pPr>
      <w:r w:rsidRPr="00726FFD">
        <w:t xml:space="preserve">South Australian Government (2025) </w:t>
      </w:r>
      <w:r w:rsidRPr="00726FFD">
        <w:rPr>
          <w:i/>
          <w:iCs/>
        </w:rPr>
        <w:t>2025 SA Gas Initiative Grant Scheme</w:t>
      </w:r>
      <w:r w:rsidRPr="00726FFD">
        <w:t xml:space="preserve">, </w:t>
      </w:r>
      <w:r w:rsidRPr="00726FFD">
        <w:rPr>
          <w:i/>
          <w:iCs/>
        </w:rPr>
        <w:t>Energy &amp; Mining</w:t>
      </w:r>
      <w:r w:rsidRPr="00726FFD">
        <w:t>, https://energymining.sa.gov.au/industry/energy-resources/industry-activity/2025-sa-gas-initiative-grant-scheme.</w:t>
      </w:r>
    </w:p>
    <w:p w14:paraId="2E22C5EF" w14:textId="77777777" w:rsidR="00B64D50" w:rsidRPr="00726FFD" w:rsidRDefault="00B64D50" w:rsidP="00303705">
      <w:pPr>
        <w:pStyle w:val="ReportReferences"/>
      </w:pPr>
      <w:r w:rsidRPr="00726FFD">
        <w:t xml:space="preserve">South Australian Government (n.d.) </w:t>
      </w:r>
      <w:r w:rsidRPr="00726FFD">
        <w:rPr>
          <w:i/>
          <w:iCs/>
        </w:rPr>
        <w:t>10 Year Moratorium on Fracture Stimulation in the Limestone Coast Region of South Australia</w:t>
      </w:r>
      <w:r w:rsidRPr="00726FFD">
        <w:t>, https://energymining.sa.gov.au/industry/energy-resources/regulation/policies-and-guidelines/policies/10_year_moratorium_on_fracture_stimulation_in_limestone_coast_region_sa.</w:t>
      </w:r>
    </w:p>
    <w:p w14:paraId="071026B0" w14:textId="63B8DA1D" w:rsidR="00B64D50" w:rsidRPr="00726FFD" w:rsidRDefault="00B64D50" w:rsidP="00303705">
      <w:pPr>
        <w:pStyle w:val="ReportReferences"/>
      </w:pPr>
      <w:r w:rsidRPr="00726FFD">
        <w:t xml:space="preserve">Stanford Report (2024) </w:t>
      </w:r>
      <w:r w:rsidRPr="00726FFD">
        <w:rPr>
          <w:i/>
          <w:iCs/>
        </w:rPr>
        <w:t>Methane emissions are rising faster than ever</w:t>
      </w:r>
      <w:r w:rsidRPr="00726FFD">
        <w:t>, https://news.stanford.edu/stories/2024/09/methane-emissions-are-rising-faster-than-ever.</w:t>
      </w:r>
    </w:p>
    <w:p w14:paraId="11A8DEA5" w14:textId="77777777" w:rsidR="00B64D50" w:rsidRPr="00726FFD" w:rsidRDefault="00B64D50" w:rsidP="00303705">
      <w:pPr>
        <w:pStyle w:val="ReportReferences"/>
      </w:pPr>
      <w:r w:rsidRPr="00726FFD">
        <w:lastRenderedPageBreak/>
        <w:t xml:space="preserve">UK Government (2025) </w:t>
      </w:r>
      <w:r w:rsidRPr="00726FFD">
        <w:rPr>
          <w:i/>
          <w:iCs/>
        </w:rPr>
        <w:t>UK methane action plan</w:t>
      </w:r>
      <w:r w:rsidRPr="00726FFD">
        <w:t>, https://www.gov.uk/government/publications/uk-methane-action-plan/uk-methane-action-plan-accessible-webpage</w:t>
      </w:r>
      <w:r>
        <w:t>.</w:t>
      </w:r>
    </w:p>
    <w:p w14:paraId="167215F8" w14:textId="517C8510" w:rsidR="00B64D50" w:rsidRPr="00726FFD" w:rsidRDefault="00B64D50" w:rsidP="00303705">
      <w:pPr>
        <w:pStyle w:val="ReportReferences"/>
      </w:pPr>
      <w:r w:rsidRPr="00B008FF">
        <w:t xml:space="preserve">United Nations Environment Programme </w:t>
      </w:r>
      <w:r>
        <w:t>(</w:t>
      </w:r>
      <w:r w:rsidRPr="00726FFD">
        <w:t>UNEP</w:t>
      </w:r>
      <w:r>
        <w:t>)</w:t>
      </w:r>
      <w:r w:rsidRPr="00726FFD">
        <w:t xml:space="preserve"> (2024) </w:t>
      </w:r>
      <w:r w:rsidRPr="00726FFD">
        <w:rPr>
          <w:i/>
          <w:iCs/>
        </w:rPr>
        <w:t>Facts about Methane</w:t>
      </w:r>
      <w:r w:rsidRPr="00726FFD">
        <w:t>, https://www.unep.org/explore-topics/energy/facts-about-methane</w:t>
      </w:r>
      <w:r>
        <w:t>.</w:t>
      </w:r>
    </w:p>
    <w:p w14:paraId="31C17D26" w14:textId="448A6FDB" w:rsidR="00B64D50" w:rsidRPr="00726FFD" w:rsidRDefault="00B64D50" w:rsidP="00303705">
      <w:pPr>
        <w:pStyle w:val="ReportReferences"/>
      </w:pPr>
      <w:r w:rsidRPr="00726FFD">
        <w:t>UNEP (2025)</w:t>
      </w:r>
      <w:r w:rsidRPr="00726FFD">
        <w:rPr>
          <w:i/>
          <w:iCs/>
        </w:rPr>
        <w:t xml:space="preserve"> Australia </w:t>
      </w:r>
      <w:r w:rsidR="00CB4009" w:rsidRPr="00726FFD">
        <w:rPr>
          <w:i/>
          <w:iCs/>
        </w:rPr>
        <w:t>announces</w:t>
      </w:r>
      <w:r w:rsidRPr="00726FFD">
        <w:rPr>
          <w:i/>
          <w:iCs/>
        </w:rPr>
        <w:t xml:space="preserve"> landmark study to improve understanding of coal and steel sector methane emissions</w:t>
      </w:r>
      <w:r w:rsidRPr="00726FFD">
        <w:t>, https://www.unep.org/news-and-stories/press-release/unep-australia-announce-landmark-study-improve-understanding-coal.</w:t>
      </w:r>
    </w:p>
    <w:p w14:paraId="66EADB2B" w14:textId="547D504F" w:rsidR="00B64D50" w:rsidRPr="00726FFD" w:rsidRDefault="00B64D50" w:rsidP="00303705">
      <w:pPr>
        <w:pStyle w:val="ReportReferences"/>
      </w:pPr>
      <w:r w:rsidRPr="00726FFD">
        <w:t xml:space="preserve">UNEP (2026) </w:t>
      </w:r>
      <w:r w:rsidRPr="00726FFD">
        <w:rPr>
          <w:i/>
          <w:iCs/>
        </w:rPr>
        <w:t>The Oil &amp; Gas Methane Partnership 2.0</w:t>
      </w:r>
      <w:r w:rsidRPr="00726FFD">
        <w:t>, https://www.ogmpartnership.org/</w:t>
      </w:r>
      <w:r>
        <w:t>.</w:t>
      </w:r>
    </w:p>
    <w:p w14:paraId="5AE6DB95" w14:textId="4100E7D1" w:rsidR="00B64D50" w:rsidRPr="00726FFD" w:rsidRDefault="00B64D50" w:rsidP="00303705">
      <w:pPr>
        <w:pStyle w:val="ReportReferences"/>
      </w:pPr>
      <w:r w:rsidRPr="00814367">
        <w:t xml:space="preserve">United Nations Framework Convention on Climate Change </w:t>
      </w:r>
      <w:r>
        <w:t>(</w:t>
      </w:r>
      <w:r w:rsidRPr="00726FFD">
        <w:t>UNFCCC</w:t>
      </w:r>
      <w:r>
        <w:t>)</w:t>
      </w:r>
      <w:r w:rsidRPr="00726FFD">
        <w:t xml:space="preserve"> (2015) </w:t>
      </w:r>
      <w:r w:rsidRPr="00726FFD">
        <w:rPr>
          <w:i/>
          <w:iCs/>
        </w:rPr>
        <w:t>The Paris Agreement</w:t>
      </w:r>
      <w:r w:rsidRPr="00726FFD">
        <w:t>, https://unfccc.int/process-and-meetings/the-paris-agreement?gad_source=1&amp;gclid=https://unfccc.int/process-and-meetings/the-paris-agreement</w:t>
      </w:r>
      <w:r>
        <w:t>.</w:t>
      </w:r>
    </w:p>
    <w:p w14:paraId="6FF0535C" w14:textId="3D8701EA" w:rsidR="00A506EB" w:rsidRDefault="00A506EB" w:rsidP="00A506EB">
      <w:pPr>
        <w:pStyle w:val="ReportReferences"/>
      </w:pPr>
      <w:r w:rsidRPr="00726FFD">
        <w:t>Victorian Government (</w:t>
      </w:r>
      <w:r>
        <w:t>1990</w:t>
      </w:r>
      <w:r w:rsidRPr="00726FFD">
        <w:t xml:space="preserve">) </w:t>
      </w:r>
      <w:r w:rsidRPr="00726FFD">
        <w:rPr>
          <w:i/>
          <w:iCs/>
        </w:rPr>
        <w:t>Mineral Resources (Sustainable Development) Act 1990</w:t>
      </w:r>
      <w:r w:rsidRPr="00726FFD">
        <w:t>, Australia, https://www.legislation.vic.gov.au/in-force/acts/mineral-resources-sustainable-development-act-1990/132.</w:t>
      </w:r>
    </w:p>
    <w:p w14:paraId="1FD2AA40" w14:textId="77777777" w:rsidR="00CF3BE7" w:rsidRDefault="00CF3BE7" w:rsidP="00303705">
      <w:pPr>
        <w:pStyle w:val="ReportReferences"/>
      </w:pPr>
    </w:p>
    <w:p w14:paraId="1FF835C3" w14:textId="77777777" w:rsidR="00CF3BE7" w:rsidRDefault="00CF3BE7" w:rsidP="00303705">
      <w:pPr>
        <w:pStyle w:val="ReportReferences"/>
      </w:pPr>
    </w:p>
    <w:p w14:paraId="6582D099" w14:textId="6FDA2CDE" w:rsidR="00B64D50" w:rsidRPr="00726FFD" w:rsidRDefault="00B64D50" w:rsidP="00303705">
      <w:pPr>
        <w:pStyle w:val="ReportReferences"/>
      </w:pPr>
      <w:r w:rsidRPr="00726FFD">
        <w:t xml:space="preserve">Victorian Government (2021) </w:t>
      </w:r>
      <w:r w:rsidRPr="00726FFD">
        <w:rPr>
          <w:i/>
          <w:iCs/>
        </w:rPr>
        <w:t>Enshrining Victoria’s Ban On Fracking Forever</w:t>
      </w:r>
      <w:r w:rsidRPr="00726FFD">
        <w:t>, https://www.premier.vic.gov.au/enshrining-victorias-ban-fracking-forever.</w:t>
      </w:r>
    </w:p>
    <w:p w14:paraId="668965E1" w14:textId="6DA9D131" w:rsidR="00B64D50" w:rsidRPr="00726FFD" w:rsidRDefault="00B64D50" w:rsidP="00303705">
      <w:pPr>
        <w:pStyle w:val="ReportReferences"/>
      </w:pPr>
      <w:r w:rsidRPr="00726FFD">
        <w:t xml:space="preserve">Victorian Government (2024) </w:t>
      </w:r>
      <w:r w:rsidRPr="00726FFD">
        <w:rPr>
          <w:i/>
          <w:iCs/>
        </w:rPr>
        <w:t>Cheaper, Cleaner, Renewable: Our Plan for Victoria’s Electricity Future</w:t>
      </w:r>
      <w:r w:rsidRPr="00726FFD">
        <w:t>, https://www.energy.vic.gov.au/__data/assets/pdf_file/0014/715010/our-plan-for-victorias-electricity-future.pdf.</w:t>
      </w:r>
    </w:p>
    <w:p w14:paraId="401662F2" w14:textId="77777777" w:rsidR="00B64D50" w:rsidRPr="00726FFD" w:rsidRDefault="00B64D50" w:rsidP="00303705">
      <w:pPr>
        <w:pStyle w:val="ReportReferences"/>
      </w:pPr>
      <w:r w:rsidRPr="00726FFD">
        <w:t xml:space="preserve">Victorian Government (2025) </w:t>
      </w:r>
      <w:r w:rsidRPr="00726FFD">
        <w:rPr>
          <w:i/>
          <w:iCs/>
        </w:rPr>
        <w:t>Victoria’s Gas Substitution Roadmap</w:t>
      </w:r>
      <w:r w:rsidRPr="00726FFD">
        <w:t>, https://www.energy.vic.gov.au/renewable-energy/victorias-gas-substitution-roadmap.</w:t>
      </w:r>
    </w:p>
    <w:p w14:paraId="3DB4C7D8" w14:textId="77777777" w:rsidR="00B64D50" w:rsidRPr="00726FFD" w:rsidRDefault="00B64D50" w:rsidP="00303705">
      <w:pPr>
        <w:pStyle w:val="ReportReferences"/>
      </w:pPr>
      <w:r w:rsidRPr="00726FFD">
        <w:t xml:space="preserve">Western Australian Government (2019) </w:t>
      </w:r>
      <w:r w:rsidRPr="00726FFD">
        <w:rPr>
          <w:i/>
          <w:iCs/>
        </w:rPr>
        <w:t>WA first State to sign up to cut flaring in petroleum industry</w:t>
      </w:r>
      <w:r w:rsidRPr="00726FFD">
        <w:t>, https://www.wa.gov.au/government/media-statements/McGowan%20Labor%20Government/WA-first-State-to-sign-up-to-cut-flaring-in-petroleum-industry-20190207.</w:t>
      </w:r>
    </w:p>
    <w:p w14:paraId="5B638016" w14:textId="77777777" w:rsidR="00B64D50" w:rsidRPr="00726FFD" w:rsidRDefault="00B64D50" w:rsidP="00303705">
      <w:pPr>
        <w:pStyle w:val="ReportReferences"/>
      </w:pPr>
      <w:r w:rsidRPr="00726FFD">
        <w:t xml:space="preserve">World Bank (n.d.) </w:t>
      </w:r>
      <w:r w:rsidRPr="00726FFD">
        <w:rPr>
          <w:i/>
          <w:iCs/>
        </w:rPr>
        <w:t>Zero Routine Flaring by 2030 (ZRF) Initiative</w:t>
      </w:r>
      <w:r w:rsidRPr="00726FFD">
        <w:t>, https://www.worldbank.org/en/programs/zero-routine-flaring-by-2030/about.</w:t>
      </w:r>
    </w:p>
    <w:p w14:paraId="1335A4EF" w14:textId="77777777" w:rsidR="00B64D50" w:rsidRPr="00726FFD" w:rsidRDefault="00B64D50" w:rsidP="00303705">
      <w:pPr>
        <w:pStyle w:val="ReportReferences"/>
      </w:pPr>
      <w:r>
        <w:t>World Resources Institute (</w:t>
      </w:r>
      <w:r w:rsidRPr="00726FFD">
        <w:t>WRI</w:t>
      </w:r>
      <w:r>
        <w:t>)</w:t>
      </w:r>
      <w:r w:rsidRPr="00726FFD">
        <w:t xml:space="preserve"> (2026) </w:t>
      </w:r>
      <w:r w:rsidRPr="00726FFD">
        <w:rPr>
          <w:i/>
          <w:iCs/>
        </w:rPr>
        <w:t>Historical GHG Emissions</w:t>
      </w:r>
      <w:r w:rsidRPr="00726FFD">
        <w:t xml:space="preserve">, </w:t>
      </w:r>
      <w:r w:rsidRPr="00726FFD">
        <w:rPr>
          <w:i/>
          <w:iCs/>
        </w:rPr>
        <w:t>ClimateWatch</w:t>
      </w:r>
      <w:r w:rsidRPr="00726FFD">
        <w:t>, https://www.climatewatchdata.org/.</w:t>
      </w:r>
    </w:p>
    <w:p w14:paraId="7F66AF08" w14:textId="6F919EDA" w:rsidR="00462131" w:rsidRPr="00A0108A" w:rsidRDefault="00B64D50" w:rsidP="00A0108A">
      <w:pPr>
        <w:pStyle w:val="ReportReferences"/>
        <w:sectPr w:rsidR="00462131" w:rsidRPr="00A0108A" w:rsidSect="00241DCF">
          <w:type w:val="continuous"/>
          <w:pgSz w:w="11906" w:h="16838" w:code="9"/>
          <w:pgMar w:top="1135" w:right="907" w:bottom="851" w:left="907" w:header="284" w:footer="720" w:gutter="0"/>
          <w:cols w:num="2" w:space="720"/>
          <w:docGrid w:linePitch="360"/>
        </w:sectPr>
      </w:pPr>
      <w:r>
        <w:t>WRI</w:t>
      </w:r>
      <w:r w:rsidRPr="00726FFD">
        <w:t xml:space="preserve"> (2025) </w:t>
      </w:r>
      <w:r w:rsidRPr="00726FFD">
        <w:rPr>
          <w:i/>
          <w:iCs/>
        </w:rPr>
        <w:t>5 Things to Know About Atmospheric Methane Removal</w:t>
      </w:r>
      <w:r w:rsidRPr="00726FFD">
        <w:t>, https://www.wri.org/insights/atmospheric-methane-removal.</w:t>
      </w:r>
    </w:p>
    <w:p w14:paraId="4375946C" w14:textId="57C31DD8" w:rsidR="00D6233D" w:rsidRDefault="00D6233D">
      <w:pPr>
        <w:spacing w:before="0" w:after="160" w:line="279" w:lineRule="auto"/>
        <w:rPr>
          <w:rFonts w:cs="Calibri"/>
          <w:b/>
        </w:rPr>
      </w:pPr>
    </w:p>
    <w:p w14:paraId="3B2C03B5" w14:textId="77777777" w:rsidR="00643578" w:rsidRDefault="00643578" w:rsidP="0018586C">
      <w:pPr>
        <w:spacing w:after="200" w:line="276" w:lineRule="auto"/>
        <w:rPr>
          <w:rFonts w:cs="Calibri"/>
          <w:b/>
        </w:rPr>
      </w:pPr>
    </w:p>
    <w:p w14:paraId="15596BF1" w14:textId="77777777" w:rsidR="00643578" w:rsidRDefault="00643578">
      <w:pPr>
        <w:spacing w:before="0" w:after="160" w:line="279" w:lineRule="auto"/>
        <w:rPr>
          <w:rFonts w:cs="Calibri"/>
          <w:b/>
        </w:rPr>
      </w:pPr>
      <w:r>
        <w:rPr>
          <w:rFonts w:cs="Calibri"/>
          <w:b/>
        </w:rPr>
        <w:br w:type="page"/>
      </w:r>
    </w:p>
    <w:p w14:paraId="3F57474F" w14:textId="074C910D" w:rsidR="00E3684D" w:rsidRPr="0018586C" w:rsidRDefault="0078621E" w:rsidP="0018586C">
      <w:pPr>
        <w:spacing w:after="200" w:line="276" w:lineRule="auto"/>
        <w:rPr>
          <w:rFonts w:cs="Calibri"/>
          <w:b/>
        </w:rPr>
      </w:pPr>
      <w:r>
        <w:rPr>
          <w:noProof/>
        </w:rPr>
        <w:lastRenderedPageBreak/>
        <w:drawing>
          <wp:anchor distT="0" distB="0" distL="114300" distR="114300" simplePos="0" relativeHeight="251658258" behindDoc="0" locked="0" layoutInCell="1" allowOverlap="1" wp14:anchorId="48014DDD" wp14:editId="5BBD1D7B">
            <wp:simplePos x="0" y="0"/>
            <wp:positionH relativeFrom="margin">
              <wp:posOffset>1660834</wp:posOffset>
            </wp:positionH>
            <wp:positionV relativeFrom="paragraph">
              <wp:posOffset>3950078</wp:posOffset>
            </wp:positionV>
            <wp:extent cx="2647385" cy="1120346"/>
            <wp:effectExtent l="0" t="0" r="635" b="3810"/>
            <wp:wrapNone/>
            <wp:docPr id="1646673668"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673668" name="Picture 32">
                      <a:extLst>
                        <a:ext uri="{C183D7F6-B498-43B3-948B-1728B52AA6E4}">
                          <adec:decorative xmlns:adec="http://schemas.microsoft.com/office/drawing/2017/decorative" val="1"/>
                        </a:ext>
                      </a:extLs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47385" cy="11203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3578">
        <w:rPr>
          <w:noProof/>
        </w:rPr>
        <w:drawing>
          <wp:anchor distT="0" distB="0" distL="114300" distR="114300" simplePos="0" relativeHeight="251658242" behindDoc="0" locked="0" layoutInCell="1" allowOverlap="1" wp14:anchorId="5E655F69" wp14:editId="6A8AABA5">
            <wp:simplePos x="0" y="0"/>
            <wp:positionH relativeFrom="column">
              <wp:posOffset>-726440</wp:posOffset>
            </wp:positionH>
            <wp:positionV relativeFrom="paragraph">
              <wp:posOffset>-785495</wp:posOffset>
            </wp:positionV>
            <wp:extent cx="8038532" cy="10940659"/>
            <wp:effectExtent l="0" t="0" r="635" b="0"/>
            <wp:wrapNone/>
            <wp:docPr id="62471231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12311" name="Picture 31">
                      <a:extLst>
                        <a:ext uri="{C183D7F6-B498-43B3-948B-1728B52AA6E4}">
                          <adec:decorative xmlns:adec="http://schemas.microsoft.com/office/drawing/2017/decorative" val="1"/>
                        </a:ext>
                      </a:extLs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038532" cy="10940659"/>
                    </a:xfrm>
                    <a:prstGeom prst="rect">
                      <a:avLst/>
                    </a:prstGeom>
                    <a:noFill/>
                    <a:ln>
                      <a:noFill/>
                    </a:ln>
                  </pic:spPr>
                </pic:pic>
              </a:graphicData>
            </a:graphic>
            <wp14:sizeRelH relativeFrom="margin">
              <wp14:pctWidth>0</wp14:pctWidth>
            </wp14:sizeRelH>
          </wp:anchor>
        </w:drawing>
      </w:r>
    </w:p>
    <w:sectPr w:rsidR="00E3684D" w:rsidRPr="0018586C" w:rsidSect="00462131">
      <w:type w:val="continuous"/>
      <w:pgSz w:w="11906" w:h="16838" w:code="9"/>
      <w:pgMar w:top="1135" w:right="907" w:bottom="851" w:left="907" w:header="284"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FAD685" w14:textId="77777777" w:rsidR="0007468B" w:rsidRPr="005008D7" w:rsidRDefault="0007468B" w:rsidP="00B91D00">
      <w:pPr>
        <w:spacing w:after="0" w:line="240" w:lineRule="auto"/>
      </w:pPr>
      <w:r w:rsidRPr="005008D7">
        <w:separator/>
      </w:r>
    </w:p>
  </w:endnote>
  <w:endnote w:type="continuationSeparator" w:id="0">
    <w:p w14:paraId="2EF7D116" w14:textId="77777777" w:rsidR="0007468B" w:rsidRPr="005008D7" w:rsidRDefault="0007468B" w:rsidP="00B91D00">
      <w:pPr>
        <w:spacing w:after="0" w:line="240" w:lineRule="auto"/>
      </w:pPr>
      <w:r w:rsidRPr="005008D7">
        <w:continuationSeparator/>
      </w:r>
    </w:p>
  </w:endnote>
  <w:endnote w:type="continuationNotice" w:id="1">
    <w:p w14:paraId="18855CC8" w14:textId="77777777" w:rsidR="0007468B" w:rsidRPr="005008D7" w:rsidRDefault="0007468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S Mincho">
    <w:panose1 w:val="02020609040205080304"/>
    <w:charset w:val="80"/>
    <w:family w:val="modern"/>
    <w:pitch w:val="fixed"/>
    <w:sig w:usb0="E00002FF" w:usb1="6AC7FDFB" w:usb2="08000012" w:usb3="00000000" w:csb0="0002009F" w:csb1="00000000"/>
  </w:font>
  <w:font w:name="Aptos Display">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NeueLT Std Lt">
    <w:altName w:val="Arial"/>
    <w:panose1 w:val="00000000000000000000"/>
    <w:charset w:val="00"/>
    <w:family w:val="swiss"/>
    <w:notTrueType/>
    <w:pitch w:val="variable"/>
    <w:sig w:usb0="800000AF" w:usb1="4000204A" w:usb2="00000000" w:usb3="00000000" w:csb0="00000001" w:csb1="00000000"/>
  </w:font>
  <w:font w:name="HelveticaNeueLT Std">
    <w:altName w:val="Arial"/>
    <w:panose1 w:val="00000000000000000000"/>
    <w:charset w:val="00"/>
    <w:family w:val="swiss"/>
    <w:notTrueType/>
    <w:pitch w:val="variable"/>
    <w:sig w:usb0="800000AF" w:usb1="4000204A" w:usb2="00000000" w:usb3="00000000" w:csb0="00000001"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old">
    <w:panose1 w:val="020B0704020202020204"/>
    <w:charset w:val="00"/>
    <w:family w:val="roman"/>
    <w:notTrueType/>
    <w:pitch w:val="default"/>
  </w:font>
  <w:font w:name="Myriad Pro">
    <w:altName w:val="Cambria"/>
    <w:panose1 w:val="00000000000000000000"/>
    <w:charset w:val="00"/>
    <w:family w:val="swiss"/>
    <w:notTrueType/>
    <w:pitch w:val="variable"/>
    <w:sig w:usb0="00000001" w:usb1="00000001" w:usb2="00000000" w:usb3="00000000" w:csb0="0000019F" w:csb1="00000000"/>
  </w:font>
  <w:font w:name="GATLAK+Calibri">
    <w:altName w:val="Calibri"/>
    <w:charset w:val="00"/>
    <w:family w:val="swiss"/>
    <w:pitch w:val="default"/>
    <w:sig w:usb0="00000003" w:usb1="00000000" w:usb2="00000000" w:usb3="00000000" w:csb0="00000001" w:csb1="00000000"/>
  </w:font>
  <w:font w:name="GATLAK+Calibri-Bold">
    <w:altName w:val="Calibri"/>
    <w:panose1 w:val="00000000000000000000"/>
    <w:charset w:val="00"/>
    <w:family w:val="swiss"/>
    <w:notTrueType/>
    <w:pitch w:val="default"/>
    <w:sig w:usb0="00000003" w:usb1="00000000" w:usb2="00000000" w:usb3="00000000" w:csb0="00000001" w:csb1="00000000"/>
  </w:font>
  <w:font w:name="Open Sans">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33986250"/>
      <w:docPartObj>
        <w:docPartGallery w:val="Page Numbers (Bottom of Page)"/>
        <w:docPartUnique/>
      </w:docPartObj>
    </w:sdtPr>
    <w:sdtEndPr>
      <w:rPr>
        <w:noProof/>
      </w:rPr>
    </w:sdtEndPr>
    <w:sdtContent>
      <w:p w14:paraId="7BD17903" w14:textId="535BE1FD" w:rsidR="00512AD4" w:rsidRDefault="00512AD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D2E0F4" w14:textId="77777777" w:rsidR="00512AD4" w:rsidRDefault="00512AD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10073F" w14:textId="1F5F1EE5" w:rsidR="003130F5" w:rsidRPr="005008D7" w:rsidRDefault="003130F5" w:rsidP="00824EF1">
    <w:pPr>
      <w:pStyle w:val="Footer"/>
      <w:jc w:val="right"/>
      <w:rPr>
        <w:b/>
        <w:bCs/>
        <w:color w:val="4D4D4D"/>
        <w:sz w:val="21"/>
        <w:szCs w:val="2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337378" w14:textId="77777777" w:rsidR="0007468B" w:rsidRPr="005008D7" w:rsidRDefault="0007468B" w:rsidP="00B91D00">
      <w:pPr>
        <w:spacing w:after="0" w:line="240" w:lineRule="auto"/>
      </w:pPr>
      <w:r w:rsidRPr="005008D7">
        <w:separator/>
      </w:r>
    </w:p>
  </w:footnote>
  <w:footnote w:type="continuationSeparator" w:id="0">
    <w:p w14:paraId="2362B039" w14:textId="77777777" w:rsidR="0007468B" w:rsidRPr="005008D7" w:rsidRDefault="0007468B" w:rsidP="00B91D00">
      <w:pPr>
        <w:spacing w:after="0" w:line="240" w:lineRule="auto"/>
      </w:pPr>
      <w:r w:rsidRPr="005008D7">
        <w:continuationSeparator/>
      </w:r>
    </w:p>
  </w:footnote>
  <w:footnote w:type="continuationNotice" w:id="1">
    <w:p w14:paraId="0FDB56B0" w14:textId="77777777" w:rsidR="0007468B" w:rsidRPr="005008D7" w:rsidRDefault="0007468B">
      <w:pPr>
        <w:spacing w:after="0" w:line="240" w:lineRule="auto"/>
      </w:pPr>
    </w:p>
  </w:footnote>
  <w:footnote w:id="2">
    <w:p w14:paraId="7042A47E" w14:textId="2D969D3C" w:rsidR="00FD58CF" w:rsidRPr="004977BB" w:rsidRDefault="00FD58CF" w:rsidP="00FD58CF">
      <w:pPr>
        <w:pStyle w:val="FootnoteText"/>
        <w:rPr>
          <w:lang w:val="en-US"/>
        </w:rPr>
      </w:pPr>
      <w:r>
        <w:rPr>
          <w:rStyle w:val="FootnoteReference"/>
        </w:rPr>
        <w:footnoteRef/>
      </w:r>
      <w:r>
        <w:t xml:space="preserve"> </w:t>
      </w:r>
      <w:r w:rsidRPr="001A4CD4">
        <w:t xml:space="preserve">Fugitive emissions are the intentional or unintentional release of greenhouse gases that occur during the extraction, processing and delivery of fossil fuels to the point of final use </w:t>
      </w:r>
      <w:sdt>
        <w:sdtPr>
          <w:rPr>
            <w:rFonts w:ascii="Aptos" w:hAnsi="Aptos"/>
            <w:color w:val="000000"/>
          </w:rPr>
          <w:tag w:val="MENDELEY_CITATION_v3_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"/>
          <w:id w:val="2009711529"/>
          <w:placeholder>
            <w:docPart w:val="BE884B6C22774894B3AF92BF9B8B9417"/>
          </w:placeholder>
        </w:sdtPr>
        <w:sdtContent>
          <w:r w:rsidRPr="00D3761C">
            <w:rPr>
              <w:rFonts w:ascii="Aptos" w:hAnsi="Aptos"/>
              <w:color w:val="000000"/>
            </w:rPr>
            <w:t>(CSIRO n.d</w:t>
          </w:r>
          <w:r w:rsidR="00DF33EB" w:rsidRPr="00D3761C">
            <w:rPr>
              <w:rFonts w:ascii="Aptos" w:hAnsi="Aptos"/>
              <w:color w:val="000000"/>
            </w:rPr>
            <w:t>-c</w:t>
          </w:r>
          <w:r w:rsidRPr="00D3761C">
            <w:rPr>
              <w:rFonts w:ascii="Aptos" w:hAnsi="Aptos"/>
              <w:color w:val="000000"/>
            </w:rPr>
            <w:t>.; IPCC 2019)</w:t>
          </w:r>
        </w:sdtContent>
      </w:sdt>
      <w:r w:rsidRPr="001A4CD4">
        <w:t>. These emissions can be carbon dioxide, methane or other gases.</w:t>
      </w:r>
    </w:p>
  </w:footnote>
  <w:footnote w:id="3">
    <w:p w14:paraId="47AD6844" w14:textId="4BBD3798" w:rsidR="00FD58CF" w:rsidRPr="005957C0" w:rsidRDefault="00FD58CF" w:rsidP="00FD58CF">
      <w:pPr>
        <w:pStyle w:val="FootnoteText"/>
        <w:rPr>
          <w:lang w:val="en-US"/>
        </w:rPr>
      </w:pPr>
      <w:r>
        <w:rPr>
          <w:rStyle w:val="FootnoteReference"/>
        </w:rPr>
        <w:footnoteRef/>
      </w:r>
      <w:r>
        <w:t xml:space="preserve"> </w:t>
      </w:r>
      <w:r w:rsidRPr="00194E37">
        <w:t xml:space="preserve">Methane emissions from fossil fuel combustion are not discussed in this report. Emissions data for fossil methane are taken from sector '1.B Fugitive Emissions From Fuels' in the in Australia's National Greenhouse Accounts </w:t>
      </w:r>
      <w:sdt>
        <w:sdtPr>
          <w:rPr>
            <w:rFonts w:ascii="Aptos" w:hAnsi="Aptos"/>
            <w:color w:val="000000"/>
          </w:rPr>
          <w:tag w:val="MENDELEY_CITATION_v3_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"/>
          <w:id w:val="-350643084"/>
          <w:placeholder>
            <w:docPart w:val="BE884B6C22774894B3AF92BF9B8B9417"/>
          </w:placeholder>
        </w:sdtPr>
        <w:sdtContent>
          <w:r w:rsidRPr="00D3761C">
            <w:rPr>
              <w:rFonts w:ascii="Aptos" w:hAnsi="Aptos"/>
              <w:color w:val="000000"/>
            </w:rPr>
            <w:t>(DCCEEW</w:t>
          </w:r>
          <w:r w:rsidR="00D3761C" w:rsidRPr="00D3761C">
            <w:rPr>
              <w:rFonts w:ascii="Aptos" w:hAnsi="Aptos"/>
              <w:color w:val="000000"/>
            </w:rPr>
            <w:t>, 2026</w:t>
          </w:r>
          <w:r w:rsidRPr="00D3761C">
            <w:rPr>
              <w:rFonts w:ascii="Aptos" w:hAnsi="Aptos"/>
              <w:color w:val="000000"/>
            </w:rPr>
            <w:t>)</w:t>
          </w:r>
        </w:sdtContent>
      </w:sdt>
    </w:p>
  </w:footnote>
  <w:footnote w:id="4">
    <w:p w14:paraId="2D9880F7" w14:textId="3E359B8B" w:rsidR="00003798" w:rsidRDefault="00003798" w:rsidP="00003798">
      <w:pPr>
        <w:pStyle w:val="FootnoteText"/>
      </w:pPr>
      <w:r>
        <w:rPr>
          <w:rStyle w:val="FootnoteReference"/>
        </w:rPr>
        <w:footnoteRef/>
      </w:r>
      <w:r>
        <w:t xml:space="preserve"> Hydrocarbons are organic compounds made up of carbon and hydrogen. Hydrocarbons are the main component of fossil fuels </w:t>
      </w:r>
      <w:sdt>
        <w:sdtPr>
          <w:rPr>
            <w:rFonts w:ascii="Aptos" w:hAnsi="Aptos"/>
            <w:color w:val="000000"/>
          </w:rPr>
          <w:tag w:val="MENDELEY_CITATION_v3_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"/>
          <w:id w:val="-1361054257"/>
          <w:placeholder>
            <w:docPart w:val="DD8D810C25734D09A8066D8B46101593"/>
          </w:placeholder>
        </w:sdtPr>
        <w:sdtContent>
          <w:r w:rsidRPr="00D3761C">
            <w:rPr>
              <w:rFonts w:ascii="Aptos" w:hAnsi="Aptos"/>
              <w:color w:val="000000"/>
            </w:rPr>
            <w:t>(Encyclopædia Britannica</w:t>
          </w:r>
          <w:r w:rsidR="00D3761C" w:rsidRPr="00D3761C">
            <w:rPr>
              <w:rFonts w:ascii="Aptos" w:hAnsi="Aptos"/>
              <w:color w:val="000000"/>
            </w:rPr>
            <w:t>,</w:t>
          </w:r>
          <w:r w:rsidRPr="00D3761C">
            <w:rPr>
              <w:rFonts w:ascii="Aptos" w:hAnsi="Aptos"/>
              <w:color w:val="000000"/>
            </w:rPr>
            <w:t xml:space="preserve"> 2026)</w:t>
          </w:r>
        </w:sdtContent>
      </w:sdt>
      <w:r>
        <w:t xml:space="preserve">. </w:t>
      </w:r>
    </w:p>
  </w:footnote>
  <w:footnote w:id="5">
    <w:p w14:paraId="19B009BA" w14:textId="77777777" w:rsidR="00E3684D" w:rsidRPr="004977BB" w:rsidRDefault="00E3684D" w:rsidP="00E3684D">
      <w:pPr>
        <w:pStyle w:val="FootnoteText"/>
        <w:rPr>
          <w:lang w:val="en-US"/>
        </w:rPr>
      </w:pPr>
      <w:r>
        <w:rPr>
          <w:rStyle w:val="FootnoteReference"/>
        </w:rPr>
        <w:footnoteRef/>
      </w:r>
      <w:r>
        <w:t xml:space="preserve"> </w:t>
      </w:r>
      <w:r w:rsidRPr="007A33EF">
        <w:t>"</w:t>
      </w:r>
      <w:r>
        <w:t>A</w:t>
      </w:r>
      <w:r w:rsidRPr="007A33EF">
        <w:t>greed in principle" means the government supports the overall policy idea or goal of the recommendation but has not yet committed to the specific implementation details, timing, or resourcing</w:t>
      </w:r>
      <w:r>
        <w:t xml:space="preserve"> (</w:t>
      </w:r>
      <w:hyperlink r:id="rId1" w:history="1">
        <w:r w:rsidRPr="00B23DBA">
          <w:rPr>
            <w:rStyle w:val="Hyperlink"/>
          </w:rPr>
          <w:t>DCCEEW, 2023</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7EFE7B" w14:textId="6B271F2C" w:rsidR="00524321" w:rsidRPr="00BE6F89" w:rsidRDefault="00BE6F89" w:rsidP="00BE6F89">
    <w:pPr>
      <w:spacing w:after="0"/>
      <w:jc w:val="center"/>
      <w:rPr>
        <w:rFonts w:ascii="Calibri" w:eastAsia="Calibri" w:hAnsi="Calibri" w:cs="Calibri"/>
        <w:color w:val="FF0000"/>
      </w:rPr>
    </w:pPr>
    <w:r w:rsidRPr="007D0563">
      <w:rPr>
        <w:rFonts w:ascii="Calibri" w:eastAsia="Calibri" w:hAnsi="Calibri" w:cs="Calibri"/>
        <w:color w:val="FF0000"/>
      </w:rPr>
      <w:t>OFFICIAL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A0499"/>
    <w:multiLevelType w:val="hybridMultilevel"/>
    <w:tmpl w:val="401C0514"/>
    <w:lvl w:ilvl="0" w:tplc="2FC04668">
      <w:start w:val="1"/>
      <w:numFmt w:val="decimal"/>
      <w:lvlText w:val="%1."/>
      <w:lvlJc w:val="left"/>
      <w:pPr>
        <w:ind w:left="1020" w:hanging="360"/>
      </w:pPr>
    </w:lvl>
    <w:lvl w:ilvl="1" w:tplc="796EFFE4">
      <w:start w:val="1"/>
      <w:numFmt w:val="decimal"/>
      <w:lvlText w:val="%2."/>
      <w:lvlJc w:val="left"/>
      <w:pPr>
        <w:ind w:left="1020" w:hanging="360"/>
      </w:pPr>
    </w:lvl>
    <w:lvl w:ilvl="2" w:tplc="682244D6">
      <w:start w:val="1"/>
      <w:numFmt w:val="decimal"/>
      <w:lvlText w:val="%3."/>
      <w:lvlJc w:val="left"/>
      <w:pPr>
        <w:ind w:left="1020" w:hanging="360"/>
      </w:pPr>
    </w:lvl>
    <w:lvl w:ilvl="3" w:tplc="28443244">
      <w:start w:val="1"/>
      <w:numFmt w:val="decimal"/>
      <w:lvlText w:val="%4."/>
      <w:lvlJc w:val="left"/>
      <w:pPr>
        <w:ind w:left="1020" w:hanging="360"/>
      </w:pPr>
    </w:lvl>
    <w:lvl w:ilvl="4" w:tplc="A0FA4240">
      <w:start w:val="1"/>
      <w:numFmt w:val="decimal"/>
      <w:lvlText w:val="%5."/>
      <w:lvlJc w:val="left"/>
      <w:pPr>
        <w:ind w:left="1020" w:hanging="360"/>
      </w:pPr>
    </w:lvl>
    <w:lvl w:ilvl="5" w:tplc="16FE838E">
      <w:start w:val="1"/>
      <w:numFmt w:val="decimal"/>
      <w:lvlText w:val="%6."/>
      <w:lvlJc w:val="left"/>
      <w:pPr>
        <w:ind w:left="1020" w:hanging="360"/>
      </w:pPr>
    </w:lvl>
    <w:lvl w:ilvl="6" w:tplc="62F6D220">
      <w:start w:val="1"/>
      <w:numFmt w:val="decimal"/>
      <w:lvlText w:val="%7."/>
      <w:lvlJc w:val="left"/>
      <w:pPr>
        <w:ind w:left="1020" w:hanging="360"/>
      </w:pPr>
    </w:lvl>
    <w:lvl w:ilvl="7" w:tplc="B85C3B2E">
      <w:start w:val="1"/>
      <w:numFmt w:val="decimal"/>
      <w:lvlText w:val="%8."/>
      <w:lvlJc w:val="left"/>
      <w:pPr>
        <w:ind w:left="1020" w:hanging="360"/>
      </w:pPr>
    </w:lvl>
    <w:lvl w:ilvl="8" w:tplc="B28E7FE8">
      <w:start w:val="1"/>
      <w:numFmt w:val="decimal"/>
      <w:lvlText w:val="%9."/>
      <w:lvlJc w:val="left"/>
      <w:pPr>
        <w:ind w:left="1020" w:hanging="360"/>
      </w:pPr>
    </w:lvl>
  </w:abstractNum>
  <w:abstractNum w:abstractNumId="1" w15:restartNumberingAfterBreak="0">
    <w:nsid w:val="08B66E4A"/>
    <w:multiLevelType w:val="multilevel"/>
    <w:tmpl w:val="40DCB5BC"/>
    <w:lvl w:ilvl="0">
      <w:start w:val="1"/>
      <w:numFmt w:val="decimal"/>
      <w:lvlText w:val="%1."/>
      <w:lvlJc w:val="left"/>
      <w:pPr>
        <w:ind w:left="360" w:hanging="360"/>
      </w:pPr>
    </w:lvl>
    <w:lvl w:ilvl="1">
      <w:start w:val="1"/>
      <w:numFmt w:val="bullet"/>
      <w:pStyle w:val="sub-bulletpoint"/>
      <w:lvlText w:val=""/>
      <w:lvlJc w:val="left"/>
      <w:pPr>
        <w:ind w:left="858"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5AE7BE6"/>
    <w:multiLevelType w:val="multilevel"/>
    <w:tmpl w:val="D7A6A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1347EBA"/>
    <w:multiLevelType w:val="hybridMultilevel"/>
    <w:tmpl w:val="F008E5CC"/>
    <w:lvl w:ilvl="0" w:tplc="0C09001B">
      <w:start w:val="1"/>
      <w:numFmt w:val="lowerRoman"/>
      <w:lvlText w:val="%1."/>
      <w:lvlJc w:val="righ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24714A08"/>
    <w:multiLevelType w:val="hybridMultilevel"/>
    <w:tmpl w:val="B0BC8C0A"/>
    <w:styleLink w:val="ListQuestionsMaster"/>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F2A13E2"/>
    <w:multiLevelType w:val="hybridMultilevel"/>
    <w:tmpl w:val="D05633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FB603D1"/>
    <w:multiLevelType w:val="hybridMultilevel"/>
    <w:tmpl w:val="2A706DE4"/>
    <w:lvl w:ilvl="0" w:tplc="613E1360">
      <w:start w:val="1"/>
      <w:numFmt w:val="bullet"/>
      <w:lvlText w:val=""/>
      <w:lvlJc w:val="left"/>
      <w:pPr>
        <w:ind w:left="720" w:hanging="360"/>
      </w:pPr>
      <w:rPr>
        <w:rFonts w:ascii="Symbol" w:hAnsi="Symbol" w:hint="default"/>
        <w:sz w:val="21"/>
        <w:szCs w:val="2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667520D"/>
    <w:multiLevelType w:val="hybridMultilevel"/>
    <w:tmpl w:val="024A446A"/>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42CB2106"/>
    <w:multiLevelType w:val="hybridMultilevel"/>
    <w:tmpl w:val="67EAD49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4912721C"/>
    <w:multiLevelType w:val="hybridMultilevel"/>
    <w:tmpl w:val="E2FA18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D0C0160"/>
    <w:multiLevelType w:val="hybridMultilevel"/>
    <w:tmpl w:val="BFC6B56C"/>
    <w:lvl w:ilvl="0" w:tplc="95382E1A">
      <w:start w:val="1"/>
      <w:numFmt w:val="bullet"/>
      <w:lvlText w:val=""/>
      <w:lvlJc w:val="left"/>
      <w:pPr>
        <w:ind w:left="720" w:hanging="360"/>
      </w:pPr>
      <w:rPr>
        <w:rFonts w:ascii="Symbol" w:hAnsi="Symbol"/>
      </w:rPr>
    </w:lvl>
    <w:lvl w:ilvl="1" w:tplc="1CE28052">
      <w:start w:val="1"/>
      <w:numFmt w:val="bullet"/>
      <w:lvlText w:val=""/>
      <w:lvlJc w:val="left"/>
      <w:pPr>
        <w:ind w:left="720" w:hanging="360"/>
      </w:pPr>
      <w:rPr>
        <w:rFonts w:ascii="Symbol" w:hAnsi="Symbol"/>
      </w:rPr>
    </w:lvl>
    <w:lvl w:ilvl="2" w:tplc="57EEB626">
      <w:start w:val="1"/>
      <w:numFmt w:val="bullet"/>
      <w:lvlText w:val=""/>
      <w:lvlJc w:val="left"/>
      <w:pPr>
        <w:ind w:left="720" w:hanging="360"/>
      </w:pPr>
      <w:rPr>
        <w:rFonts w:ascii="Symbol" w:hAnsi="Symbol"/>
      </w:rPr>
    </w:lvl>
    <w:lvl w:ilvl="3" w:tplc="7D18768E">
      <w:start w:val="1"/>
      <w:numFmt w:val="bullet"/>
      <w:lvlText w:val=""/>
      <w:lvlJc w:val="left"/>
      <w:pPr>
        <w:ind w:left="720" w:hanging="360"/>
      </w:pPr>
      <w:rPr>
        <w:rFonts w:ascii="Symbol" w:hAnsi="Symbol"/>
      </w:rPr>
    </w:lvl>
    <w:lvl w:ilvl="4" w:tplc="8EDCF19C">
      <w:start w:val="1"/>
      <w:numFmt w:val="bullet"/>
      <w:lvlText w:val=""/>
      <w:lvlJc w:val="left"/>
      <w:pPr>
        <w:ind w:left="720" w:hanging="360"/>
      </w:pPr>
      <w:rPr>
        <w:rFonts w:ascii="Symbol" w:hAnsi="Symbol"/>
      </w:rPr>
    </w:lvl>
    <w:lvl w:ilvl="5" w:tplc="88E2B816">
      <w:start w:val="1"/>
      <w:numFmt w:val="bullet"/>
      <w:lvlText w:val=""/>
      <w:lvlJc w:val="left"/>
      <w:pPr>
        <w:ind w:left="720" w:hanging="360"/>
      </w:pPr>
      <w:rPr>
        <w:rFonts w:ascii="Symbol" w:hAnsi="Symbol"/>
      </w:rPr>
    </w:lvl>
    <w:lvl w:ilvl="6" w:tplc="B4F815DA">
      <w:start w:val="1"/>
      <w:numFmt w:val="bullet"/>
      <w:lvlText w:val=""/>
      <w:lvlJc w:val="left"/>
      <w:pPr>
        <w:ind w:left="720" w:hanging="360"/>
      </w:pPr>
      <w:rPr>
        <w:rFonts w:ascii="Symbol" w:hAnsi="Symbol"/>
      </w:rPr>
    </w:lvl>
    <w:lvl w:ilvl="7" w:tplc="C54C779E">
      <w:start w:val="1"/>
      <w:numFmt w:val="bullet"/>
      <w:lvlText w:val=""/>
      <w:lvlJc w:val="left"/>
      <w:pPr>
        <w:ind w:left="720" w:hanging="360"/>
      </w:pPr>
      <w:rPr>
        <w:rFonts w:ascii="Symbol" w:hAnsi="Symbol"/>
      </w:rPr>
    </w:lvl>
    <w:lvl w:ilvl="8" w:tplc="87BE1DA8">
      <w:start w:val="1"/>
      <w:numFmt w:val="bullet"/>
      <w:lvlText w:val=""/>
      <w:lvlJc w:val="left"/>
      <w:pPr>
        <w:ind w:left="720" w:hanging="360"/>
      </w:pPr>
      <w:rPr>
        <w:rFonts w:ascii="Symbol" w:hAnsi="Symbol"/>
      </w:rPr>
    </w:lvl>
  </w:abstractNum>
  <w:abstractNum w:abstractNumId="11" w15:restartNumberingAfterBreak="0">
    <w:nsid w:val="4E9149E6"/>
    <w:multiLevelType w:val="multilevel"/>
    <w:tmpl w:val="B0E01A70"/>
    <w:lvl w:ilvl="0">
      <w:start w:val="1"/>
      <w:numFmt w:val="decimal"/>
      <w:pStyle w:val="NumberedList"/>
      <w:lvlText w:val="%1."/>
      <w:lvlJc w:val="left"/>
      <w:pPr>
        <w:ind w:left="502" w:hanging="360"/>
      </w:pPr>
    </w:lvl>
    <w:lvl w:ilvl="1">
      <w:numFmt w:val="bullet"/>
      <w:lvlText w:val="•"/>
      <w:lvlJc w:val="left"/>
      <w:pPr>
        <w:ind w:left="792" w:hanging="432"/>
      </w:pPr>
      <w:rPr>
        <w:rFonts w:ascii="Arial" w:eastAsiaTheme="minorHAns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000431F"/>
    <w:multiLevelType w:val="hybridMultilevel"/>
    <w:tmpl w:val="AF5E4BA2"/>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57A47ABF"/>
    <w:multiLevelType w:val="multilevel"/>
    <w:tmpl w:val="E6587182"/>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pStyle w:val="Heading31"/>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4" w15:restartNumberingAfterBreak="0">
    <w:nsid w:val="5D5606DB"/>
    <w:multiLevelType w:val="hybridMultilevel"/>
    <w:tmpl w:val="2654AC2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6B9638BF"/>
    <w:multiLevelType w:val="hybridMultilevel"/>
    <w:tmpl w:val="BA90CE5C"/>
    <w:lvl w:ilvl="0" w:tplc="5A3AEE64">
      <w:start w:val="1"/>
      <w:numFmt w:val="bullet"/>
      <w:pStyle w:val="Body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6DCE428F"/>
    <w:multiLevelType w:val="multilevel"/>
    <w:tmpl w:val="3190C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EC3078F"/>
    <w:multiLevelType w:val="hybridMultilevel"/>
    <w:tmpl w:val="67EAD49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7C145D34"/>
    <w:multiLevelType w:val="hybridMultilevel"/>
    <w:tmpl w:val="E1844672"/>
    <w:lvl w:ilvl="0" w:tplc="14324438">
      <w:start w:val="1"/>
      <w:numFmt w:val="bullet"/>
      <w:lvlText w:val=""/>
      <w:lvlJc w:val="left"/>
      <w:pPr>
        <w:ind w:left="1440" w:hanging="360"/>
      </w:pPr>
      <w:rPr>
        <w:rFonts w:ascii="Symbol" w:hAnsi="Symbol"/>
      </w:rPr>
    </w:lvl>
    <w:lvl w:ilvl="1" w:tplc="8A045314">
      <w:start w:val="1"/>
      <w:numFmt w:val="bullet"/>
      <w:lvlText w:val=""/>
      <w:lvlJc w:val="left"/>
      <w:pPr>
        <w:ind w:left="1440" w:hanging="360"/>
      </w:pPr>
      <w:rPr>
        <w:rFonts w:ascii="Symbol" w:hAnsi="Symbol"/>
      </w:rPr>
    </w:lvl>
    <w:lvl w:ilvl="2" w:tplc="A59A9A3C">
      <w:start w:val="1"/>
      <w:numFmt w:val="bullet"/>
      <w:lvlText w:val=""/>
      <w:lvlJc w:val="left"/>
      <w:pPr>
        <w:ind w:left="1440" w:hanging="360"/>
      </w:pPr>
      <w:rPr>
        <w:rFonts w:ascii="Symbol" w:hAnsi="Symbol"/>
      </w:rPr>
    </w:lvl>
    <w:lvl w:ilvl="3" w:tplc="71F42074">
      <w:start w:val="1"/>
      <w:numFmt w:val="bullet"/>
      <w:lvlText w:val=""/>
      <w:lvlJc w:val="left"/>
      <w:pPr>
        <w:ind w:left="1440" w:hanging="360"/>
      </w:pPr>
      <w:rPr>
        <w:rFonts w:ascii="Symbol" w:hAnsi="Symbol"/>
      </w:rPr>
    </w:lvl>
    <w:lvl w:ilvl="4" w:tplc="8A8A3362">
      <w:start w:val="1"/>
      <w:numFmt w:val="bullet"/>
      <w:lvlText w:val=""/>
      <w:lvlJc w:val="left"/>
      <w:pPr>
        <w:ind w:left="1440" w:hanging="360"/>
      </w:pPr>
      <w:rPr>
        <w:rFonts w:ascii="Symbol" w:hAnsi="Symbol"/>
      </w:rPr>
    </w:lvl>
    <w:lvl w:ilvl="5" w:tplc="902ED730">
      <w:start w:val="1"/>
      <w:numFmt w:val="bullet"/>
      <w:lvlText w:val=""/>
      <w:lvlJc w:val="left"/>
      <w:pPr>
        <w:ind w:left="1440" w:hanging="360"/>
      </w:pPr>
      <w:rPr>
        <w:rFonts w:ascii="Symbol" w:hAnsi="Symbol"/>
      </w:rPr>
    </w:lvl>
    <w:lvl w:ilvl="6" w:tplc="036EF5A8">
      <w:start w:val="1"/>
      <w:numFmt w:val="bullet"/>
      <w:lvlText w:val=""/>
      <w:lvlJc w:val="left"/>
      <w:pPr>
        <w:ind w:left="1440" w:hanging="360"/>
      </w:pPr>
      <w:rPr>
        <w:rFonts w:ascii="Symbol" w:hAnsi="Symbol"/>
      </w:rPr>
    </w:lvl>
    <w:lvl w:ilvl="7" w:tplc="BB869334">
      <w:start w:val="1"/>
      <w:numFmt w:val="bullet"/>
      <w:lvlText w:val=""/>
      <w:lvlJc w:val="left"/>
      <w:pPr>
        <w:ind w:left="1440" w:hanging="360"/>
      </w:pPr>
      <w:rPr>
        <w:rFonts w:ascii="Symbol" w:hAnsi="Symbol"/>
      </w:rPr>
    </w:lvl>
    <w:lvl w:ilvl="8" w:tplc="A7E0CD40">
      <w:start w:val="1"/>
      <w:numFmt w:val="bullet"/>
      <w:lvlText w:val=""/>
      <w:lvlJc w:val="left"/>
      <w:pPr>
        <w:ind w:left="1440" w:hanging="360"/>
      </w:pPr>
      <w:rPr>
        <w:rFonts w:ascii="Symbol" w:hAnsi="Symbol"/>
      </w:rPr>
    </w:lvl>
  </w:abstractNum>
  <w:num w:numId="1" w16cid:durableId="243955947">
    <w:abstractNumId w:val="4"/>
  </w:num>
  <w:num w:numId="2" w16cid:durableId="440298333">
    <w:abstractNumId w:val="1"/>
  </w:num>
  <w:num w:numId="3" w16cid:durableId="57946779">
    <w:abstractNumId w:val="11"/>
  </w:num>
  <w:num w:numId="4" w16cid:durableId="1871604820">
    <w:abstractNumId w:val="13"/>
  </w:num>
  <w:num w:numId="5" w16cid:durableId="1171680138">
    <w:abstractNumId w:val="0"/>
  </w:num>
  <w:num w:numId="6" w16cid:durableId="758334941">
    <w:abstractNumId w:val="15"/>
  </w:num>
  <w:num w:numId="7" w16cid:durableId="1800105152">
    <w:abstractNumId w:val="14"/>
  </w:num>
  <w:num w:numId="8" w16cid:durableId="1002048464">
    <w:abstractNumId w:val="12"/>
  </w:num>
  <w:num w:numId="9" w16cid:durableId="168982128">
    <w:abstractNumId w:val="3"/>
  </w:num>
  <w:num w:numId="10" w16cid:durableId="1967614132">
    <w:abstractNumId w:val="7"/>
  </w:num>
  <w:num w:numId="11" w16cid:durableId="390615299">
    <w:abstractNumId w:val="10"/>
  </w:num>
  <w:num w:numId="12" w16cid:durableId="487747352">
    <w:abstractNumId w:val="8"/>
  </w:num>
  <w:num w:numId="13" w16cid:durableId="1376655472">
    <w:abstractNumId w:val="9"/>
  </w:num>
  <w:num w:numId="14" w16cid:durableId="825509516">
    <w:abstractNumId w:val="17"/>
  </w:num>
  <w:num w:numId="15" w16cid:durableId="1543904220">
    <w:abstractNumId w:val="18"/>
  </w:num>
  <w:num w:numId="16" w16cid:durableId="1471290839">
    <w:abstractNumId w:val="16"/>
  </w:num>
  <w:num w:numId="17" w16cid:durableId="160391707">
    <w:abstractNumId w:val="2"/>
  </w:num>
  <w:num w:numId="18" w16cid:durableId="388119319">
    <w:abstractNumId w:val="5"/>
  </w:num>
  <w:num w:numId="19" w16cid:durableId="871723833">
    <w:abstractNumId w:val="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isplayBackgroundShape/>
  <w:defaultTabStop w:val="720"/>
  <w:evenAndOddHeaders/>
  <w:characterSpacingControl w:val="doNotCompress"/>
  <w:hdrShapeDefaults>
    <o:shapedefaults v:ext="edit" spidmax="2050">
      <o:colormru v:ext="edit" colors="#143f55"/>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54D78B3"/>
    <w:rsid w:val="00000070"/>
    <w:rsid w:val="00000076"/>
    <w:rsid w:val="000007B6"/>
    <w:rsid w:val="000008A3"/>
    <w:rsid w:val="00000B9F"/>
    <w:rsid w:val="00000D2C"/>
    <w:rsid w:val="000025CA"/>
    <w:rsid w:val="00002AEB"/>
    <w:rsid w:val="00002ED6"/>
    <w:rsid w:val="0000310D"/>
    <w:rsid w:val="00003798"/>
    <w:rsid w:val="00003B05"/>
    <w:rsid w:val="00004DF0"/>
    <w:rsid w:val="00005254"/>
    <w:rsid w:val="0000738F"/>
    <w:rsid w:val="000079E5"/>
    <w:rsid w:val="00007F90"/>
    <w:rsid w:val="000111CC"/>
    <w:rsid w:val="000125CE"/>
    <w:rsid w:val="00013071"/>
    <w:rsid w:val="00013117"/>
    <w:rsid w:val="00013CA9"/>
    <w:rsid w:val="00015B0B"/>
    <w:rsid w:val="000164F0"/>
    <w:rsid w:val="00020327"/>
    <w:rsid w:val="0002049E"/>
    <w:rsid w:val="000207A9"/>
    <w:rsid w:val="00021486"/>
    <w:rsid w:val="00021C25"/>
    <w:rsid w:val="0002200D"/>
    <w:rsid w:val="00022258"/>
    <w:rsid w:val="000227D2"/>
    <w:rsid w:val="00022E42"/>
    <w:rsid w:val="000232B1"/>
    <w:rsid w:val="00024019"/>
    <w:rsid w:val="00024AF3"/>
    <w:rsid w:val="00024BCF"/>
    <w:rsid w:val="00024D6E"/>
    <w:rsid w:val="000250C9"/>
    <w:rsid w:val="00025937"/>
    <w:rsid w:val="00026B30"/>
    <w:rsid w:val="00027763"/>
    <w:rsid w:val="00027B7C"/>
    <w:rsid w:val="00030BDB"/>
    <w:rsid w:val="00030C4B"/>
    <w:rsid w:val="000335AB"/>
    <w:rsid w:val="00034C09"/>
    <w:rsid w:val="000352A3"/>
    <w:rsid w:val="000363A3"/>
    <w:rsid w:val="0003684F"/>
    <w:rsid w:val="00037005"/>
    <w:rsid w:val="000376D4"/>
    <w:rsid w:val="00037B3A"/>
    <w:rsid w:val="0004009B"/>
    <w:rsid w:val="00041334"/>
    <w:rsid w:val="00041E9F"/>
    <w:rsid w:val="00042177"/>
    <w:rsid w:val="00042180"/>
    <w:rsid w:val="00042932"/>
    <w:rsid w:val="000444EE"/>
    <w:rsid w:val="00044509"/>
    <w:rsid w:val="00044CB2"/>
    <w:rsid w:val="00044F25"/>
    <w:rsid w:val="00045D1E"/>
    <w:rsid w:val="00046A0F"/>
    <w:rsid w:val="000474FB"/>
    <w:rsid w:val="00047CA8"/>
    <w:rsid w:val="000504C5"/>
    <w:rsid w:val="00050B7B"/>
    <w:rsid w:val="0005167A"/>
    <w:rsid w:val="00052827"/>
    <w:rsid w:val="00052AE9"/>
    <w:rsid w:val="00052DF5"/>
    <w:rsid w:val="0005518B"/>
    <w:rsid w:val="0006276A"/>
    <w:rsid w:val="0006287D"/>
    <w:rsid w:val="00062F67"/>
    <w:rsid w:val="00063948"/>
    <w:rsid w:val="000658F5"/>
    <w:rsid w:val="000659DB"/>
    <w:rsid w:val="00070608"/>
    <w:rsid w:val="00070655"/>
    <w:rsid w:val="0007085A"/>
    <w:rsid w:val="00070D72"/>
    <w:rsid w:val="000711BA"/>
    <w:rsid w:val="000718F4"/>
    <w:rsid w:val="00072E8F"/>
    <w:rsid w:val="00073468"/>
    <w:rsid w:val="0007356C"/>
    <w:rsid w:val="00073CDE"/>
    <w:rsid w:val="0007424B"/>
    <w:rsid w:val="0007468B"/>
    <w:rsid w:val="00074EA7"/>
    <w:rsid w:val="00075465"/>
    <w:rsid w:val="000760A7"/>
    <w:rsid w:val="00076160"/>
    <w:rsid w:val="000768BB"/>
    <w:rsid w:val="00076C8F"/>
    <w:rsid w:val="00076FDD"/>
    <w:rsid w:val="000802D3"/>
    <w:rsid w:val="00080DB0"/>
    <w:rsid w:val="00081174"/>
    <w:rsid w:val="000811FD"/>
    <w:rsid w:val="000815AB"/>
    <w:rsid w:val="000815FB"/>
    <w:rsid w:val="0008174C"/>
    <w:rsid w:val="000818CA"/>
    <w:rsid w:val="00082638"/>
    <w:rsid w:val="000828EF"/>
    <w:rsid w:val="00083CD3"/>
    <w:rsid w:val="0008497C"/>
    <w:rsid w:val="00084BD1"/>
    <w:rsid w:val="00084CC1"/>
    <w:rsid w:val="000850FC"/>
    <w:rsid w:val="0008657E"/>
    <w:rsid w:val="00087574"/>
    <w:rsid w:val="000929A0"/>
    <w:rsid w:val="0009304F"/>
    <w:rsid w:val="00094AAA"/>
    <w:rsid w:val="000950A5"/>
    <w:rsid w:val="000958A9"/>
    <w:rsid w:val="00095A9A"/>
    <w:rsid w:val="0009678A"/>
    <w:rsid w:val="0009784E"/>
    <w:rsid w:val="000A043C"/>
    <w:rsid w:val="000A062C"/>
    <w:rsid w:val="000A10E8"/>
    <w:rsid w:val="000A1428"/>
    <w:rsid w:val="000A1A63"/>
    <w:rsid w:val="000A1CDA"/>
    <w:rsid w:val="000A25F4"/>
    <w:rsid w:val="000A2B54"/>
    <w:rsid w:val="000A2EAD"/>
    <w:rsid w:val="000A3F33"/>
    <w:rsid w:val="000A47B3"/>
    <w:rsid w:val="000A54CE"/>
    <w:rsid w:val="000A5D30"/>
    <w:rsid w:val="000A5D4F"/>
    <w:rsid w:val="000A5E35"/>
    <w:rsid w:val="000A6988"/>
    <w:rsid w:val="000B1C5D"/>
    <w:rsid w:val="000B2157"/>
    <w:rsid w:val="000B45B1"/>
    <w:rsid w:val="000B7D7E"/>
    <w:rsid w:val="000C02A1"/>
    <w:rsid w:val="000C07D1"/>
    <w:rsid w:val="000C1050"/>
    <w:rsid w:val="000C11D5"/>
    <w:rsid w:val="000C155A"/>
    <w:rsid w:val="000C2787"/>
    <w:rsid w:val="000C3212"/>
    <w:rsid w:val="000C346D"/>
    <w:rsid w:val="000C3A1D"/>
    <w:rsid w:val="000C3FDD"/>
    <w:rsid w:val="000C40B5"/>
    <w:rsid w:val="000C4A67"/>
    <w:rsid w:val="000C5023"/>
    <w:rsid w:val="000C5472"/>
    <w:rsid w:val="000C6375"/>
    <w:rsid w:val="000C6E35"/>
    <w:rsid w:val="000C7C82"/>
    <w:rsid w:val="000D061B"/>
    <w:rsid w:val="000D0E36"/>
    <w:rsid w:val="000D1727"/>
    <w:rsid w:val="000D1CD8"/>
    <w:rsid w:val="000D2451"/>
    <w:rsid w:val="000D2C7A"/>
    <w:rsid w:val="000D31E0"/>
    <w:rsid w:val="000D32C3"/>
    <w:rsid w:val="000D3FF5"/>
    <w:rsid w:val="000D47A5"/>
    <w:rsid w:val="000D5BE6"/>
    <w:rsid w:val="000D5C5B"/>
    <w:rsid w:val="000D6776"/>
    <w:rsid w:val="000D6E62"/>
    <w:rsid w:val="000D6EFE"/>
    <w:rsid w:val="000D7546"/>
    <w:rsid w:val="000D7B0A"/>
    <w:rsid w:val="000E0110"/>
    <w:rsid w:val="000E0E22"/>
    <w:rsid w:val="000E183C"/>
    <w:rsid w:val="000E2A05"/>
    <w:rsid w:val="000E3802"/>
    <w:rsid w:val="000E71AC"/>
    <w:rsid w:val="000E7656"/>
    <w:rsid w:val="000E7935"/>
    <w:rsid w:val="000F0769"/>
    <w:rsid w:val="000F0E89"/>
    <w:rsid w:val="000F1F3A"/>
    <w:rsid w:val="000F2BB6"/>
    <w:rsid w:val="000F3A4A"/>
    <w:rsid w:val="000F411F"/>
    <w:rsid w:val="000F476A"/>
    <w:rsid w:val="000F5FB2"/>
    <w:rsid w:val="000F64F1"/>
    <w:rsid w:val="000F69D8"/>
    <w:rsid w:val="000F6D69"/>
    <w:rsid w:val="0010032A"/>
    <w:rsid w:val="00100444"/>
    <w:rsid w:val="001011A2"/>
    <w:rsid w:val="00101AF2"/>
    <w:rsid w:val="00101CFF"/>
    <w:rsid w:val="0010237F"/>
    <w:rsid w:val="00103B4C"/>
    <w:rsid w:val="00106DD6"/>
    <w:rsid w:val="001070C6"/>
    <w:rsid w:val="0010785A"/>
    <w:rsid w:val="0011171F"/>
    <w:rsid w:val="001127EB"/>
    <w:rsid w:val="0011285A"/>
    <w:rsid w:val="00112886"/>
    <w:rsid w:val="00112B31"/>
    <w:rsid w:val="0011304A"/>
    <w:rsid w:val="00113132"/>
    <w:rsid w:val="00113811"/>
    <w:rsid w:val="00114F82"/>
    <w:rsid w:val="00115CB6"/>
    <w:rsid w:val="00115F42"/>
    <w:rsid w:val="00115F56"/>
    <w:rsid w:val="001175B8"/>
    <w:rsid w:val="001176F5"/>
    <w:rsid w:val="0011776E"/>
    <w:rsid w:val="001177ED"/>
    <w:rsid w:val="00117C1B"/>
    <w:rsid w:val="00117F45"/>
    <w:rsid w:val="001206DF"/>
    <w:rsid w:val="001207CC"/>
    <w:rsid w:val="001209C6"/>
    <w:rsid w:val="001209E3"/>
    <w:rsid w:val="001217DA"/>
    <w:rsid w:val="00121919"/>
    <w:rsid w:val="0012200C"/>
    <w:rsid w:val="00122397"/>
    <w:rsid w:val="00122D43"/>
    <w:rsid w:val="00123172"/>
    <w:rsid w:val="00123422"/>
    <w:rsid w:val="00123E63"/>
    <w:rsid w:val="00124313"/>
    <w:rsid w:val="001254C1"/>
    <w:rsid w:val="0012618D"/>
    <w:rsid w:val="00126DF0"/>
    <w:rsid w:val="00126EEE"/>
    <w:rsid w:val="001275EC"/>
    <w:rsid w:val="00127760"/>
    <w:rsid w:val="00130699"/>
    <w:rsid w:val="00130846"/>
    <w:rsid w:val="0013187C"/>
    <w:rsid w:val="00131C1F"/>
    <w:rsid w:val="0013220F"/>
    <w:rsid w:val="001328F3"/>
    <w:rsid w:val="00132C0B"/>
    <w:rsid w:val="0013472D"/>
    <w:rsid w:val="00134BF0"/>
    <w:rsid w:val="00134D61"/>
    <w:rsid w:val="001355A5"/>
    <w:rsid w:val="00136EDD"/>
    <w:rsid w:val="001373E9"/>
    <w:rsid w:val="001374BF"/>
    <w:rsid w:val="001402B7"/>
    <w:rsid w:val="001411A5"/>
    <w:rsid w:val="00141358"/>
    <w:rsid w:val="00141378"/>
    <w:rsid w:val="00141AB0"/>
    <w:rsid w:val="00142922"/>
    <w:rsid w:val="00143DE9"/>
    <w:rsid w:val="001449FC"/>
    <w:rsid w:val="00145A21"/>
    <w:rsid w:val="001462B0"/>
    <w:rsid w:val="001477E2"/>
    <w:rsid w:val="001519BB"/>
    <w:rsid w:val="0015289E"/>
    <w:rsid w:val="00152922"/>
    <w:rsid w:val="00152F11"/>
    <w:rsid w:val="00153BE6"/>
    <w:rsid w:val="00155490"/>
    <w:rsid w:val="00155EAB"/>
    <w:rsid w:val="0015672D"/>
    <w:rsid w:val="0016010F"/>
    <w:rsid w:val="00160312"/>
    <w:rsid w:val="00161FF7"/>
    <w:rsid w:val="001625FE"/>
    <w:rsid w:val="001638F8"/>
    <w:rsid w:val="0016458B"/>
    <w:rsid w:val="001647DC"/>
    <w:rsid w:val="00164B74"/>
    <w:rsid w:val="00164E10"/>
    <w:rsid w:val="00165690"/>
    <w:rsid w:val="00165949"/>
    <w:rsid w:val="00166D3E"/>
    <w:rsid w:val="00167BB4"/>
    <w:rsid w:val="00170479"/>
    <w:rsid w:val="0017134B"/>
    <w:rsid w:val="00171EDE"/>
    <w:rsid w:val="00171F23"/>
    <w:rsid w:val="00172F3C"/>
    <w:rsid w:val="0017359C"/>
    <w:rsid w:val="001736DB"/>
    <w:rsid w:val="0017408B"/>
    <w:rsid w:val="001751EE"/>
    <w:rsid w:val="00175E7E"/>
    <w:rsid w:val="00176995"/>
    <w:rsid w:val="00176C70"/>
    <w:rsid w:val="00176CE5"/>
    <w:rsid w:val="00177316"/>
    <w:rsid w:val="001774A9"/>
    <w:rsid w:val="00177E7F"/>
    <w:rsid w:val="001805C7"/>
    <w:rsid w:val="00180A28"/>
    <w:rsid w:val="00181C23"/>
    <w:rsid w:val="00182282"/>
    <w:rsid w:val="00182429"/>
    <w:rsid w:val="00182561"/>
    <w:rsid w:val="0018464F"/>
    <w:rsid w:val="00184DE2"/>
    <w:rsid w:val="00184E56"/>
    <w:rsid w:val="0018586C"/>
    <w:rsid w:val="00186932"/>
    <w:rsid w:val="001869EB"/>
    <w:rsid w:val="00186C0E"/>
    <w:rsid w:val="001875F7"/>
    <w:rsid w:val="00190837"/>
    <w:rsid w:val="00192FA9"/>
    <w:rsid w:val="0019489E"/>
    <w:rsid w:val="00194E08"/>
    <w:rsid w:val="00195B2C"/>
    <w:rsid w:val="0019793D"/>
    <w:rsid w:val="00197A1E"/>
    <w:rsid w:val="001A0CAD"/>
    <w:rsid w:val="001A1CA7"/>
    <w:rsid w:val="001A2346"/>
    <w:rsid w:val="001A2910"/>
    <w:rsid w:val="001A2F10"/>
    <w:rsid w:val="001A4CE3"/>
    <w:rsid w:val="001A6597"/>
    <w:rsid w:val="001A6FF2"/>
    <w:rsid w:val="001A75F4"/>
    <w:rsid w:val="001A7BB5"/>
    <w:rsid w:val="001B0B19"/>
    <w:rsid w:val="001B1053"/>
    <w:rsid w:val="001B1920"/>
    <w:rsid w:val="001B34C8"/>
    <w:rsid w:val="001B3CBF"/>
    <w:rsid w:val="001B40A9"/>
    <w:rsid w:val="001B6687"/>
    <w:rsid w:val="001B6B51"/>
    <w:rsid w:val="001B6DF0"/>
    <w:rsid w:val="001B6E94"/>
    <w:rsid w:val="001B753A"/>
    <w:rsid w:val="001B7981"/>
    <w:rsid w:val="001B7BDD"/>
    <w:rsid w:val="001C0A93"/>
    <w:rsid w:val="001C21B0"/>
    <w:rsid w:val="001C36E2"/>
    <w:rsid w:val="001C3EE3"/>
    <w:rsid w:val="001C4216"/>
    <w:rsid w:val="001C47F4"/>
    <w:rsid w:val="001C4E97"/>
    <w:rsid w:val="001C5F5E"/>
    <w:rsid w:val="001C641C"/>
    <w:rsid w:val="001C682A"/>
    <w:rsid w:val="001C7B72"/>
    <w:rsid w:val="001D000C"/>
    <w:rsid w:val="001D03D3"/>
    <w:rsid w:val="001D06C1"/>
    <w:rsid w:val="001D1083"/>
    <w:rsid w:val="001D10EB"/>
    <w:rsid w:val="001D2518"/>
    <w:rsid w:val="001D2BEE"/>
    <w:rsid w:val="001D311E"/>
    <w:rsid w:val="001D45D8"/>
    <w:rsid w:val="001D4780"/>
    <w:rsid w:val="001D51E0"/>
    <w:rsid w:val="001D5504"/>
    <w:rsid w:val="001D57A7"/>
    <w:rsid w:val="001D5964"/>
    <w:rsid w:val="001D650C"/>
    <w:rsid w:val="001D72D3"/>
    <w:rsid w:val="001D72EB"/>
    <w:rsid w:val="001E16AE"/>
    <w:rsid w:val="001E1877"/>
    <w:rsid w:val="001E3F3C"/>
    <w:rsid w:val="001E442C"/>
    <w:rsid w:val="001E537E"/>
    <w:rsid w:val="001E5D23"/>
    <w:rsid w:val="001E6401"/>
    <w:rsid w:val="001F0161"/>
    <w:rsid w:val="001F11F9"/>
    <w:rsid w:val="001F46D6"/>
    <w:rsid w:val="001F4F59"/>
    <w:rsid w:val="001F5286"/>
    <w:rsid w:val="001F607A"/>
    <w:rsid w:val="00201BE4"/>
    <w:rsid w:val="00201EDA"/>
    <w:rsid w:val="00201F26"/>
    <w:rsid w:val="002020B0"/>
    <w:rsid w:val="002022AD"/>
    <w:rsid w:val="002030FD"/>
    <w:rsid w:val="002036AA"/>
    <w:rsid w:val="00203CA8"/>
    <w:rsid w:val="00204080"/>
    <w:rsid w:val="00204CAE"/>
    <w:rsid w:val="00205A0F"/>
    <w:rsid w:val="00205A34"/>
    <w:rsid w:val="00205D96"/>
    <w:rsid w:val="00205E42"/>
    <w:rsid w:val="00205E99"/>
    <w:rsid w:val="0020626A"/>
    <w:rsid w:val="002071DE"/>
    <w:rsid w:val="002078C0"/>
    <w:rsid w:val="002131C8"/>
    <w:rsid w:val="00213645"/>
    <w:rsid w:val="00213A98"/>
    <w:rsid w:val="0021401A"/>
    <w:rsid w:val="002141F2"/>
    <w:rsid w:val="00215A00"/>
    <w:rsid w:val="0021602D"/>
    <w:rsid w:val="00216137"/>
    <w:rsid w:val="0021642F"/>
    <w:rsid w:val="00222781"/>
    <w:rsid w:val="00222C1C"/>
    <w:rsid w:val="00223C7D"/>
    <w:rsid w:val="0022421F"/>
    <w:rsid w:val="00224654"/>
    <w:rsid w:val="002248F2"/>
    <w:rsid w:val="0022507F"/>
    <w:rsid w:val="00225706"/>
    <w:rsid w:val="00226058"/>
    <w:rsid w:val="00226114"/>
    <w:rsid w:val="00226230"/>
    <w:rsid w:val="00226471"/>
    <w:rsid w:val="00231771"/>
    <w:rsid w:val="00231C50"/>
    <w:rsid w:val="00232784"/>
    <w:rsid w:val="002333D8"/>
    <w:rsid w:val="00234772"/>
    <w:rsid w:val="00234A72"/>
    <w:rsid w:val="00235101"/>
    <w:rsid w:val="00241196"/>
    <w:rsid w:val="00241DCF"/>
    <w:rsid w:val="00242B72"/>
    <w:rsid w:val="00243312"/>
    <w:rsid w:val="002443DD"/>
    <w:rsid w:val="00244878"/>
    <w:rsid w:val="0024504E"/>
    <w:rsid w:val="002455E2"/>
    <w:rsid w:val="00245A44"/>
    <w:rsid w:val="0024613E"/>
    <w:rsid w:val="002463EA"/>
    <w:rsid w:val="00246D3C"/>
    <w:rsid w:val="002473C7"/>
    <w:rsid w:val="0024791A"/>
    <w:rsid w:val="00247999"/>
    <w:rsid w:val="00247DAF"/>
    <w:rsid w:val="002501F4"/>
    <w:rsid w:val="002506C4"/>
    <w:rsid w:val="00250A18"/>
    <w:rsid w:val="0025278D"/>
    <w:rsid w:val="00252B09"/>
    <w:rsid w:val="00252C58"/>
    <w:rsid w:val="00253014"/>
    <w:rsid w:val="002534FF"/>
    <w:rsid w:val="00253868"/>
    <w:rsid w:val="00253896"/>
    <w:rsid w:val="00255175"/>
    <w:rsid w:val="002554DC"/>
    <w:rsid w:val="00256437"/>
    <w:rsid w:val="002569D6"/>
    <w:rsid w:val="00256E4D"/>
    <w:rsid w:val="00256F8B"/>
    <w:rsid w:val="002577F5"/>
    <w:rsid w:val="0026169F"/>
    <w:rsid w:val="0026187A"/>
    <w:rsid w:val="00261E34"/>
    <w:rsid w:val="00262BDD"/>
    <w:rsid w:val="00264311"/>
    <w:rsid w:val="00264594"/>
    <w:rsid w:val="002646F8"/>
    <w:rsid w:val="00264D53"/>
    <w:rsid w:val="00266ECA"/>
    <w:rsid w:val="00267322"/>
    <w:rsid w:val="00267A58"/>
    <w:rsid w:val="00267CE1"/>
    <w:rsid w:val="002701D0"/>
    <w:rsid w:val="002705DF"/>
    <w:rsid w:val="00271147"/>
    <w:rsid w:val="002711F3"/>
    <w:rsid w:val="00271755"/>
    <w:rsid w:val="00271984"/>
    <w:rsid w:val="00273C52"/>
    <w:rsid w:val="00273F14"/>
    <w:rsid w:val="00273FF3"/>
    <w:rsid w:val="0027411B"/>
    <w:rsid w:val="00274B12"/>
    <w:rsid w:val="00274EA8"/>
    <w:rsid w:val="00276232"/>
    <w:rsid w:val="00277F9C"/>
    <w:rsid w:val="00280857"/>
    <w:rsid w:val="0028130A"/>
    <w:rsid w:val="00282108"/>
    <w:rsid w:val="00282DB0"/>
    <w:rsid w:val="00283082"/>
    <w:rsid w:val="00283543"/>
    <w:rsid w:val="00284228"/>
    <w:rsid w:val="002842FE"/>
    <w:rsid w:val="002847F8"/>
    <w:rsid w:val="00286263"/>
    <w:rsid w:val="00286623"/>
    <w:rsid w:val="00286D0E"/>
    <w:rsid w:val="002900BA"/>
    <w:rsid w:val="00290513"/>
    <w:rsid w:val="0029078C"/>
    <w:rsid w:val="00290816"/>
    <w:rsid w:val="00290F06"/>
    <w:rsid w:val="00290FE1"/>
    <w:rsid w:val="002916C5"/>
    <w:rsid w:val="00291842"/>
    <w:rsid w:val="00291A19"/>
    <w:rsid w:val="00292E78"/>
    <w:rsid w:val="002930BC"/>
    <w:rsid w:val="00293510"/>
    <w:rsid w:val="00294711"/>
    <w:rsid w:val="00294A5C"/>
    <w:rsid w:val="00296709"/>
    <w:rsid w:val="00296E4E"/>
    <w:rsid w:val="00297F70"/>
    <w:rsid w:val="002A01E8"/>
    <w:rsid w:val="002A0A94"/>
    <w:rsid w:val="002A1484"/>
    <w:rsid w:val="002A1E7D"/>
    <w:rsid w:val="002A2453"/>
    <w:rsid w:val="002A4C55"/>
    <w:rsid w:val="002A4EA4"/>
    <w:rsid w:val="002A5DC0"/>
    <w:rsid w:val="002A6838"/>
    <w:rsid w:val="002A6F5B"/>
    <w:rsid w:val="002A7164"/>
    <w:rsid w:val="002A741D"/>
    <w:rsid w:val="002A7723"/>
    <w:rsid w:val="002A77A6"/>
    <w:rsid w:val="002B01BC"/>
    <w:rsid w:val="002B0246"/>
    <w:rsid w:val="002B0BE6"/>
    <w:rsid w:val="002B1BC4"/>
    <w:rsid w:val="002B2627"/>
    <w:rsid w:val="002B2D20"/>
    <w:rsid w:val="002B3134"/>
    <w:rsid w:val="002B350B"/>
    <w:rsid w:val="002B35C4"/>
    <w:rsid w:val="002B5C55"/>
    <w:rsid w:val="002B61E1"/>
    <w:rsid w:val="002B6A59"/>
    <w:rsid w:val="002B731F"/>
    <w:rsid w:val="002B7502"/>
    <w:rsid w:val="002B796E"/>
    <w:rsid w:val="002B7CEC"/>
    <w:rsid w:val="002B7EB5"/>
    <w:rsid w:val="002C0B54"/>
    <w:rsid w:val="002C11B6"/>
    <w:rsid w:val="002C16A3"/>
    <w:rsid w:val="002C1B51"/>
    <w:rsid w:val="002C22A5"/>
    <w:rsid w:val="002C3454"/>
    <w:rsid w:val="002C3E6C"/>
    <w:rsid w:val="002C3EBB"/>
    <w:rsid w:val="002C416E"/>
    <w:rsid w:val="002C4400"/>
    <w:rsid w:val="002C4AC4"/>
    <w:rsid w:val="002C5196"/>
    <w:rsid w:val="002C53D9"/>
    <w:rsid w:val="002C6C23"/>
    <w:rsid w:val="002D027D"/>
    <w:rsid w:val="002D0E9A"/>
    <w:rsid w:val="002D1113"/>
    <w:rsid w:val="002D111E"/>
    <w:rsid w:val="002D1A4D"/>
    <w:rsid w:val="002D1ADD"/>
    <w:rsid w:val="002D2D0C"/>
    <w:rsid w:val="002D3207"/>
    <w:rsid w:val="002D350F"/>
    <w:rsid w:val="002D3C91"/>
    <w:rsid w:val="002D4739"/>
    <w:rsid w:val="002D47F6"/>
    <w:rsid w:val="002D4BF7"/>
    <w:rsid w:val="002D605A"/>
    <w:rsid w:val="002D6AD8"/>
    <w:rsid w:val="002D6C29"/>
    <w:rsid w:val="002E081C"/>
    <w:rsid w:val="002E0BE7"/>
    <w:rsid w:val="002E1B29"/>
    <w:rsid w:val="002E2A7F"/>
    <w:rsid w:val="002E33B4"/>
    <w:rsid w:val="002E388C"/>
    <w:rsid w:val="002E4DF8"/>
    <w:rsid w:val="002E53AE"/>
    <w:rsid w:val="002E5CF4"/>
    <w:rsid w:val="002E6A4B"/>
    <w:rsid w:val="002E6AB9"/>
    <w:rsid w:val="002E78DD"/>
    <w:rsid w:val="002E7AA1"/>
    <w:rsid w:val="002F0A76"/>
    <w:rsid w:val="002F0E4E"/>
    <w:rsid w:val="002F12C4"/>
    <w:rsid w:val="002F1EB0"/>
    <w:rsid w:val="002F2D00"/>
    <w:rsid w:val="002F2E02"/>
    <w:rsid w:val="002F4359"/>
    <w:rsid w:val="002F6992"/>
    <w:rsid w:val="002F710D"/>
    <w:rsid w:val="002F7849"/>
    <w:rsid w:val="00302571"/>
    <w:rsid w:val="00302BAB"/>
    <w:rsid w:val="00303705"/>
    <w:rsid w:val="00303CE6"/>
    <w:rsid w:val="00303D6C"/>
    <w:rsid w:val="0030474F"/>
    <w:rsid w:val="00306709"/>
    <w:rsid w:val="003067B9"/>
    <w:rsid w:val="00306FC0"/>
    <w:rsid w:val="00307129"/>
    <w:rsid w:val="00307885"/>
    <w:rsid w:val="00310044"/>
    <w:rsid w:val="003101D2"/>
    <w:rsid w:val="00310FCE"/>
    <w:rsid w:val="003111F2"/>
    <w:rsid w:val="003119B4"/>
    <w:rsid w:val="00312156"/>
    <w:rsid w:val="0031299D"/>
    <w:rsid w:val="003130F5"/>
    <w:rsid w:val="00313FAB"/>
    <w:rsid w:val="0031614A"/>
    <w:rsid w:val="00316EAA"/>
    <w:rsid w:val="00317CA9"/>
    <w:rsid w:val="0032003E"/>
    <w:rsid w:val="00320790"/>
    <w:rsid w:val="00320AD3"/>
    <w:rsid w:val="003217D0"/>
    <w:rsid w:val="00321852"/>
    <w:rsid w:val="00322030"/>
    <w:rsid w:val="00322779"/>
    <w:rsid w:val="00322B7C"/>
    <w:rsid w:val="00322D8F"/>
    <w:rsid w:val="00324DAA"/>
    <w:rsid w:val="00324E83"/>
    <w:rsid w:val="00325344"/>
    <w:rsid w:val="00326FC8"/>
    <w:rsid w:val="00330381"/>
    <w:rsid w:val="003321BF"/>
    <w:rsid w:val="003329DB"/>
    <w:rsid w:val="00332C11"/>
    <w:rsid w:val="00332FE6"/>
    <w:rsid w:val="00333706"/>
    <w:rsid w:val="00333A0D"/>
    <w:rsid w:val="0033451C"/>
    <w:rsid w:val="0033467C"/>
    <w:rsid w:val="003347C1"/>
    <w:rsid w:val="003352C4"/>
    <w:rsid w:val="00335490"/>
    <w:rsid w:val="003369D9"/>
    <w:rsid w:val="00337275"/>
    <w:rsid w:val="0033792F"/>
    <w:rsid w:val="00337D1A"/>
    <w:rsid w:val="003419A8"/>
    <w:rsid w:val="00341C2C"/>
    <w:rsid w:val="0034248C"/>
    <w:rsid w:val="00343412"/>
    <w:rsid w:val="00343D96"/>
    <w:rsid w:val="00344797"/>
    <w:rsid w:val="00345099"/>
    <w:rsid w:val="00345531"/>
    <w:rsid w:val="00345D58"/>
    <w:rsid w:val="00346F62"/>
    <w:rsid w:val="00350AD3"/>
    <w:rsid w:val="00350B18"/>
    <w:rsid w:val="00350BF9"/>
    <w:rsid w:val="00351CAA"/>
    <w:rsid w:val="003524FD"/>
    <w:rsid w:val="003547E7"/>
    <w:rsid w:val="00354E13"/>
    <w:rsid w:val="003550EE"/>
    <w:rsid w:val="00355DB7"/>
    <w:rsid w:val="00356416"/>
    <w:rsid w:val="003568A3"/>
    <w:rsid w:val="00357C62"/>
    <w:rsid w:val="003624FA"/>
    <w:rsid w:val="0036427A"/>
    <w:rsid w:val="003659CF"/>
    <w:rsid w:val="003661A4"/>
    <w:rsid w:val="00367307"/>
    <w:rsid w:val="003714FA"/>
    <w:rsid w:val="00371608"/>
    <w:rsid w:val="00371E6D"/>
    <w:rsid w:val="0037251F"/>
    <w:rsid w:val="00372A75"/>
    <w:rsid w:val="00374914"/>
    <w:rsid w:val="003751B2"/>
    <w:rsid w:val="0037523B"/>
    <w:rsid w:val="0037793C"/>
    <w:rsid w:val="00380228"/>
    <w:rsid w:val="00380826"/>
    <w:rsid w:val="00380BB2"/>
    <w:rsid w:val="00380C0B"/>
    <w:rsid w:val="00381E10"/>
    <w:rsid w:val="00383D45"/>
    <w:rsid w:val="00383E26"/>
    <w:rsid w:val="00383EF7"/>
    <w:rsid w:val="00384431"/>
    <w:rsid w:val="00386352"/>
    <w:rsid w:val="003865A0"/>
    <w:rsid w:val="00387185"/>
    <w:rsid w:val="003876C3"/>
    <w:rsid w:val="00387C8C"/>
    <w:rsid w:val="0039052A"/>
    <w:rsid w:val="003907D8"/>
    <w:rsid w:val="00390B54"/>
    <w:rsid w:val="00391E62"/>
    <w:rsid w:val="00391F40"/>
    <w:rsid w:val="003928F0"/>
    <w:rsid w:val="00393012"/>
    <w:rsid w:val="00393710"/>
    <w:rsid w:val="00394886"/>
    <w:rsid w:val="003967A6"/>
    <w:rsid w:val="003971CE"/>
    <w:rsid w:val="00397223"/>
    <w:rsid w:val="00397692"/>
    <w:rsid w:val="00397772"/>
    <w:rsid w:val="00397973"/>
    <w:rsid w:val="003A0E84"/>
    <w:rsid w:val="003A21CD"/>
    <w:rsid w:val="003A2B92"/>
    <w:rsid w:val="003A350C"/>
    <w:rsid w:val="003A3882"/>
    <w:rsid w:val="003A3E8B"/>
    <w:rsid w:val="003A4494"/>
    <w:rsid w:val="003A4590"/>
    <w:rsid w:val="003A65FB"/>
    <w:rsid w:val="003B03E4"/>
    <w:rsid w:val="003B0C4D"/>
    <w:rsid w:val="003B0F27"/>
    <w:rsid w:val="003B1D2A"/>
    <w:rsid w:val="003B2191"/>
    <w:rsid w:val="003B2395"/>
    <w:rsid w:val="003B24FE"/>
    <w:rsid w:val="003B25A2"/>
    <w:rsid w:val="003B376C"/>
    <w:rsid w:val="003B3EE9"/>
    <w:rsid w:val="003B418D"/>
    <w:rsid w:val="003B465A"/>
    <w:rsid w:val="003B68B7"/>
    <w:rsid w:val="003C026B"/>
    <w:rsid w:val="003C0CA9"/>
    <w:rsid w:val="003C20D1"/>
    <w:rsid w:val="003C510B"/>
    <w:rsid w:val="003C616E"/>
    <w:rsid w:val="003C66F3"/>
    <w:rsid w:val="003C7B6A"/>
    <w:rsid w:val="003D0C36"/>
    <w:rsid w:val="003D0DEA"/>
    <w:rsid w:val="003D168F"/>
    <w:rsid w:val="003D2943"/>
    <w:rsid w:val="003D29CD"/>
    <w:rsid w:val="003D3244"/>
    <w:rsid w:val="003D4A84"/>
    <w:rsid w:val="003D503C"/>
    <w:rsid w:val="003D5701"/>
    <w:rsid w:val="003D5FF7"/>
    <w:rsid w:val="003D6310"/>
    <w:rsid w:val="003D6F4F"/>
    <w:rsid w:val="003D72CD"/>
    <w:rsid w:val="003E03E3"/>
    <w:rsid w:val="003E1809"/>
    <w:rsid w:val="003E1CF3"/>
    <w:rsid w:val="003E25A9"/>
    <w:rsid w:val="003E2983"/>
    <w:rsid w:val="003E2DB4"/>
    <w:rsid w:val="003E347D"/>
    <w:rsid w:val="003E3896"/>
    <w:rsid w:val="003E393C"/>
    <w:rsid w:val="003E3F0A"/>
    <w:rsid w:val="003E5A4B"/>
    <w:rsid w:val="003E6E70"/>
    <w:rsid w:val="003E708C"/>
    <w:rsid w:val="003E7766"/>
    <w:rsid w:val="003E7C09"/>
    <w:rsid w:val="003F0001"/>
    <w:rsid w:val="003F0D38"/>
    <w:rsid w:val="003F2442"/>
    <w:rsid w:val="003F2ABE"/>
    <w:rsid w:val="003F3ECF"/>
    <w:rsid w:val="003F4154"/>
    <w:rsid w:val="003F49C7"/>
    <w:rsid w:val="003F6C50"/>
    <w:rsid w:val="003F702E"/>
    <w:rsid w:val="003F7169"/>
    <w:rsid w:val="003F7CFD"/>
    <w:rsid w:val="003F7E84"/>
    <w:rsid w:val="00401069"/>
    <w:rsid w:val="004015E4"/>
    <w:rsid w:val="00402889"/>
    <w:rsid w:val="00404B6F"/>
    <w:rsid w:val="00404DA7"/>
    <w:rsid w:val="004060BF"/>
    <w:rsid w:val="00410004"/>
    <w:rsid w:val="00410F14"/>
    <w:rsid w:val="004113B5"/>
    <w:rsid w:val="00412DAE"/>
    <w:rsid w:val="00413702"/>
    <w:rsid w:val="00413B6B"/>
    <w:rsid w:val="00417CF5"/>
    <w:rsid w:val="0042011D"/>
    <w:rsid w:val="00420DE4"/>
    <w:rsid w:val="00421DE6"/>
    <w:rsid w:val="0042246F"/>
    <w:rsid w:val="00423ABD"/>
    <w:rsid w:val="00423FFD"/>
    <w:rsid w:val="004243EB"/>
    <w:rsid w:val="00424A01"/>
    <w:rsid w:val="00424C6D"/>
    <w:rsid w:val="00424F5E"/>
    <w:rsid w:val="004255F6"/>
    <w:rsid w:val="00425F44"/>
    <w:rsid w:val="0042628A"/>
    <w:rsid w:val="00426913"/>
    <w:rsid w:val="00426B18"/>
    <w:rsid w:val="00426B78"/>
    <w:rsid w:val="004301B9"/>
    <w:rsid w:val="00430EE2"/>
    <w:rsid w:val="0043112D"/>
    <w:rsid w:val="004316E3"/>
    <w:rsid w:val="00431C78"/>
    <w:rsid w:val="004327AE"/>
    <w:rsid w:val="00432887"/>
    <w:rsid w:val="00432DF3"/>
    <w:rsid w:val="004330C8"/>
    <w:rsid w:val="00433C54"/>
    <w:rsid w:val="00433D91"/>
    <w:rsid w:val="00433FA7"/>
    <w:rsid w:val="00435081"/>
    <w:rsid w:val="00435DBB"/>
    <w:rsid w:val="004414B3"/>
    <w:rsid w:val="00442359"/>
    <w:rsid w:val="00442744"/>
    <w:rsid w:val="00442C6E"/>
    <w:rsid w:val="00444EC8"/>
    <w:rsid w:val="00445450"/>
    <w:rsid w:val="00446682"/>
    <w:rsid w:val="0044685F"/>
    <w:rsid w:val="004473F0"/>
    <w:rsid w:val="00447A6D"/>
    <w:rsid w:val="00447CA0"/>
    <w:rsid w:val="00450A41"/>
    <w:rsid w:val="00453D39"/>
    <w:rsid w:val="00454726"/>
    <w:rsid w:val="00456363"/>
    <w:rsid w:val="004602F0"/>
    <w:rsid w:val="00460E34"/>
    <w:rsid w:val="00461D24"/>
    <w:rsid w:val="00462131"/>
    <w:rsid w:val="004625E4"/>
    <w:rsid w:val="0046680B"/>
    <w:rsid w:val="004669F6"/>
    <w:rsid w:val="00466ABA"/>
    <w:rsid w:val="00471B5E"/>
    <w:rsid w:val="00471E2A"/>
    <w:rsid w:val="00472394"/>
    <w:rsid w:val="00472DE1"/>
    <w:rsid w:val="004753EC"/>
    <w:rsid w:val="00477351"/>
    <w:rsid w:val="00477CAB"/>
    <w:rsid w:val="004804CE"/>
    <w:rsid w:val="00481B84"/>
    <w:rsid w:val="00483059"/>
    <w:rsid w:val="00483DC5"/>
    <w:rsid w:val="0048442E"/>
    <w:rsid w:val="00484491"/>
    <w:rsid w:val="004848AB"/>
    <w:rsid w:val="00485000"/>
    <w:rsid w:val="00485082"/>
    <w:rsid w:val="004850D7"/>
    <w:rsid w:val="004853CC"/>
    <w:rsid w:val="00485427"/>
    <w:rsid w:val="00485C1A"/>
    <w:rsid w:val="00486C86"/>
    <w:rsid w:val="00487E9E"/>
    <w:rsid w:val="004903FF"/>
    <w:rsid w:val="00491E6D"/>
    <w:rsid w:val="00491F5A"/>
    <w:rsid w:val="00492412"/>
    <w:rsid w:val="00492A0C"/>
    <w:rsid w:val="00493397"/>
    <w:rsid w:val="0049643D"/>
    <w:rsid w:val="00497704"/>
    <w:rsid w:val="004A0E86"/>
    <w:rsid w:val="004A194D"/>
    <w:rsid w:val="004A27A1"/>
    <w:rsid w:val="004A378C"/>
    <w:rsid w:val="004A4261"/>
    <w:rsid w:val="004A4410"/>
    <w:rsid w:val="004A448F"/>
    <w:rsid w:val="004A44BA"/>
    <w:rsid w:val="004A4D4C"/>
    <w:rsid w:val="004A5A85"/>
    <w:rsid w:val="004A5B91"/>
    <w:rsid w:val="004A5E04"/>
    <w:rsid w:val="004A5F26"/>
    <w:rsid w:val="004A6510"/>
    <w:rsid w:val="004A6A5B"/>
    <w:rsid w:val="004B13CC"/>
    <w:rsid w:val="004B1D43"/>
    <w:rsid w:val="004B2748"/>
    <w:rsid w:val="004B2DAF"/>
    <w:rsid w:val="004B392F"/>
    <w:rsid w:val="004B46FD"/>
    <w:rsid w:val="004B5421"/>
    <w:rsid w:val="004B5FC3"/>
    <w:rsid w:val="004B70FD"/>
    <w:rsid w:val="004B73C8"/>
    <w:rsid w:val="004C1166"/>
    <w:rsid w:val="004C4F55"/>
    <w:rsid w:val="004C5DB6"/>
    <w:rsid w:val="004C614A"/>
    <w:rsid w:val="004C6A3E"/>
    <w:rsid w:val="004C73C2"/>
    <w:rsid w:val="004C7578"/>
    <w:rsid w:val="004D00E4"/>
    <w:rsid w:val="004D1FCC"/>
    <w:rsid w:val="004D23C2"/>
    <w:rsid w:val="004D31A8"/>
    <w:rsid w:val="004D345F"/>
    <w:rsid w:val="004D46E8"/>
    <w:rsid w:val="004D4B6E"/>
    <w:rsid w:val="004D6132"/>
    <w:rsid w:val="004D62A6"/>
    <w:rsid w:val="004D63C2"/>
    <w:rsid w:val="004D6678"/>
    <w:rsid w:val="004D77BF"/>
    <w:rsid w:val="004D7A6E"/>
    <w:rsid w:val="004E0960"/>
    <w:rsid w:val="004E1FF2"/>
    <w:rsid w:val="004E37BB"/>
    <w:rsid w:val="004E42C8"/>
    <w:rsid w:val="004E4CDA"/>
    <w:rsid w:val="004E680C"/>
    <w:rsid w:val="004E69A5"/>
    <w:rsid w:val="004E6B3B"/>
    <w:rsid w:val="004F135F"/>
    <w:rsid w:val="004F209F"/>
    <w:rsid w:val="004F414D"/>
    <w:rsid w:val="004F491F"/>
    <w:rsid w:val="004F4FEF"/>
    <w:rsid w:val="004F5B5B"/>
    <w:rsid w:val="004F745E"/>
    <w:rsid w:val="004F74AB"/>
    <w:rsid w:val="005008D7"/>
    <w:rsid w:val="00500A42"/>
    <w:rsid w:val="00501186"/>
    <w:rsid w:val="00501C2E"/>
    <w:rsid w:val="00502E50"/>
    <w:rsid w:val="0050315F"/>
    <w:rsid w:val="005038DF"/>
    <w:rsid w:val="00504155"/>
    <w:rsid w:val="00504697"/>
    <w:rsid w:val="005067B8"/>
    <w:rsid w:val="005070EA"/>
    <w:rsid w:val="005071B9"/>
    <w:rsid w:val="00507F91"/>
    <w:rsid w:val="00510097"/>
    <w:rsid w:val="0051077D"/>
    <w:rsid w:val="005107C7"/>
    <w:rsid w:val="00512207"/>
    <w:rsid w:val="0051285E"/>
    <w:rsid w:val="0051294A"/>
    <w:rsid w:val="00512AD4"/>
    <w:rsid w:val="00512F15"/>
    <w:rsid w:val="0051363E"/>
    <w:rsid w:val="00514172"/>
    <w:rsid w:val="005145C4"/>
    <w:rsid w:val="00514FDC"/>
    <w:rsid w:val="00515537"/>
    <w:rsid w:val="0051590A"/>
    <w:rsid w:val="0051673E"/>
    <w:rsid w:val="00516AD4"/>
    <w:rsid w:val="00517129"/>
    <w:rsid w:val="00517813"/>
    <w:rsid w:val="00517BF4"/>
    <w:rsid w:val="00517C32"/>
    <w:rsid w:val="00517E58"/>
    <w:rsid w:val="00520217"/>
    <w:rsid w:val="00520C9A"/>
    <w:rsid w:val="00520E3A"/>
    <w:rsid w:val="0052149B"/>
    <w:rsid w:val="00523A0D"/>
    <w:rsid w:val="00524321"/>
    <w:rsid w:val="00524526"/>
    <w:rsid w:val="00525766"/>
    <w:rsid w:val="00526504"/>
    <w:rsid w:val="005265E6"/>
    <w:rsid w:val="00526C5E"/>
    <w:rsid w:val="00530505"/>
    <w:rsid w:val="0053075F"/>
    <w:rsid w:val="00530836"/>
    <w:rsid w:val="005308CC"/>
    <w:rsid w:val="00531277"/>
    <w:rsid w:val="005313C6"/>
    <w:rsid w:val="005320FE"/>
    <w:rsid w:val="00532763"/>
    <w:rsid w:val="005328F7"/>
    <w:rsid w:val="00532C70"/>
    <w:rsid w:val="00532E58"/>
    <w:rsid w:val="00533354"/>
    <w:rsid w:val="00533A9D"/>
    <w:rsid w:val="00533E62"/>
    <w:rsid w:val="00534FAC"/>
    <w:rsid w:val="0053729A"/>
    <w:rsid w:val="0054022F"/>
    <w:rsid w:val="005402B6"/>
    <w:rsid w:val="005402D0"/>
    <w:rsid w:val="005406C1"/>
    <w:rsid w:val="00540F3E"/>
    <w:rsid w:val="00541E19"/>
    <w:rsid w:val="00542017"/>
    <w:rsid w:val="005420A4"/>
    <w:rsid w:val="0054438E"/>
    <w:rsid w:val="0054454C"/>
    <w:rsid w:val="005446CF"/>
    <w:rsid w:val="005451CD"/>
    <w:rsid w:val="0054731F"/>
    <w:rsid w:val="00547754"/>
    <w:rsid w:val="00547F26"/>
    <w:rsid w:val="0055099D"/>
    <w:rsid w:val="00551B19"/>
    <w:rsid w:val="00551E44"/>
    <w:rsid w:val="0055269C"/>
    <w:rsid w:val="00552C7A"/>
    <w:rsid w:val="00553636"/>
    <w:rsid w:val="0055471C"/>
    <w:rsid w:val="00557AEB"/>
    <w:rsid w:val="00560449"/>
    <w:rsid w:val="00560B2A"/>
    <w:rsid w:val="005623D1"/>
    <w:rsid w:val="005638A8"/>
    <w:rsid w:val="00563B26"/>
    <w:rsid w:val="00563DE8"/>
    <w:rsid w:val="00564036"/>
    <w:rsid w:val="005640BC"/>
    <w:rsid w:val="00564C78"/>
    <w:rsid w:val="005651A9"/>
    <w:rsid w:val="005658E4"/>
    <w:rsid w:val="00565E22"/>
    <w:rsid w:val="005665CA"/>
    <w:rsid w:val="00566CD4"/>
    <w:rsid w:val="00567C45"/>
    <w:rsid w:val="00570482"/>
    <w:rsid w:val="005707F6"/>
    <w:rsid w:val="00570B26"/>
    <w:rsid w:val="00571CA2"/>
    <w:rsid w:val="00571E86"/>
    <w:rsid w:val="005739EC"/>
    <w:rsid w:val="00573DF0"/>
    <w:rsid w:val="00574FF2"/>
    <w:rsid w:val="00575212"/>
    <w:rsid w:val="0057521A"/>
    <w:rsid w:val="00575297"/>
    <w:rsid w:val="0057603F"/>
    <w:rsid w:val="0057666A"/>
    <w:rsid w:val="00580119"/>
    <w:rsid w:val="0058012F"/>
    <w:rsid w:val="00580348"/>
    <w:rsid w:val="00582800"/>
    <w:rsid w:val="0058389F"/>
    <w:rsid w:val="00583AB7"/>
    <w:rsid w:val="005842F2"/>
    <w:rsid w:val="005864DC"/>
    <w:rsid w:val="00586939"/>
    <w:rsid w:val="00586C7E"/>
    <w:rsid w:val="00587734"/>
    <w:rsid w:val="0058776B"/>
    <w:rsid w:val="00587D71"/>
    <w:rsid w:val="005908A6"/>
    <w:rsid w:val="00591124"/>
    <w:rsid w:val="00591254"/>
    <w:rsid w:val="005919BB"/>
    <w:rsid w:val="00591CB4"/>
    <w:rsid w:val="005922CA"/>
    <w:rsid w:val="005938ED"/>
    <w:rsid w:val="00593A11"/>
    <w:rsid w:val="00594CFC"/>
    <w:rsid w:val="005960B4"/>
    <w:rsid w:val="005979BF"/>
    <w:rsid w:val="00597E15"/>
    <w:rsid w:val="005A01E8"/>
    <w:rsid w:val="005A0669"/>
    <w:rsid w:val="005A1E83"/>
    <w:rsid w:val="005A20E2"/>
    <w:rsid w:val="005A43FF"/>
    <w:rsid w:val="005A64F8"/>
    <w:rsid w:val="005A652F"/>
    <w:rsid w:val="005A7147"/>
    <w:rsid w:val="005A7337"/>
    <w:rsid w:val="005A7649"/>
    <w:rsid w:val="005A77C6"/>
    <w:rsid w:val="005B07D7"/>
    <w:rsid w:val="005B0882"/>
    <w:rsid w:val="005B1019"/>
    <w:rsid w:val="005B10A8"/>
    <w:rsid w:val="005B1C6D"/>
    <w:rsid w:val="005B2AE2"/>
    <w:rsid w:val="005B2F8C"/>
    <w:rsid w:val="005B3F3F"/>
    <w:rsid w:val="005B486A"/>
    <w:rsid w:val="005B4B6A"/>
    <w:rsid w:val="005B4CF9"/>
    <w:rsid w:val="005B5120"/>
    <w:rsid w:val="005B55D8"/>
    <w:rsid w:val="005B59C6"/>
    <w:rsid w:val="005B5F1D"/>
    <w:rsid w:val="005B6211"/>
    <w:rsid w:val="005B674B"/>
    <w:rsid w:val="005B7A88"/>
    <w:rsid w:val="005C0AE7"/>
    <w:rsid w:val="005C0B52"/>
    <w:rsid w:val="005C1807"/>
    <w:rsid w:val="005C1F59"/>
    <w:rsid w:val="005C21EC"/>
    <w:rsid w:val="005C3327"/>
    <w:rsid w:val="005C3E11"/>
    <w:rsid w:val="005C53BA"/>
    <w:rsid w:val="005C5FDB"/>
    <w:rsid w:val="005C62CC"/>
    <w:rsid w:val="005C6C27"/>
    <w:rsid w:val="005C7080"/>
    <w:rsid w:val="005D022A"/>
    <w:rsid w:val="005D0677"/>
    <w:rsid w:val="005D137A"/>
    <w:rsid w:val="005D30D3"/>
    <w:rsid w:val="005D4106"/>
    <w:rsid w:val="005D4753"/>
    <w:rsid w:val="005D5C11"/>
    <w:rsid w:val="005D6E56"/>
    <w:rsid w:val="005D7007"/>
    <w:rsid w:val="005E01C7"/>
    <w:rsid w:val="005E03DD"/>
    <w:rsid w:val="005E044F"/>
    <w:rsid w:val="005E0568"/>
    <w:rsid w:val="005E08C5"/>
    <w:rsid w:val="005E0D35"/>
    <w:rsid w:val="005E1BF1"/>
    <w:rsid w:val="005E361A"/>
    <w:rsid w:val="005E37AA"/>
    <w:rsid w:val="005E47FB"/>
    <w:rsid w:val="005E53A8"/>
    <w:rsid w:val="005E5988"/>
    <w:rsid w:val="005E63A5"/>
    <w:rsid w:val="005E63BC"/>
    <w:rsid w:val="005E649F"/>
    <w:rsid w:val="005E6A2F"/>
    <w:rsid w:val="005E7098"/>
    <w:rsid w:val="005E755C"/>
    <w:rsid w:val="005F2C14"/>
    <w:rsid w:val="005F2F58"/>
    <w:rsid w:val="005F2FCC"/>
    <w:rsid w:val="005F3D0F"/>
    <w:rsid w:val="005F6251"/>
    <w:rsid w:val="005F6965"/>
    <w:rsid w:val="005F6FA3"/>
    <w:rsid w:val="00600D27"/>
    <w:rsid w:val="00601E63"/>
    <w:rsid w:val="0060388E"/>
    <w:rsid w:val="00604B3A"/>
    <w:rsid w:val="00604CBF"/>
    <w:rsid w:val="00605AD2"/>
    <w:rsid w:val="006116CD"/>
    <w:rsid w:val="00611EBB"/>
    <w:rsid w:val="00612BE5"/>
    <w:rsid w:val="0061376D"/>
    <w:rsid w:val="0061413E"/>
    <w:rsid w:val="00614A36"/>
    <w:rsid w:val="00614C9F"/>
    <w:rsid w:val="00614EB6"/>
    <w:rsid w:val="0061588E"/>
    <w:rsid w:val="00615FFE"/>
    <w:rsid w:val="00616B2B"/>
    <w:rsid w:val="0062070A"/>
    <w:rsid w:val="0062126F"/>
    <w:rsid w:val="00622445"/>
    <w:rsid w:val="00622C82"/>
    <w:rsid w:val="00622D12"/>
    <w:rsid w:val="00623908"/>
    <w:rsid w:val="00623FB8"/>
    <w:rsid w:val="006248BD"/>
    <w:rsid w:val="006257C0"/>
    <w:rsid w:val="00625FB8"/>
    <w:rsid w:val="0062651B"/>
    <w:rsid w:val="00626D8E"/>
    <w:rsid w:val="0062730B"/>
    <w:rsid w:val="006273E0"/>
    <w:rsid w:val="00627561"/>
    <w:rsid w:val="00627663"/>
    <w:rsid w:val="00627A02"/>
    <w:rsid w:val="006300A6"/>
    <w:rsid w:val="00630BAA"/>
    <w:rsid w:val="0063195F"/>
    <w:rsid w:val="00632512"/>
    <w:rsid w:val="00632861"/>
    <w:rsid w:val="00635E00"/>
    <w:rsid w:val="00636C36"/>
    <w:rsid w:val="006377C1"/>
    <w:rsid w:val="00637DB4"/>
    <w:rsid w:val="00641BF5"/>
    <w:rsid w:val="00641DB0"/>
    <w:rsid w:val="00642343"/>
    <w:rsid w:val="00642470"/>
    <w:rsid w:val="00642501"/>
    <w:rsid w:val="006429ED"/>
    <w:rsid w:val="00643578"/>
    <w:rsid w:val="00651AA0"/>
    <w:rsid w:val="00651BD4"/>
    <w:rsid w:val="00651E60"/>
    <w:rsid w:val="0065261D"/>
    <w:rsid w:val="00654745"/>
    <w:rsid w:val="006549DB"/>
    <w:rsid w:val="00654AE9"/>
    <w:rsid w:val="00654EF4"/>
    <w:rsid w:val="00656D1C"/>
    <w:rsid w:val="00657372"/>
    <w:rsid w:val="00660183"/>
    <w:rsid w:val="00661450"/>
    <w:rsid w:val="00661CE7"/>
    <w:rsid w:val="00661DC0"/>
    <w:rsid w:val="00662499"/>
    <w:rsid w:val="006629CE"/>
    <w:rsid w:val="00663EA7"/>
    <w:rsid w:val="00664416"/>
    <w:rsid w:val="006648F3"/>
    <w:rsid w:val="00665710"/>
    <w:rsid w:val="00667C6D"/>
    <w:rsid w:val="0067017D"/>
    <w:rsid w:val="00670B28"/>
    <w:rsid w:val="00670C49"/>
    <w:rsid w:val="00671400"/>
    <w:rsid w:val="006714DD"/>
    <w:rsid w:val="006715E3"/>
    <w:rsid w:val="00672CCF"/>
    <w:rsid w:val="00674C95"/>
    <w:rsid w:val="0067518E"/>
    <w:rsid w:val="00675702"/>
    <w:rsid w:val="0067653E"/>
    <w:rsid w:val="006766CC"/>
    <w:rsid w:val="0067672E"/>
    <w:rsid w:val="006802F7"/>
    <w:rsid w:val="006814B0"/>
    <w:rsid w:val="00681873"/>
    <w:rsid w:val="00682757"/>
    <w:rsid w:val="006835F5"/>
    <w:rsid w:val="00684B0C"/>
    <w:rsid w:val="00685958"/>
    <w:rsid w:val="00685A1E"/>
    <w:rsid w:val="006862CE"/>
    <w:rsid w:val="00686632"/>
    <w:rsid w:val="00687335"/>
    <w:rsid w:val="0068787B"/>
    <w:rsid w:val="00687C0E"/>
    <w:rsid w:val="00687D2E"/>
    <w:rsid w:val="00687F29"/>
    <w:rsid w:val="00691AF2"/>
    <w:rsid w:val="00692053"/>
    <w:rsid w:val="00692896"/>
    <w:rsid w:val="00692E41"/>
    <w:rsid w:val="00693748"/>
    <w:rsid w:val="00693C7C"/>
    <w:rsid w:val="00693F90"/>
    <w:rsid w:val="00694C60"/>
    <w:rsid w:val="00695C5E"/>
    <w:rsid w:val="00696C48"/>
    <w:rsid w:val="00696EFF"/>
    <w:rsid w:val="0069701A"/>
    <w:rsid w:val="0069765E"/>
    <w:rsid w:val="006A1DCD"/>
    <w:rsid w:val="006A218F"/>
    <w:rsid w:val="006A389C"/>
    <w:rsid w:val="006A3ACB"/>
    <w:rsid w:val="006A3D38"/>
    <w:rsid w:val="006A3FFA"/>
    <w:rsid w:val="006A4668"/>
    <w:rsid w:val="006A488D"/>
    <w:rsid w:val="006A4EB1"/>
    <w:rsid w:val="006A5761"/>
    <w:rsid w:val="006A59BC"/>
    <w:rsid w:val="006A59D1"/>
    <w:rsid w:val="006A6583"/>
    <w:rsid w:val="006A71F9"/>
    <w:rsid w:val="006B165D"/>
    <w:rsid w:val="006B2A12"/>
    <w:rsid w:val="006B33B6"/>
    <w:rsid w:val="006B3E99"/>
    <w:rsid w:val="006B3EAA"/>
    <w:rsid w:val="006B4B39"/>
    <w:rsid w:val="006B4DDC"/>
    <w:rsid w:val="006B733F"/>
    <w:rsid w:val="006C05BE"/>
    <w:rsid w:val="006C0A4A"/>
    <w:rsid w:val="006C0CDC"/>
    <w:rsid w:val="006C1182"/>
    <w:rsid w:val="006C1DA4"/>
    <w:rsid w:val="006C3AE1"/>
    <w:rsid w:val="006C5092"/>
    <w:rsid w:val="006C68C5"/>
    <w:rsid w:val="006C69B7"/>
    <w:rsid w:val="006C6B38"/>
    <w:rsid w:val="006C6BCF"/>
    <w:rsid w:val="006C706B"/>
    <w:rsid w:val="006D014F"/>
    <w:rsid w:val="006D01E1"/>
    <w:rsid w:val="006D05EC"/>
    <w:rsid w:val="006D1A41"/>
    <w:rsid w:val="006D2D3C"/>
    <w:rsid w:val="006D3262"/>
    <w:rsid w:val="006D3DBD"/>
    <w:rsid w:val="006D4133"/>
    <w:rsid w:val="006D4507"/>
    <w:rsid w:val="006D5793"/>
    <w:rsid w:val="006D70E5"/>
    <w:rsid w:val="006E051B"/>
    <w:rsid w:val="006E1AB8"/>
    <w:rsid w:val="006E2A63"/>
    <w:rsid w:val="006E2E00"/>
    <w:rsid w:val="006E2EC6"/>
    <w:rsid w:val="006E3B7E"/>
    <w:rsid w:val="006E4484"/>
    <w:rsid w:val="006E4AF0"/>
    <w:rsid w:val="006E4C59"/>
    <w:rsid w:val="006E5D56"/>
    <w:rsid w:val="006E60D5"/>
    <w:rsid w:val="006E6A08"/>
    <w:rsid w:val="006E7ABB"/>
    <w:rsid w:val="006E7D01"/>
    <w:rsid w:val="006E7D08"/>
    <w:rsid w:val="006F0797"/>
    <w:rsid w:val="006F0AB7"/>
    <w:rsid w:val="006F1B0F"/>
    <w:rsid w:val="006F20B4"/>
    <w:rsid w:val="006F27A6"/>
    <w:rsid w:val="006F2A2B"/>
    <w:rsid w:val="006F2CF8"/>
    <w:rsid w:val="006F3AC1"/>
    <w:rsid w:val="006F3AEE"/>
    <w:rsid w:val="006F3EF2"/>
    <w:rsid w:val="006F3FE3"/>
    <w:rsid w:val="006F4D9F"/>
    <w:rsid w:val="006F669C"/>
    <w:rsid w:val="006F6993"/>
    <w:rsid w:val="007009DE"/>
    <w:rsid w:val="00700B81"/>
    <w:rsid w:val="00700F96"/>
    <w:rsid w:val="0070172A"/>
    <w:rsid w:val="007026CC"/>
    <w:rsid w:val="00702EF6"/>
    <w:rsid w:val="00704291"/>
    <w:rsid w:val="007050EC"/>
    <w:rsid w:val="00705C3F"/>
    <w:rsid w:val="00705D47"/>
    <w:rsid w:val="00705F2C"/>
    <w:rsid w:val="00705F52"/>
    <w:rsid w:val="00707535"/>
    <w:rsid w:val="00707550"/>
    <w:rsid w:val="007105BF"/>
    <w:rsid w:val="00711331"/>
    <w:rsid w:val="00711ABD"/>
    <w:rsid w:val="00711FEC"/>
    <w:rsid w:val="007120B7"/>
    <w:rsid w:val="007138B5"/>
    <w:rsid w:val="00713C64"/>
    <w:rsid w:val="0071579E"/>
    <w:rsid w:val="007166EA"/>
    <w:rsid w:val="007176EB"/>
    <w:rsid w:val="00717BA5"/>
    <w:rsid w:val="00717DB8"/>
    <w:rsid w:val="00717F23"/>
    <w:rsid w:val="007207F3"/>
    <w:rsid w:val="00721FC7"/>
    <w:rsid w:val="007231FF"/>
    <w:rsid w:val="0072417E"/>
    <w:rsid w:val="00724519"/>
    <w:rsid w:val="00726072"/>
    <w:rsid w:val="007267A9"/>
    <w:rsid w:val="007271F7"/>
    <w:rsid w:val="00727AF0"/>
    <w:rsid w:val="0073078C"/>
    <w:rsid w:val="00730987"/>
    <w:rsid w:val="00730ACA"/>
    <w:rsid w:val="00730D34"/>
    <w:rsid w:val="007311C5"/>
    <w:rsid w:val="00731B47"/>
    <w:rsid w:val="00732CF7"/>
    <w:rsid w:val="00733937"/>
    <w:rsid w:val="00735405"/>
    <w:rsid w:val="00736ED4"/>
    <w:rsid w:val="00737083"/>
    <w:rsid w:val="007402F7"/>
    <w:rsid w:val="007407B9"/>
    <w:rsid w:val="00741080"/>
    <w:rsid w:val="00741F3D"/>
    <w:rsid w:val="00742271"/>
    <w:rsid w:val="00742E29"/>
    <w:rsid w:val="007436CA"/>
    <w:rsid w:val="00743D45"/>
    <w:rsid w:val="00744968"/>
    <w:rsid w:val="00745659"/>
    <w:rsid w:val="0074587F"/>
    <w:rsid w:val="00745C64"/>
    <w:rsid w:val="00745E68"/>
    <w:rsid w:val="00746096"/>
    <w:rsid w:val="00746A3D"/>
    <w:rsid w:val="00746D18"/>
    <w:rsid w:val="00746FD5"/>
    <w:rsid w:val="00747815"/>
    <w:rsid w:val="00750889"/>
    <w:rsid w:val="00750A66"/>
    <w:rsid w:val="00751328"/>
    <w:rsid w:val="00752391"/>
    <w:rsid w:val="007524E7"/>
    <w:rsid w:val="00754114"/>
    <w:rsid w:val="00754442"/>
    <w:rsid w:val="00754BCB"/>
    <w:rsid w:val="00756D64"/>
    <w:rsid w:val="007601DF"/>
    <w:rsid w:val="0076072F"/>
    <w:rsid w:val="0076074A"/>
    <w:rsid w:val="00763057"/>
    <w:rsid w:val="00763491"/>
    <w:rsid w:val="00763BCB"/>
    <w:rsid w:val="00764487"/>
    <w:rsid w:val="00765D93"/>
    <w:rsid w:val="007671D7"/>
    <w:rsid w:val="007674A5"/>
    <w:rsid w:val="00767D70"/>
    <w:rsid w:val="00771B3C"/>
    <w:rsid w:val="007724D4"/>
    <w:rsid w:val="00772588"/>
    <w:rsid w:val="00772CE6"/>
    <w:rsid w:val="00773346"/>
    <w:rsid w:val="00774F2D"/>
    <w:rsid w:val="00775027"/>
    <w:rsid w:val="007761DA"/>
    <w:rsid w:val="0077647E"/>
    <w:rsid w:val="007766DE"/>
    <w:rsid w:val="00776B75"/>
    <w:rsid w:val="007800F9"/>
    <w:rsid w:val="00780620"/>
    <w:rsid w:val="007806C8"/>
    <w:rsid w:val="0078080D"/>
    <w:rsid w:val="0078099F"/>
    <w:rsid w:val="00780A87"/>
    <w:rsid w:val="00781057"/>
    <w:rsid w:val="00781A93"/>
    <w:rsid w:val="00782DF8"/>
    <w:rsid w:val="00782FB3"/>
    <w:rsid w:val="007837DA"/>
    <w:rsid w:val="00783F7B"/>
    <w:rsid w:val="007842E2"/>
    <w:rsid w:val="00784885"/>
    <w:rsid w:val="00784D30"/>
    <w:rsid w:val="007858C2"/>
    <w:rsid w:val="0078621E"/>
    <w:rsid w:val="00786755"/>
    <w:rsid w:val="007867BC"/>
    <w:rsid w:val="00786A03"/>
    <w:rsid w:val="00786D3E"/>
    <w:rsid w:val="00786F04"/>
    <w:rsid w:val="00787041"/>
    <w:rsid w:val="00787690"/>
    <w:rsid w:val="00787DD1"/>
    <w:rsid w:val="00790295"/>
    <w:rsid w:val="00790DA9"/>
    <w:rsid w:val="007922DC"/>
    <w:rsid w:val="00792ADB"/>
    <w:rsid w:val="00793390"/>
    <w:rsid w:val="00793A2E"/>
    <w:rsid w:val="0079406F"/>
    <w:rsid w:val="007946E7"/>
    <w:rsid w:val="00794E77"/>
    <w:rsid w:val="00795F92"/>
    <w:rsid w:val="00796678"/>
    <w:rsid w:val="007A06C9"/>
    <w:rsid w:val="007A0B10"/>
    <w:rsid w:val="007A11A1"/>
    <w:rsid w:val="007A1732"/>
    <w:rsid w:val="007A1D44"/>
    <w:rsid w:val="007A1EC1"/>
    <w:rsid w:val="007A23D5"/>
    <w:rsid w:val="007A2A45"/>
    <w:rsid w:val="007A2FEA"/>
    <w:rsid w:val="007A3C6F"/>
    <w:rsid w:val="007A3E56"/>
    <w:rsid w:val="007A4F47"/>
    <w:rsid w:val="007A5AD2"/>
    <w:rsid w:val="007A69D0"/>
    <w:rsid w:val="007A7413"/>
    <w:rsid w:val="007A7EDA"/>
    <w:rsid w:val="007B07A9"/>
    <w:rsid w:val="007B140F"/>
    <w:rsid w:val="007B46DA"/>
    <w:rsid w:val="007B4BBC"/>
    <w:rsid w:val="007B4CB4"/>
    <w:rsid w:val="007B5706"/>
    <w:rsid w:val="007B61D5"/>
    <w:rsid w:val="007B6EF2"/>
    <w:rsid w:val="007B6F15"/>
    <w:rsid w:val="007B73DB"/>
    <w:rsid w:val="007C0572"/>
    <w:rsid w:val="007C2E35"/>
    <w:rsid w:val="007C34B6"/>
    <w:rsid w:val="007C3A5D"/>
    <w:rsid w:val="007C3D52"/>
    <w:rsid w:val="007C4DF8"/>
    <w:rsid w:val="007C7BA0"/>
    <w:rsid w:val="007C7ECD"/>
    <w:rsid w:val="007D0563"/>
    <w:rsid w:val="007D05C6"/>
    <w:rsid w:val="007D0D14"/>
    <w:rsid w:val="007D18FB"/>
    <w:rsid w:val="007D2997"/>
    <w:rsid w:val="007D429E"/>
    <w:rsid w:val="007D44C0"/>
    <w:rsid w:val="007D56BC"/>
    <w:rsid w:val="007D56FA"/>
    <w:rsid w:val="007D5EA4"/>
    <w:rsid w:val="007D6CDC"/>
    <w:rsid w:val="007D6F57"/>
    <w:rsid w:val="007E0DED"/>
    <w:rsid w:val="007E14C6"/>
    <w:rsid w:val="007E1624"/>
    <w:rsid w:val="007E1CCF"/>
    <w:rsid w:val="007E3763"/>
    <w:rsid w:val="007E4096"/>
    <w:rsid w:val="007E5314"/>
    <w:rsid w:val="007E5994"/>
    <w:rsid w:val="007E5BF3"/>
    <w:rsid w:val="007E7627"/>
    <w:rsid w:val="007F19CA"/>
    <w:rsid w:val="007F1EA6"/>
    <w:rsid w:val="007F2481"/>
    <w:rsid w:val="007F2568"/>
    <w:rsid w:val="007F2C12"/>
    <w:rsid w:val="007F3793"/>
    <w:rsid w:val="007F4513"/>
    <w:rsid w:val="007F63F2"/>
    <w:rsid w:val="007F65CC"/>
    <w:rsid w:val="007F79BB"/>
    <w:rsid w:val="008010FB"/>
    <w:rsid w:val="008014AE"/>
    <w:rsid w:val="00802999"/>
    <w:rsid w:val="00802DED"/>
    <w:rsid w:val="00802F0D"/>
    <w:rsid w:val="00803164"/>
    <w:rsid w:val="0080348D"/>
    <w:rsid w:val="008039F1"/>
    <w:rsid w:val="0080400A"/>
    <w:rsid w:val="00804802"/>
    <w:rsid w:val="00804B64"/>
    <w:rsid w:val="00805D51"/>
    <w:rsid w:val="00807AF8"/>
    <w:rsid w:val="00810C34"/>
    <w:rsid w:val="00810CC8"/>
    <w:rsid w:val="00811639"/>
    <w:rsid w:val="0081163F"/>
    <w:rsid w:val="00811CE2"/>
    <w:rsid w:val="00812406"/>
    <w:rsid w:val="0081318E"/>
    <w:rsid w:val="0081334E"/>
    <w:rsid w:val="00813DCD"/>
    <w:rsid w:val="008143D2"/>
    <w:rsid w:val="008143E5"/>
    <w:rsid w:val="008144A6"/>
    <w:rsid w:val="00814A09"/>
    <w:rsid w:val="00814B08"/>
    <w:rsid w:val="00816358"/>
    <w:rsid w:val="008173A6"/>
    <w:rsid w:val="00817A0B"/>
    <w:rsid w:val="00820012"/>
    <w:rsid w:val="0082044C"/>
    <w:rsid w:val="00821453"/>
    <w:rsid w:val="00821D1E"/>
    <w:rsid w:val="008234BA"/>
    <w:rsid w:val="00823D3B"/>
    <w:rsid w:val="00824EF1"/>
    <w:rsid w:val="00825F87"/>
    <w:rsid w:val="0082669D"/>
    <w:rsid w:val="00826B7A"/>
    <w:rsid w:val="008271EB"/>
    <w:rsid w:val="00827600"/>
    <w:rsid w:val="00827982"/>
    <w:rsid w:val="00832258"/>
    <w:rsid w:val="00832819"/>
    <w:rsid w:val="00832CD9"/>
    <w:rsid w:val="0083327D"/>
    <w:rsid w:val="00833599"/>
    <w:rsid w:val="00834758"/>
    <w:rsid w:val="0083560B"/>
    <w:rsid w:val="00835BEF"/>
    <w:rsid w:val="00835C77"/>
    <w:rsid w:val="00835EF7"/>
    <w:rsid w:val="00836454"/>
    <w:rsid w:val="0083718B"/>
    <w:rsid w:val="0083766A"/>
    <w:rsid w:val="00837B6C"/>
    <w:rsid w:val="00840C91"/>
    <w:rsid w:val="00844000"/>
    <w:rsid w:val="00845918"/>
    <w:rsid w:val="00846A54"/>
    <w:rsid w:val="00846AB4"/>
    <w:rsid w:val="00847410"/>
    <w:rsid w:val="00847FB1"/>
    <w:rsid w:val="00850F9B"/>
    <w:rsid w:val="00850FE0"/>
    <w:rsid w:val="0085111A"/>
    <w:rsid w:val="008513F8"/>
    <w:rsid w:val="00851612"/>
    <w:rsid w:val="008529E8"/>
    <w:rsid w:val="00853078"/>
    <w:rsid w:val="008547D6"/>
    <w:rsid w:val="008547DF"/>
    <w:rsid w:val="00854A57"/>
    <w:rsid w:val="00855095"/>
    <w:rsid w:val="008551B1"/>
    <w:rsid w:val="00857029"/>
    <w:rsid w:val="0086012F"/>
    <w:rsid w:val="00860ABB"/>
    <w:rsid w:val="00860FB5"/>
    <w:rsid w:val="0086160F"/>
    <w:rsid w:val="008617FF"/>
    <w:rsid w:val="0086181D"/>
    <w:rsid w:val="00861A39"/>
    <w:rsid w:val="008621E6"/>
    <w:rsid w:val="00862441"/>
    <w:rsid w:val="00862C68"/>
    <w:rsid w:val="0086314E"/>
    <w:rsid w:val="0086363F"/>
    <w:rsid w:val="00863D31"/>
    <w:rsid w:val="00863D78"/>
    <w:rsid w:val="00865709"/>
    <w:rsid w:val="00865A58"/>
    <w:rsid w:val="00865C9F"/>
    <w:rsid w:val="008669F4"/>
    <w:rsid w:val="008672D4"/>
    <w:rsid w:val="00867C99"/>
    <w:rsid w:val="00867CA5"/>
    <w:rsid w:val="008711D5"/>
    <w:rsid w:val="008719C5"/>
    <w:rsid w:val="0087235F"/>
    <w:rsid w:val="00873555"/>
    <w:rsid w:val="00873938"/>
    <w:rsid w:val="008741AD"/>
    <w:rsid w:val="00874468"/>
    <w:rsid w:val="008748F8"/>
    <w:rsid w:val="00876A63"/>
    <w:rsid w:val="00877003"/>
    <w:rsid w:val="00877943"/>
    <w:rsid w:val="008802EB"/>
    <w:rsid w:val="00880703"/>
    <w:rsid w:val="00880B07"/>
    <w:rsid w:val="00880B14"/>
    <w:rsid w:val="00880FCB"/>
    <w:rsid w:val="00882A01"/>
    <w:rsid w:val="00883257"/>
    <w:rsid w:val="00883B4A"/>
    <w:rsid w:val="00883BFC"/>
    <w:rsid w:val="008841D8"/>
    <w:rsid w:val="00884AA4"/>
    <w:rsid w:val="0089181F"/>
    <w:rsid w:val="00891CA6"/>
    <w:rsid w:val="008928F6"/>
    <w:rsid w:val="00893604"/>
    <w:rsid w:val="00893AD9"/>
    <w:rsid w:val="00893C5B"/>
    <w:rsid w:val="00894D6A"/>
    <w:rsid w:val="00894DF6"/>
    <w:rsid w:val="00895811"/>
    <w:rsid w:val="00895BDE"/>
    <w:rsid w:val="00896003"/>
    <w:rsid w:val="00896941"/>
    <w:rsid w:val="00897D76"/>
    <w:rsid w:val="008A12DF"/>
    <w:rsid w:val="008A208D"/>
    <w:rsid w:val="008A23E4"/>
    <w:rsid w:val="008A26AA"/>
    <w:rsid w:val="008A3E5A"/>
    <w:rsid w:val="008A4577"/>
    <w:rsid w:val="008A4A76"/>
    <w:rsid w:val="008A55AE"/>
    <w:rsid w:val="008A6562"/>
    <w:rsid w:val="008A69EB"/>
    <w:rsid w:val="008A75F1"/>
    <w:rsid w:val="008B04CB"/>
    <w:rsid w:val="008B0E28"/>
    <w:rsid w:val="008B23FA"/>
    <w:rsid w:val="008B36B8"/>
    <w:rsid w:val="008B36CD"/>
    <w:rsid w:val="008B3F04"/>
    <w:rsid w:val="008B424F"/>
    <w:rsid w:val="008B46AA"/>
    <w:rsid w:val="008B484C"/>
    <w:rsid w:val="008B4D7D"/>
    <w:rsid w:val="008B4DB9"/>
    <w:rsid w:val="008B5F5B"/>
    <w:rsid w:val="008B6CCC"/>
    <w:rsid w:val="008B76C9"/>
    <w:rsid w:val="008C149F"/>
    <w:rsid w:val="008C15A5"/>
    <w:rsid w:val="008C1FEE"/>
    <w:rsid w:val="008C293D"/>
    <w:rsid w:val="008C4AD5"/>
    <w:rsid w:val="008C4BD4"/>
    <w:rsid w:val="008C6F2E"/>
    <w:rsid w:val="008C6FCF"/>
    <w:rsid w:val="008C725E"/>
    <w:rsid w:val="008C74AA"/>
    <w:rsid w:val="008C7FFE"/>
    <w:rsid w:val="008D07B4"/>
    <w:rsid w:val="008D0969"/>
    <w:rsid w:val="008D09D3"/>
    <w:rsid w:val="008D1704"/>
    <w:rsid w:val="008D1EE5"/>
    <w:rsid w:val="008D1EF4"/>
    <w:rsid w:val="008D4EBF"/>
    <w:rsid w:val="008D6DD1"/>
    <w:rsid w:val="008D7BA6"/>
    <w:rsid w:val="008E00D8"/>
    <w:rsid w:val="008E0411"/>
    <w:rsid w:val="008E0902"/>
    <w:rsid w:val="008E0A67"/>
    <w:rsid w:val="008E0F35"/>
    <w:rsid w:val="008E11DD"/>
    <w:rsid w:val="008E3D9F"/>
    <w:rsid w:val="008E400E"/>
    <w:rsid w:val="008E40C1"/>
    <w:rsid w:val="008E4533"/>
    <w:rsid w:val="008E48A6"/>
    <w:rsid w:val="008E61F5"/>
    <w:rsid w:val="008E7415"/>
    <w:rsid w:val="008E78D5"/>
    <w:rsid w:val="008F07A8"/>
    <w:rsid w:val="008F141A"/>
    <w:rsid w:val="008F1CBC"/>
    <w:rsid w:val="008F20B2"/>
    <w:rsid w:val="008F2671"/>
    <w:rsid w:val="008F2738"/>
    <w:rsid w:val="008F2A4A"/>
    <w:rsid w:val="008F2AC0"/>
    <w:rsid w:val="008F3181"/>
    <w:rsid w:val="008F3FC9"/>
    <w:rsid w:val="008F4EC5"/>
    <w:rsid w:val="008F631B"/>
    <w:rsid w:val="008F6BCD"/>
    <w:rsid w:val="008F78E9"/>
    <w:rsid w:val="00900DB5"/>
    <w:rsid w:val="00901255"/>
    <w:rsid w:val="00901508"/>
    <w:rsid w:val="00901754"/>
    <w:rsid w:val="009021FD"/>
    <w:rsid w:val="00902D9D"/>
    <w:rsid w:val="00903582"/>
    <w:rsid w:val="00904025"/>
    <w:rsid w:val="00904D0C"/>
    <w:rsid w:val="00904F00"/>
    <w:rsid w:val="00905513"/>
    <w:rsid w:val="0090660C"/>
    <w:rsid w:val="00907BB1"/>
    <w:rsid w:val="0091004C"/>
    <w:rsid w:val="0091024E"/>
    <w:rsid w:val="00911AB4"/>
    <w:rsid w:val="00912095"/>
    <w:rsid w:val="0091290F"/>
    <w:rsid w:val="0091326C"/>
    <w:rsid w:val="009136C9"/>
    <w:rsid w:val="00913C41"/>
    <w:rsid w:val="00913CF3"/>
    <w:rsid w:val="00914957"/>
    <w:rsid w:val="00915A8D"/>
    <w:rsid w:val="009165E7"/>
    <w:rsid w:val="00916975"/>
    <w:rsid w:val="00916E39"/>
    <w:rsid w:val="0091736F"/>
    <w:rsid w:val="009201FE"/>
    <w:rsid w:val="009202B8"/>
    <w:rsid w:val="00920996"/>
    <w:rsid w:val="00921AFD"/>
    <w:rsid w:val="00921D87"/>
    <w:rsid w:val="00921DAE"/>
    <w:rsid w:val="00922379"/>
    <w:rsid w:val="00922694"/>
    <w:rsid w:val="009226A6"/>
    <w:rsid w:val="0092285C"/>
    <w:rsid w:val="00922BF2"/>
    <w:rsid w:val="00922D97"/>
    <w:rsid w:val="00922F2F"/>
    <w:rsid w:val="009230C0"/>
    <w:rsid w:val="009232B0"/>
    <w:rsid w:val="00924601"/>
    <w:rsid w:val="009257C9"/>
    <w:rsid w:val="00925D25"/>
    <w:rsid w:val="0092656D"/>
    <w:rsid w:val="00926CCC"/>
    <w:rsid w:val="009271FC"/>
    <w:rsid w:val="00930790"/>
    <w:rsid w:val="0093090E"/>
    <w:rsid w:val="00931F6E"/>
    <w:rsid w:val="00932E66"/>
    <w:rsid w:val="009331D9"/>
    <w:rsid w:val="00933652"/>
    <w:rsid w:val="00933E42"/>
    <w:rsid w:val="00934429"/>
    <w:rsid w:val="0093556A"/>
    <w:rsid w:val="00935703"/>
    <w:rsid w:val="0093608E"/>
    <w:rsid w:val="00937AF4"/>
    <w:rsid w:val="00937D62"/>
    <w:rsid w:val="009417AE"/>
    <w:rsid w:val="009431E0"/>
    <w:rsid w:val="00943B03"/>
    <w:rsid w:val="00944037"/>
    <w:rsid w:val="0094429A"/>
    <w:rsid w:val="0094436C"/>
    <w:rsid w:val="0094455F"/>
    <w:rsid w:val="0094483C"/>
    <w:rsid w:val="00944ABA"/>
    <w:rsid w:val="00944E3F"/>
    <w:rsid w:val="0094578B"/>
    <w:rsid w:val="00946929"/>
    <w:rsid w:val="0095010D"/>
    <w:rsid w:val="00950201"/>
    <w:rsid w:val="00952967"/>
    <w:rsid w:val="009538CC"/>
    <w:rsid w:val="009559D1"/>
    <w:rsid w:val="0095765E"/>
    <w:rsid w:val="0095766C"/>
    <w:rsid w:val="0095768A"/>
    <w:rsid w:val="009600B2"/>
    <w:rsid w:val="00960732"/>
    <w:rsid w:val="00961C94"/>
    <w:rsid w:val="009622FC"/>
    <w:rsid w:val="0096233C"/>
    <w:rsid w:val="00963971"/>
    <w:rsid w:val="00964155"/>
    <w:rsid w:val="00965875"/>
    <w:rsid w:val="0096626C"/>
    <w:rsid w:val="0096668E"/>
    <w:rsid w:val="0096728B"/>
    <w:rsid w:val="009673D3"/>
    <w:rsid w:val="00967738"/>
    <w:rsid w:val="00967796"/>
    <w:rsid w:val="0097004E"/>
    <w:rsid w:val="00972F1B"/>
    <w:rsid w:val="00973084"/>
    <w:rsid w:val="00973B43"/>
    <w:rsid w:val="00973E93"/>
    <w:rsid w:val="009749B9"/>
    <w:rsid w:val="009750DB"/>
    <w:rsid w:val="00975577"/>
    <w:rsid w:val="00975CCF"/>
    <w:rsid w:val="00976CDD"/>
    <w:rsid w:val="00977760"/>
    <w:rsid w:val="009800ED"/>
    <w:rsid w:val="00980311"/>
    <w:rsid w:val="0098075E"/>
    <w:rsid w:val="00980890"/>
    <w:rsid w:val="00981393"/>
    <w:rsid w:val="00981F92"/>
    <w:rsid w:val="00982461"/>
    <w:rsid w:val="00982AD8"/>
    <w:rsid w:val="00982BED"/>
    <w:rsid w:val="00983159"/>
    <w:rsid w:val="0098438E"/>
    <w:rsid w:val="00984717"/>
    <w:rsid w:val="00985F55"/>
    <w:rsid w:val="0098710B"/>
    <w:rsid w:val="00987208"/>
    <w:rsid w:val="00990BFA"/>
    <w:rsid w:val="00992577"/>
    <w:rsid w:val="009930CD"/>
    <w:rsid w:val="009942A5"/>
    <w:rsid w:val="009943FA"/>
    <w:rsid w:val="009951D7"/>
    <w:rsid w:val="00995705"/>
    <w:rsid w:val="00995CBA"/>
    <w:rsid w:val="00995E1C"/>
    <w:rsid w:val="0099618C"/>
    <w:rsid w:val="0099754D"/>
    <w:rsid w:val="00997D4A"/>
    <w:rsid w:val="00997E81"/>
    <w:rsid w:val="00997EB6"/>
    <w:rsid w:val="009A0CD4"/>
    <w:rsid w:val="009A175F"/>
    <w:rsid w:val="009A1F63"/>
    <w:rsid w:val="009A3221"/>
    <w:rsid w:val="009A3338"/>
    <w:rsid w:val="009A4117"/>
    <w:rsid w:val="009A4961"/>
    <w:rsid w:val="009A4DB4"/>
    <w:rsid w:val="009B1779"/>
    <w:rsid w:val="009B2A26"/>
    <w:rsid w:val="009B3117"/>
    <w:rsid w:val="009B3501"/>
    <w:rsid w:val="009B3574"/>
    <w:rsid w:val="009B4BD8"/>
    <w:rsid w:val="009B53FD"/>
    <w:rsid w:val="009B5603"/>
    <w:rsid w:val="009B5E4B"/>
    <w:rsid w:val="009B6025"/>
    <w:rsid w:val="009B6B96"/>
    <w:rsid w:val="009B6ECC"/>
    <w:rsid w:val="009B706D"/>
    <w:rsid w:val="009B780F"/>
    <w:rsid w:val="009C1D6F"/>
    <w:rsid w:val="009C2681"/>
    <w:rsid w:val="009C3B57"/>
    <w:rsid w:val="009C41E3"/>
    <w:rsid w:val="009C4A3F"/>
    <w:rsid w:val="009C616D"/>
    <w:rsid w:val="009C6233"/>
    <w:rsid w:val="009C6573"/>
    <w:rsid w:val="009C6FE2"/>
    <w:rsid w:val="009C7426"/>
    <w:rsid w:val="009D0649"/>
    <w:rsid w:val="009D1403"/>
    <w:rsid w:val="009D2F71"/>
    <w:rsid w:val="009D3F5D"/>
    <w:rsid w:val="009D4A27"/>
    <w:rsid w:val="009D50B5"/>
    <w:rsid w:val="009D603E"/>
    <w:rsid w:val="009D61A1"/>
    <w:rsid w:val="009D6D45"/>
    <w:rsid w:val="009D7AA5"/>
    <w:rsid w:val="009E10D8"/>
    <w:rsid w:val="009E12A5"/>
    <w:rsid w:val="009E1EBC"/>
    <w:rsid w:val="009E2435"/>
    <w:rsid w:val="009E3677"/>
    <w:rsid w:val="009E3A91"/>
    <w:rsid w:val="009E49EA"/>
    <w:rsid w:val="009E4EE4"/>
    <w:rsid w:val="009E59D8"/>
    <w:rsid w:val="009E65B4"/>
    <w:rsid w:val="009E677E"/>
    <w:rsid w:val="009E7AD3"/>
    <w:rsid w:val="009F051B"/>
    <w:rsid w:val="009F094E"/>
    <w:rsid w:val="009F0A6F"/>
    <w:rsid w:val="009F1292"/>
    <w:rsid w:val="009F14AB"/>
    <w:rsid w:val="009F20EC"/>
    <w:rsid w:val="009F386A"/>
    <w:rsid w:val="009F4046"/>
    <w:rsid w:val="009F58B4"/>
    <w:rsid w:val="009F5EF1"/>
    <w:rsid w:val="009F60B8"/>
    <w:rsid w:val="009F63E9"/>
    <w:rsid w:val="009F6915"/>
    <w:rsid w:val="009F6D5D"/>
    <w:rsid w:val="00A002A1"/>
    <w:rsid w:val="00A0051D"/>
    <w:rsid w:val="00A00C60"/>
    <w:rsid w:val="00A00D1E"/>
    <w:rsid w:val="00A0108A"/>
    <w:rsid w:val="00A01A76"/>
    <w:rsid w:val="00A02E07"/>
    <w:rsid w:val="00A030F1"/>
    <w:rsid w:val="00A03311"/>
    <w:rsid w:val="00A0334F"/>
    <w:rsid w:val="00A04200"/>
    <w:rsid w:val="00A04F42"/>
    <w:rsid w:val="00A05269"/>
    <w:rsid w:val="00A062CA"/>
    <w:rsid w:val="00A068B9"/>
    <w:rsid w:val="00A06D1F"/>
    <w:rsid w:val="00A10E5B"/>
    <w:rsid w:val="00A1282E"/>
    <w:rsid w:val="00A13F5C"/>
    <w:rsid w:val="00A140EE"/>
    <w:rsid w:val="00A14E65"/>
    <w:rsid w:val="00A154CB"/>
    <w:rsid w:val="00A167F6"/>
    <w:rsid w:val="00A207FE"/>
    <w:rsid w:val="00A20C5B"/>
    <w:rsid w:val="00A23E46"/>
    <w:rsid w:val="00A2467D"/>
    <w:rsid w:val="00A25191"/>
    <w:rsid w:val="00A273F6"/>
    <w:rsid w:val="00A301D0"/>
    <w:rsid w:val="00A30A6F"/>
    <w:rsid w:val="00A31909"/>
    <w:rsid w:val="00A32364"/>
    <w:rsid w:val="00A32812"/>
    <w:rsid w:val="00A33B1A"/>
    <w:rsid w:val="00A33D4E"/>
    <w:rsid w:val="00A340F3"/>
    <w:rsid w:val="00A3485B"/>
    <w:rsid w:val="00A34A9D"/>
    <w:rsid w:val="00A35328"/>
    <w:rsid w:val="00A355AA"/>
    <w:rsid w:val="00A35C6D"/>
    <w:rsid w:val="00A35ECF"/>
    <w:rsid w:val="00A363F3"/>
    <w:rsid w:val="00A377F0"/>
    <w:rsid w:val="00A37F10"/>
    <w:rsid w:val="00A40016"/>
    <w:rsid w:val="00A4071C"/>
    <w:rsid w:val="00A40827"/>
    <w:rsid w:val="00A40FA4"/>
    <w:rsid w:val="00A41574"/>
    <w:rsid w:val="00A41ABF"/>
    <w:rsid w:val="00A427E8"/>
    <w:rsid w:val="00A42931"/>
    <w:rsid w:val="00A42C5D"/>
    <w:rsid w:val="00A42CC0"/>
    <w:rsid w:val="00A42ED2"/>
    <w:rsid w:val="00A43E33"/>
    <w:rsid w:val="00A4409D"/>
    <w:rsid w:val="00A44F2B"/>
    <w:rsid w:val="00A44FD9"/>
    <w:rsid w:val="00A45AB9"/>
    <w:rsid w:val="00A46332"/>
    <w:rsid w:val="00A47BD5"/>
    <w:rsid w:val="00A506EB"/>
    <w:rsid w:val="00A51485"/>
    <w:rsid w:val="00A52BA2"/>
    <w:rsid w:val="00A52BC3"/>
    <w:rsid w:val="00A53103"/>
    <w:rsid w:val="00A53175"/>
    <w:rsid w:val="00A531BB"/>
    <w:rsid w:val="00A537E5"/>
    <w:rsid w:val="00A54156"/>
    <w:rsid w:val="00A54543"/>
    <w:rsid w:val="00A54715"/>
    <w:rsid w:val="00A55531"/>
    <w:rsid w:val="00A55768"/>
    <w:rsid w:val="00A55AF5"/>
    <w:rsid w:val="00A55D55"/>
    <w:rsid w:val="00A57CE5"/>
    <w:rsid w:val="00A60953"/>
    <w:rsid w:val="00A60BDC"/>
    <w:rsid w:val="00A622F7"/>
    <w:rsid w:val="00A62975"/>
    <w:rsid w:val="00A6323A"/>
    <w:rsid w:val="00A63596"/>
    <w:rsid w:val="00A647E2"/>
    <w:rsid w:val="00A6497D"/>
    <w:rsid w:val="00A66ED2"/>
    <w:rsid w:val="00A66FD4"/>
    <w:rsid w:val="00A66FD9"/>
    <w:rsid w:val="00A6785D"/>
    <w:rsid w:val="00A71641"/>
    <w:rsid w:val="00A71D91"/>
    <w:rsid w:val="00A755E8"/>
    <w:rsid w:val="00A76231"/>
    <w:rsid w:val="00A7673D"/>
    <w:rsid w:val="00A76D8F"/>
    <w:rsid w:val="00A77DD6"/>
    <w:rsid w:val="00A818BC"/>
    <w:rsid w:val="00A824D2"/>
    <w:rsid w:val="00A83552"/>
    <w:rsid w:val="00A84077"/>
    <w:rsid w:val="00A84E35"/>
    <w:rsid w:val="00A85A20"/>
    <w:rsid w:val="00A85D1A"/>
    <w:rsid w:val="00A85D70"/>
    <w:rsid w:val="00A86292"/>
    <w:rsid w:val="00A86C91"/>
    <w:rsid w:val="00A91003"/>
    <w:rsid w:val="00A917AD"/>
    <w:rsid w:val="00A92A1A"/>
    <w:rsid w:val="00A93837"/>
    <w:rsid w:val="00A93A23"/>
    <w:rsid w:val="00A94D15"/>
    <w:rsid w:val="00A953AE"/>
    <w:rsid w:val="00A96C3C"/>
    <w:rsid w:val="00A9702A"/>
    <w:rsid w:val="00A975E8"/>
    <w:rsid w:val="00AA00F7"/>
    <w:rsid w:val="00AA228A"/>
    <w:rsid w:val="00AA2298"/>
    <w:rsid w:val="00AA22E9"/>
    <w:rsid w:val="00AA2D4D"/>
    <w:rsid w:val="00AA3575"/>
    <w:rsid w:val="00AA3981"/>
    <w:rsid w:val="00AA48F5"/>
    <w:rsid w:val="00AA6E86"/>
    <w:rsid w:val="00AB0FF7"/>
    <w:rsid w:val="00AB1F30"/>
    <w:rsid w:val="00AB27EE"/>
    <w:rsid w:val="00AB3475"/>
    <w:rsid w:val="00AB3480"/>
    <w:rsid w:val="00AB3B4E"/>
    <w:rsid w:val="00AB3B79"/>
    <w:rsid w:val="00AB4161"/>
    <w:rsid w:val="00AB4FD1"/>
    <w:rsid w:val="00AB50F6"/>
    <w:rsid w:val="00AB71F4"/>
    <w:rsid w:val="00AB7271"/>
    <w:rsid w:val="00AB7A5B"/>
    <w:rsid w:val="00AC270E"/>
    <w:rsid w:val="00AC2749"/>
    <w:rsid w:val="00AC2F89"/>
    <w:rsid w:val="00AC393C"/>
    <w:rsid w:val="00AC408A"/>
    <w:rsid w:val="00AC426C"/>
    <w:rsid w:val="00AC4315"/>
    <w:rsid w:val="00AC55E2"/>
    <w:rsid w:val="00AC5D79"/>
    <w:rsid w:val="00AC6C32"/>
    <w:rsid w:val="00AD1177"/>
    <w:rsid w:val="00AD23C6"/>
    <w:rsid w:val="00AD2477"/>
    <w:rsid w:val="00AD3A92"/>
    <w:rsid w:val="00AD5D56"/>
    <w:rsid w:val="00AD6744"/>
    <w:rsid w:val="00AD7B32"/>
    <w:rsid w:val="00AD7C50"/>
    <w:rsid w:val="00AD7C7A"/>
    <w:rsid w:val="00AE0741"/>
    <w:rsid w:val="00AE0E29"/>
    <w:rsid w:val="00AE2082"/>
    <w:rsid w:val="00AE2893"/>
    <w:rsid w:val="00AE34A9"/>
    <w:rsid w:val="00AE38FC"/>
    <w:rsid w:val="00AE40C8"/>
    <w:rsid w:val="00AE5D5B"/>
    <w:rsid w:val="00AE624B"/>
    <w:rsid w:val="00AE7FA5"/>
    <w:rsid w:val="00AF03A6"/>
    <w:rsid w:val="00AF0476"/>
    <w:rsid w:val="00AF08EB"/>
    <w:rsid w:val="00AF17D1"/>
    <w:rsid w:val="00AF281C"/>
    <w:rsid w:val="00AF2938"/>
    <w:rsid w:val="00AF3085"/>
    <w:rsid w:val="00AF3509"/>
    <w:rsid w:val="00AF4340"/>
    <w:rsid w:val="00AF475C"/>
    <w:rsid w:val="00AF533C"/>
    <w:rsid w:val="00AF54C9"/>
    <w:rsid w:val="00AF5671"/>
    <w:rsid w:val="00AF5C60"/>
    <w:rsid w:val="00AF5F6F"/>
    <w:rsid w:val="00AF711E"/>
    <w:rsid w:val="00AF7394"/>
    <w:rsid w:val="00AF762A"/>
    <w:rsid w:val="00AF7876"/>
    <w:rsid w:val="00B00418"/>
    <w:rsid w:val="00B01349"/>
    <w:rsid w:val="00B036C1"/>
    <w:rsid w:val="00B043A1"/>
    <w:rsid w:val="00B0465E"/>
    <w:rsid w:val="00B0482B"/>
    <w:rsid w:val="00B0594E"/>
    <w:rsid w:val="00B05D59"/>
    <w:rsid w:val="00B06031"/>
    <w:rsid w:val="00B06896"/>
    <w:rsid w:val="00B06B14"/>
    <w:rsid w:val="00B07B8E"/>
    <w:rsid w:val="00B112DF"/>
    <w:rsid w:val="00B14203"/>
    <w:rsid w:val="00B15496"/>
    <w:rsid w:val="00B1655C"/>
    <w:rsid w:val="00B17DE5"/>
    <w:rsid w:val="00B201F6"/>
    <w:rsid w:val="00B2026A"/>
    <w:rsid w:val="00B20405"/>
    <w:rsid w:val="00B20FD9"/>
    <w:rsid w:val="00B210A7"/>
    <w:rsid w:val="00B213EB"/>
    <w:rsid w:val="00B21711"/>
    <w:rsid w:val="00B224F9"/>
    <w:rsid w:val="00B23E0B"/>
    <w:rsid w:val="00B23E10"/>
    <w:rsid w:val="00B23EE1"/>
    <w:rsid w:val="00B25108"/>
    <w:rsid w:val="00B25C51"/>
    <w:rsid w:val="00B26570"/>
    <w:rsid w:val="00B274B4"/>
    <w:rsid w:val="00B30223"/>
    <w:rsid w:val="00B30D0A"/>
    <w:rsid w:val="00B31ABE"/>
    <w:rsid w:val="00B32063"/>
    <w:rsid w:val="00B32925"/>
    <w:rsid w:val="00B33A47"/>
    <w:rsid w:val="00B33C40"/>
    <w:rsid w:val="00B33EBA"/>
    <w:rsid w:val="00B34AB6"/>
    <w:rsid w:val="00B34ED7"/>
    <w:rsid w:val="00B35030"/>
    <w:rsid w:val="00B35EB1"/>
    <w:rsid w:val="00B36734"/>
    <w:rsid w:val="00B36875"/>
    <w:rsid w:val="00B3772D"/>
    <w:rsid w:val="00B401EB"/>
    <w:rsid w:val="00B4099C"/>
    <w:rsid w:val="00B41987"/>
    <w:rsid w:val="00B41A8D"/>
    <w:rsid w:val="00B428D6"/>
    <w:rsid w:val="00B4297D"/>
    <w:rsid w:val="00B43119"/>
    <w:rsid w:val="00B43C66"/>
    <w:rsid w:val="00B443D2"/>
    <w:rsid w:val="00B44C61"/>
    <w:rsid w:val="00B46828"/>
    <w:rsid w:val="00B46B13"/>
    <w:rsid w:val="00B471CD"/>
    <w:rsid w:val="00B47C1E"/>
    <w:rsid w:val="00B50E58"/>
    <w:rsid w:val="00B5110C"/>
    <w:rsid w:val="00B51CEF"/>
    <w:rsid w:val="00B5288E"/>
    <w:rsid w:val="00B52FAE"/>
    <w:rsid w:val="00B5398D"/>
    <w:rsid w:val="00B5446E"/>
    <w:rsid w:val="00B544A8"/>
    <w:rsid w:val="00B5463A"/>
    <w:rsid w:val="00B546B8"/>
    <w:rsid w:val="00B54C38"/>
    <w:rsid w:val="00B5556C"/>
    <w:rsid w:val="00B556EB"/>
    <w:rsid w:val="00B5760D"/>
    <w:rsid w:val="00B57B57"/>
    <w:rsid w:val="00B60B96"/>
    <w:rsid w:val="00B6140E"/>
    <w:rsid w:val="00B61BDF"/>
    <w:rsid w:val="00B62A47"/>
    <w:rsid w:val="00B62B48"/>
    <w:rsid w:val="00B641C0"/>
    <w:rsid w:val="00B64D50"/>
    <w:rsid w:val="00B6731B"/>
    <w:rsid w:val="00B72107"/>
    <w:rsid w:val="00B72631"/>
    <w:rsid w:val="00B7310A"/>
    <w:rsid w:val="00B734C0"/>
    <w:rsid w:val="00B73C25"/>
    <w:rsid w:val="00B7455E"/>
    <w:rsid w:val="00B74F45"/>
    <w:rsid w:val="00B7578F"/>
    <w:rsid w:val="00B75804"/>
    <w:rsid w:val="00B76D96"/>
    <w:rsid w:val="00B76DFC"/>
    <w:rsid w:val="00B77005"/>
    <w:rsid w:val="00B775DE"/>
    <w:rsid w:val="00B777A6"/>
    <w:rsid w:val="00B77875"/>
    <w:rsid w:val="00B77E5F"/>
    <w:rsid w:val="00B77FAA"/>
    <w:rsid w:val="00B80691"/>
    <w:rsid w:val="00B82013"/>
    <w:rsid w:val="00B8295C"/>
    <w:rsid w:val="00B82B99"/>
    <w:rsid w:val="00B84934"/>
    <w:rsid w:val="00B85281"/>
    <w:rsid w:val="00B85E2B"/>
    <w:rsid w:val="00B87528"/>
    <w:rsid w:val="00B8769E"/>
    <w:rsid w:val="00B87AC1"/>
    <w:rsid w:val="00B90456"/>
    <w:rsid w:val="00B90858"/>
    <w:rsid w:val="00B90A24"/>
    <w:rsid w:val="00B91285"/>
    <w:rsid w:val="00B914D4"/>
    <w:rsid w:val="00B91D00"/>
    <w:rsid w:val="00B91FC4"/>
    <w:rsid w:val="00B92853"/>
    <w:rsid w:val="00B93859"/>
    <w:rsid w:val="00B9468E"/>
    <w:rsid w:val="00B94D1A"/>
    <w:rsid w:val="00B955A7"/>
    <w:rsid w:val="00B96B56"/>
    <w:rsid w:val="00B97306"/>
    <w:rsid w:val="00B975B7"/>
    <w:rsid w:val="00BA08E0"/>
    <w:rsid w:val="00BA0F14"/>
    <w:rsid w:val="00BA1A82"/>
    <w:rsid w:val="00BA2045"/>
    <w:rsid w:val="00BA2229"/>
    <w:rsid w:val="00BA4A07"/>
    <w:rsid w:val="00BA6D19"/>
    <w:rsid w:val="00BA7BDB"/>
    <w:rsid w:val="00BB13AC"/>
    <w:rsid w:val="00BB2DF4"/>
    <w:rsid w:val="00BB318B"/>
    <w:rsid w:val="00BB3EF2"/>
    <w:rsid w:val="00BB434E"/>
    <w:rsid w:val="00BB64A7"/>
    <w:rsid w:val="00BB676D"/>
    <w:rsid w:val="00BB6E4E"/>
    <w:rsid w:val="00BB783E"/>
    <w:rsid w:val="00BC0109"/>
    <w:rsid w:val="00BC03AA"/>
    <w:rsid w:val="00BC1BA8"/>
    <w:rsid w:val="00BC1BE6"/>
    <w:rsid w:val="00BC1FE5"/>
    <w:rsid w:val="00BC2C85"/>
    <w:rsid w:val="00BC2E22"/>
    <w:rsid w:val="00BC40DC"/>
    <w:rsid w:val="00BC4D15"/>
    <w:rsid w:val="00BC4DAB"/>
    <w:rsid w:val="00BC4E1B"/>
    <w:rsid w:val="00BC53FF"/>
    <w:rsid w:val="00BC5D58"/>
    <w:rsid w:val="00BC6E35"/>
    <w:rsid w:val="00BC7BF5"/>
    <w:rsid w:val="00BD1A51"/>
    <w:rsid w:val="00BD1E9B"/>
    <w:rsid w:val="00BD20C6"/>
    <w:rsid w:val="00BD2E80"/>
    <w:rsid w:val="00BD449B"/>
    <w:rsid w:val="00BD54A0"/>
    <w:rsid w:val="00BD7764"/>
    <w:rsid w:val="00BD7F7F"/>
    <w:rsid w:val="00BE00D4"/>
    <w:rsid w:val="00BE084A"/>
    <w:rsid w:val="00BE190F"/>
    <w:rsid w:val="00BE23E0"/>
    <w:rsid w:val="00BE36AF"/>
    <w:rsid w:val="00BE390D"/>
    <w:rsid w:val="00BE3A68"/>
    <w:rsid w:val="00BE521A"/>
    <w:rsid w:val="00BE660C"/>
    <w:rsid w:val="00BE66E2"/>
    <w:rsid w:val="00BE6F89"/>
    <w:rsid w:val="00BE7013"/>
    <w:rsid w:val="00BE71F2"/>
    <w:rsid w:val="00BE7864"/>
    <w:rsid w:val="00BE7ED2"/>
    <w:rsid w:val="00BF0105"/>
    <w:rsid w:val="00BF1857"/>
    <w:rsid w:val="00BF1F4C"/>
    <w:rsid w:val="00BF2461"/>
    <w:rsid w:val="00BF24B6"/>
    <w:rsid w:val="00BF4443"/>
    <w:rsid w:val="00BF5945"/>
    <w:rsid w:val="00BF596B"/>
    <w:rsid w:val="00BF64EB"/>
    <w:rsid w:val="00BF765D"/>
    <w:rsid w:val="00C009FF"/>
    <w:rsid w:val="00C00AA3"/>
    <w:rsid w:val="00C00B08"/>
    <w:rsid w:val="00C013BD"/>
    <w:rsid w:val="00C01551"/>
    <w:rsid w:val="00C0176C"/>
    <w:rsid w:val="00C01D14"/>
    <w:rsid w:val="00C01EFE"/>
    <w:rsid w:val="00C01FB0"/>
    <w:rsid w:val="00C04261"/>
    <w:rsid w:val="00C0440F"/>
    <w:rsid w:val="00C05F82"/>
    <w:rsid w:val="00C061DB"/>
    <w:rsid w:val="00C06359"/>
    <w:rsid w:val="00C06384"/>
    <w:rsid w:val="00C07A40"/>
    <w:rsid w:val="00C10741"/>
    <w:rsid w:val="00C10C63"/>
    <w:rsid w:val="00C142B4"/>
    <w:rsid w:val="00C14E14"/>
    <w:rsid w:val="00C15D46"/>
    <w:rsid w:val="00C166AA"/>
    <w:rsid w:val="00C16EB0"/>
    <w:rsid w:val="00C1751A"/>
    <w:rsid w:val="00C20662"/>
    <w:rsid w:val="00C20E24"/>
    <w:rsid w:val="00C22997"/>
    <w:rsid w:val="00C22B63"/>
    <w:rsid w:val="00C23627"/>
    <w:rsid w:val="00C239B2"/>
    <w:rsid w:val="00C24780"/>
    <w:rsid w:val="00C247BF"/>
    <w:rsid w:val="00C24D5E"/>
    <w:rsid w:val="00C24E42"/>
    <w:rsid w:val="00C24E9F"/>
    <w:rsid w:val="00C251EE"/>
    <w:rsid w:val="00C26335"/>
    <w:rsid w:val="00C265A8"/>
    <w:rsid w:val="00C26DB6"/>
    <w:rsid w:val="00C26F89"/>
    <w:rsid w:val="00C27D80"/>
    <w:rsid w:val="00C305A5"/>
    <w:rsid w:val="00C31330"/>
    <w:rsid w:val="00C31A6F"/>
    <w:rsid w:val="00C33C29"/>
    <w:rsid w:val="00C33F82"/>
    <w:rsid w:val="00C35E41"/>
    <w:rsid w:val="00C369F5"/>
    <w:rsid w:val="00C36D8C"/>
    <w:rsid w:val="00C36FFB"/>
    <w:rsid w:val="00C379BF"/>
    <w:rsid w:val="00C379C9"/>
    <w:rsid w:val="00C406E7"/>
    <w:rsid w:val="00C409E4"/>
    <w:rsid w:val="00C414DC"/>
    <w:rsid w:val="00C42641"/>
    <w:rsid w:val="00C44413"/>
    <w:rsid w:val="00C44A3D"/>
    <w:rsid w:val="00C45218"/>
    <w:rsid w:val="00C45A5B"/>
    <w:rsid w:val="00C46F6F"/>
    <w:rsid w:val="00C47C1F"/>
    <w:rsid w:val="00C52123"/>
    <w:rsid w:val="00C537DD"/>
    <w:rsid w:val="00C54341"/>
    <w:rsid w:val="00C54635"/>
    <w:rsid w:val="00C546A0"/>
    <w:rsid w:val="00C54BE6"/>
    <w:rsid w:val="00C553C5"/>
    <w:rsid w:val="00C61308"/>
    <w:rsid w:val="00C616A3"/>
    <w:rsid w:val="00C61A90"/>
    <w:rsid w:val="00C61D09"/>
    <w:rsid w:val="00C625AF"/>
    <w:rsid w:val="00C64125"/>
    <w:rsid w:val="00C64461"/>
    <w:rsid w:val="00C64BC2"/>
    <w:rsid w:val="00C65AA4"/>
    <w:rsid w:val="00C65AD2"/>
    <w:rsid w:val="00C660E1"/>
    <w:rsid w:val="00C70A98"/>
    <w:rsid w:val="00C714F1"/>
    <w:rsid w:val="00C729FC"/>
    <w:rsid w:val="00C72BF5"/>
    <w:rsid w:val="00C74D40"/>
    <w:rsid w:val="00C75706"/>
    <w:rsid w:val="00C7572C"/>
    <w:rsid w:val="00C75D0D"/>
    <w:rsid w:val="00C777DA"/>
    <w:rsid w:val="00C80420"/>
    <w:rsid w:val="00C81A6A"/>
    <w:rsid w:val="00C81CD9"/>
    <w:rsid w:val="00C8248D"/>
    <w:rsid w:val="00C82C5F"/>
    <w:rsid w:val="00C847B8"/>
    <w:rsid w:val="00C84C5F"/>
    <w:rsid w:val="00C85E05"/>
    <w:rsid w:val="00C85ED9"/>
    <w:rsid w:val="00C86759"/>
    <w:rsid w:val="00C86E50"/>
    <w:rsid w:val="00C87739"/>
    <w:rsid w:val="00C92B41"/>
    <w:rsid w:val="00C92F72"/>
    <w:rsid w:val="00C9346B"/>
    <w:rsid w:val="00C944F9"/>
    <w:rsid w:val="00C9510A"/>
    <w:rsid w:val="00C96882"/>
    <w:rsid w:val="00C9777D"/>
    <w:rsid w:val="00C977CA"/>
    <w:rsid w:val="00C97E5F"/>
    <w:rsid w:val="00CA0B99"/>
    <w:rsid w:val="00CA0C4B"/>
    <w:rsid w:val="00CA0E08"/>
    <w:rsid w:val="00CA33D1"/>
    <w:rsid w:val="00CA3886"/>
    <w:rsid w:val="00CA3F29"/>
    <w:rsid w:val="00CA4E2A"/>
    <w:rsid w:val="00CA4E73"/>
    <w:rsid w:val="00CA5B34"/>
    <w:rsid w:val="00CA7004"/>
    <w:rsid w:val="00CB094A"/>
    <w:rsid w:val="00CB1BB9"/>
    <w:rsid w:val="00CB1C94"/>
    <w:rsid w:val="00CB274D"/>
    <w:rsid w:val="00CB3582"/>
    <w:rsid w:val="00CB4009"/>
    <w:rsid w:val="00CB4025"/>
    <w:rsid w:val="00CB40B2"/>
    <w:rsid w:val="00CB427D"/>
    <w:rsid w:val="00CB511F"/>
    <w:rsid w:val="00CB5EA9"/>
    <w:rsid w:val="00CB68DD"/>
    <w:rsid w:val="00CB6D2B"/>
    <w:rsid w:val="00CB77C5"/>
    <w:rsid w:val="00CC1E58"/>
    <w:rsid w:val="00CC28E8"/>
    <w:rsid w:val="00CC32D8"/>
    <w:rsid w:val="00CC3DFB"/>
    <w:rsid w:val="00CC43FE"/>
    <w:rsid w:val="00CC6187"/>
    <w:rsid w:val="00CC630E"/>
    <w:rsid w:val="00CC6866"/>
    <w:rsid w:val="00CC6A78"/>
    <w:rsid w:val="00CC6FDA"/>
    <w:rsid w:val="00CC713C"/>
    <w:rsid w:val="00CC713F"/>
    <w:rsid w:val="00CC7547"/>
    <w:rsid w:val="00CD085D"/>
    <w:rsid w:val="00CD23ED"/>
    <w:rsid w:val="00CD3671"/>
    <w:rsid w:val="00CD3D4A"/>
    <w:rsid w:val="00CD5DBF"/>
    <w:rsid w:val="00CD6778"/>
    <w:rsid w:val="00CD6D0C"/>
    <w:rsid w:val="00CD7A04"/>
    <w:rsid w:val="00CD7E21"/>
    <w:rsid w:val="00CE0672"/>
    <w:rsid w:val="00CE1D43"/>
    <w:rsid w:val="00CE41FB"/>
    <w:rsid w:val="00CE4622"/>
    <w:rsid w:val="00CE5F4C"/>
    <w:rsid w:val="00CE6598"/>
    <w:rsid w:val="00CE68DD"/>
    <w:rsid w:val="00CE79E0"/>
    <w:rsid w:val="00CF0E06"/>
    <w:rsid w:val="00CF2745"/>
    <w:rsid w:val="00CF2820"/>
    <w:rsid w:val="00CF3BE7"/>
    <w:rsid w:val="00CF41E6"/>
    <w:rsid w:val="00CF462F"/>
    <w:rsid w:val="00CF48AA"/>
    <w:rsid w:val="00CF4C14"/>
    <w:rsid w:val="00CF5219"/>
    <w:rsid w:val="00CF63EA"/>
    <w:rsid w:val="00CF6FC6"/>
    <w:rsid w:val="00CF77D1"/>
    <w:rsid w:val="00CF7F3F"/>
    <w:rsid w:val="00D01AC4"/>
    <w:rsid w:val="00D021C7"/>
    <w:rsid w:val="00D02524"/>
    <w:rsid w:val="00D0297D"/>
    <w:rsid w:val="00D02EBC"/>
    <w:rsid w:val="00D03219"/>
    <w:rsid w:val="00D032FD"/>
    <w:rsid w:val="00D04268"/>
    <w:rsid w:val="00D05327"/>
    <w:rsid w:val="00D054EC"/>
    <w:rsid w:val="00D0589A"/>
    <w:rsid w:val="00D06380"/>
    <w:rsid w:val="00D06831"/>
    <w:rsid w:val="00D06FFB"/>
    <w:rsid w:val="00D071CC"/>
    <w:rsid w:val="00D07C13"/>
    <w:rsid w:val="00D07D3A"/>
    <w:rsid w:val="00D114C8"/>
    <w:rsid w:val="00D127D9"/>
    <w:rsid w:val="00D13066"/>
    <w:rsid w:val="00D13396"/>
    <w:rsid w:val="00D14100"/>
    <w:rsid w:val="00D14818"/>
    <w:rsid w:val="00D14861"/>
    <w:rsid w:val="00D15E69"/>
    <w:rsid w:val="00D16553"/>
    <w:rsid w:val="00D174BD"/>
    <w:rsid w:val="00D17C82"/>
    <w:rsid w:val="00D2047F"/>
    <w:rsid w:val="00D20CE9"/>
    <w:rsid w:val="00D21932"/>
    <w:rsid w:val="00D230AA"/>
    <w:rsid w:val="00D239FE"/>
    <w:rsid w:val="00D23E44"/>
    <w:rsid w:val="00D23EDD"/>
    <w:rsid w:val="00D23F79"/>
    <w:rsid w:val="00D24058"/>
    <w:rsid w:val="00D247FC"/>
    <w:rsid w:val="00D2597F"/>
    <w:rsid w:val="00D25CC4"/>
    <w:rsid w:val="00D26CC8"/>
    <w:rsid w:val="00D273D5"/>
    <w:rsid w:val="00D2755C"/>
    <w:rsid w:val="00D3236C"/>
    <w:rsid w:val="00D33844"/>
    <w:rsid w:val="00D35040"/>
    <w:rsid w:val="00D3664D"/>
    <w:rsid w:val="00D36C9C"/>
    <w:rsid w:val="00D3761C"/>
    <w:rsid w:val="00D3779B"/>
    <w:rsid w:val="00D4065B"/>
    <w:rsid w:val="00D40814"/>
    <w:rsid w:val="00D40B35"/>
    <w:rsid w:val="00D40EB0"/>
    <w:rsid w:val="00D41D45"/>
    <w:rsid w:val="00D4458E"/>
    <w:rsid w:val="00D449DE"/>
    <w:rsid w:val="00D44D78"/>
    <w:rsid w:val="00D45413"/>
    <w:rsid w:val="00D45831"/>
    <w:rsid w:val="00D478DE"/>
    <w:rsid w:val="00D47F2F"/>
    <w:rsid w:val="00D50004"/>
    <w:rsid w:val="00D50E63"/>
    <w:rsid w:val="00D51459"/>
    <w:rsid w:val="00D51B4D"/>
    <w:rsid w:val="00D51B5B"/>
    <w:rsid w:val="00D5212C"/>
    <w:rsid w:val="00D52454"/>
    <w:rsid w:val="00D52516"/>
    <w:rsid w:val="00D52557"/>
    <w:rsid w:val="00D52638"/>
    <w:rsid w:val="00D52E21"/>
    <w:rsid w:val="00D54A4B"/>
    <w:rsid w:val="00D564D8"/>
    <w:rsid w:val="00D61486"/>
    <w:rsid w:val="00D617E1"/>
    <w:rsid w:val="00D6233D"/>
    <w:rsid w:val="00D62CE7"/>
    <w:rsid w:val="00D6363F"/>
    <w:rsid w:val="00D63B46"/>
    <w:rsid w:val="00D64717"/>
    <w:rsid w:val="00D648D8"/>
    <w:rsid w:val="00D64C8D"/>
    <w:rsid w:val="00D650FD"/>
    <w:rsid w:val="00D66589"/>
    <w:rsid w:val="00D66D10"/>
    <w:rsid w:val="00D67515"/>
    <w:rsid w:val="00D67BFA"/>
    <w:rsid w:val="00D70EBD"/>
    <w:rsid w:val="00D71A2D"/>
    <w:rsid w:val="00D71A53"/>
    <w:rsid w:val="00D72A9B"/>
    <w:rsid w:val="00D72D74"/>
    <w:rsid w:val="00D72E0B"/>
    <w:rsid w:val="00D730D5"/>
    <w:rsid w:val="00D73CCB"/>
    <w:rsid w:val="00D74060"/>
    <w:rsid w:val="00D77C70"/>
    <w:rsid w:val="00D80A41"/>
    <w:rsid w:val="00D80D8E"/>
    <w:rsid w:val="00D81ADA"/>
    <w:rsid w:val="00D8247D"/>
    <w:rsid w:val="00D82654"/>
    <w:rsid w:val="00D829AB"/>
    <w:rsid w:val="00D82DA6"/>
    <w:rsid w:val="00D8302F"/>
    <w:rsid w:val="00D833CA"/>
    <w:rsid w:val="00D83D21"/>
    <w:rsid w:val="00D83EC3"/>
    <w:rsid w:val="00D83F32"/>
    <w:rsid w:val="00D857B1"/>
    <w:rsid w:val="00D877DB"/>
    <w:rsid w:val="00D87D05"/>
    <w:rsid w:val="00D90801"/>
    <w:rsid w:val="00D90B80"/>
    <w:rsid w:val="00D90F45"/>
    <w:rsid w:val="00D910F9"/>
    <w:rsid w:val="00D9149E"/>
    <w:rsid w:val="00D916F6"/>
    <w:rsid w:val="00D92168"/>
    <w:rsid w:val="00D925BE"/>
    <w:rsid w:val="00D93037"/>
    <w:rsid w:val="00D9320C"/>
    <w:rsid w:val="00D94544"/>
    <w:rsid w:val="00D955E0"/>
    <w:rsid w:val="00D95D01"/>
    <w:rsid w:val="00D967A7"/>
    <w:rsid w:val="00D96C91"/>
    <w:rsid w:val="00D96D07"/>
    <w:rsid w:val="00D96ED4"/>
    <w:rsid w:val="00D97191"/>
    <w:rsid w:val="00D979BE"/>
    <w:rsid w:val="00DA1344"/>
    <w:rsid w:val="00DA17A4"/>
    <w:rsid w:val="00DA1B75"/>
    <w:rsid w:val="00DA2C75"/>
    <w:rsid w:val="00DA4CFA"/>
    <w:rsid w:val="00DA582D"/>
    <w:rsid w:val="00DA5D40"/>
    <w:rsid w:val="00DA5F17"/>
    <w:rsid w:val="00DA6192"/>
    <w:rsid w:val="00DB135C"/>
    <w:rsid w:val="00DB3764"/>
    <w:rsid w:val="00DB44EC"/>
    <w:rsid w:val="00DB4E0F"/>
    <w:rsid w:val="00DB5F12"/>
    <w:rsid w:val="00DB65B1"/>
    <w:rsid w:val="00DB6B6D"/>
    <w:rsid w:val="00DB779D"/>
    <w:rsid w:val="00DB782F"/>
    <w:rsid w:val="00DC0714"/>
    <w:rsid w:val="00DC1876"/>
    <w:rsid w:val="00DC32B4"/>
    <w:rsid w:val="00DC3E79"/>
    <w:rsid w:val="00DC743D"/>
    <w:rsid w:val="00DC7D9E"/>
    <w:rsid w:val="00DD14D4"/>
    <w:rsid w:val="00DD1542"/>
    <w:rsid w:val="00DD2881"/>
    <w:rsid w:val="00DD364F"/>
    <w:rsid w:val="00DD396C"/>
    <w:rsid w:val="00DD3F49"/>
    <w:rsid w:val="00DD48C3"/>
    <w:rsid w:val="00DD50D7"/>
    <w:rsid w:val="00DD6BCA"/>
    <w:rsid w:val="00DD746F"/>
    <w:rsid w:val="00DE0804"/>
    <w:rsid w:val="00DE1196"/>
    <w:rsid w:val="00DE3325"/>
    <w:rsid w:val="00DE3E5B"/>
    <w:rsid w:val="00DE4080"/>
    <w:rsid w:val="00DE4B4E"/>
    <w:rsid w:val="00DE6E29"/>
    <w:rsid w:val="00DF07BE"/>
    <w:rsid w:val="00DF181C"/>
    <w:rsid w:val="00DF230E"/>
    <w:rsid w:val="00DF2359"/>
    <w:rsid w:val="00DF3333"/>
    <w:rsid w:val="00DF33EB"/>
    <w:rsid w:val="00DF346F"/>
    <w:rsid w:val="00DF47ED"/>
    <w:rsid w:val="00DF52F4"/>
    <w:rsid w:val="00DF5363"/>
    <w:rsid w:val="00DF55A2"/>
    <w:rsid w:val="00DF6423"/>
    <w:rsid w:val="00DF7598"/>
    <w:rsid w:val="00DF77D8"/>
    <w:rsid w:val="00E018CD"/>
    <w:rsid w:val="00E02E5F"/>
    <w:rsid w:val="00E03300"/>
    <w:rsid w:val="00E03311"/>
    <w:rsid w:val="00E037B5"/>
    <w:rsid w:val="00E0398E"/>
    <w:rsid w:val="00E045C5"/>
    <w:rsid w:val="00E04717"/>
    <w:rsid w:val="00E04DC3"/>
    <w:rsid w:val="00E04EEF"/>
    <w:rsid w:val="00E06285"/>
    <w:rsid w:val="00E07596"/>
    <w:rsid w:val="00E07A66"/>
    <w:rsid w:val="00E10A1B"/>
    <w:rsid w:val="00E112BF"/>
    <w:rsid w:val="00E11B6D"/>
    <w:rsid w:val="00E11DE3"/>
    <w:rsid w:val="00E126B5"/>
    <w:rsid w:val="00E12F77"/>
    <w:rsid w:val="00E13221"/>
    <w:rsid w:val="00E13501"/>
    <w:rsid w:val="00E13F14"/>
    <w:rsid w:val="00E13F8E"/>
    <w:rsid w:val="00E14414"/>
    <w:rsid w:val="00E144D6"/>
    <w:rsid w:val="00E14C13"/>
    <w:rsid w:val="00E1655E"/>
    <w:rsid w:val="00E169FF"/>
    <w:rsid w:val="00E16D25"/>
    <w:rsid w:val="00E17A7F"/>
    <w:rsid w:val="00E20BDC"/>
    <w:rsid w:val="00E20D88"/>
    <w:rsid w:val="00E22B94"/>
    <w:rsid w:val="00E22E72"/>
    <w:rsid w:val="00E23013"/>
    <w:rsid w:val="00E232D7"/>
    <w:rsid w:val="00E2390B"/>
    <w:rsid w:val="00E2581F"/>
    <w:rsid w:val="00E25B53"/>
    <w:rsid w:val="00E3001A"/>
    <w:rsid w:val="00E308B8"/>
    <w:rsid w:val="00E33B5E"/>
    <w:rsid w:val="00E3684D"/>
    <w:rsid w:val="00E37F1E"/>
    <w:rsid w:val="00E403FE"/>
    <w:rsid w:val="00E407A2"/>
    <w:rsid w:val="00E40DCC"/>
    <w:rsid w:val="00E41982"/>
    <w:rsid w:val="00E41E53"/>
    <w:rsid w:val="00E41FD4"/>
    <w:rsid w:val="00E43B82"/>
    <w:rsid w:val="00E44CDA"/>
    <w:rsid w:val="00E45EF5"/>
    <w:rsid w:val="00E46D83"/>
    <w:rsid w:val="00E52785"/>
    <w:rsid w:val="00E5391B"/>
    <w:rsid w:val="00E53CB1"/>
    <w:rsid w:val="00E540AD"/>
    <w:rsid w:val="00E5590E"/>
    <w:rsid w:val="00E55B64"/>
    <w:rsid w:val="00E55B7B"/>
    <w:rsid w:val="00E56550"/>
    <w:rsid w:val="00E576C9"/>
    <w:rsid w:val="00E57E13"/>
    <w:rsid w:val="00E605D6"/>
    <w:rsid w:val="00E606D9"/>
    <w:rsid w:val="00E62F38"/>
    <w:rsid w:val="00E640F5"/>
    <w:rsid w:val="00E64D21"/>
    <w:rsid w:val="00E6515F"/>
    <w:rsid w:val="00E6569C"/>
    <w:rsid w:val="00E671AB"/>
    <w:rsid w:val="00E67F6C"/>
    <w:rsid w:val="00E71ED0"/>
    <w:rsid w:val="00E72DE0"/>
    <w:rsid w:val="00E72ECF"/>
    <w:rsid w:val="00E738CC"/>
    <w:rsid w:val="00E73E45"/>
    <w:rsid w:val="00E74233"/>
    <w:rsid w:val="00E7430A"/>
    <w:rsid w:val="00E749ED"/>
    <w:rsid w:val="00E74B89"/>
    <w:rsid w:val="00E76C58"/>
    <w:rsid w:val="00E76DE8"/>
    <w:rsid w:val="00E76E97"/>
    <w:rsid w:val="00E7714D"/>
    <w:rsid w:val="00E77345"/>
    <w:rsid w:val="00E80D5E"/>
    <w:rsid w:val="00E816EE"/>
    <w:rsid w:val="00E818F8"/>
    <w:rsid w:val="00E81D0A"/>
    <w:rsid w:val="00E826E4"/>
    <w:rsid w:val="00E8297F"/>
    <w:rsid w:val="00E83421"/>
    <w:rsid w:val="00E8389F"/>
    <w:rsid w:val="00E839A7"/>
    <w:rsid w:val="00E83AD1"/>
    <w:rsid w:val="00E84674"/>
    <w:rsid w:val="00E87279"/>
    <w:rsid w:val="00E90382"/>
    <w:rsid w:val="00E90BDD"/>
    <w:rsid w:val="00E91087"/>
    <w:rsid w:val="00E91F52"/>
    <w:rsid w:val="00E92054"/>
    <w:rsid w:val="00E9219D"/>
    <w:rsid w:val="00E922E3"/>
    <w:rsid w:val="00E92A29"/>
    <w:rsid w:val="00E93108"/>
    <w:rsid w:val="00E9422A"/>
    <w:rsid w:val="00E95ADF"/>
    <w:rsid w:val="00E964C5"/>
    <w:rsid w:val="00E96F1E"/>
    <w:rsid w:val="00E97608"/>
    <w:rsid w:val="00E97659"/>
    <w:rsid w:val="00EA0595"/>
    <w:rsid w:val="00EA0C19"/>
    <w:rsid w:val="00EA132D"/>
    <w:rsid w:val="00EA1481"/>
    <w:rsid w:val="00EA37C1"/>
    <w:rsid w:val="00EA39C5"/>
    <w:rsid w:val="00EA3FA3"/>
    <w:rsid w:val="00EA453A"/>
    <w:rsid w:val="00EA54CB"/>
    <w:rsid w:val="00EA5B37"/>
    <w:rsid w:val="00EA68AC"/>
    <w:rsid w:val="00EA7219"/>
    <w:rsid w:val="00EA7C40"/>
    <w:rsid w:val="00EB0CA5"/>
    <w:rsid w:val="00EB0FF6"/>
    <w:rsid w:val="00EB1510"/>
    <w:rsid w:val="00EB2BA6"/>
    <w:rsid w:val="00EB2C56"/>
    <w:rsid w:val="00EB39B0"/>
    <w:rsid w:val="00EB4680"/>
    <w:rsid w:val="00EB48A8"/>
    <w:rsid w:val="00EB4FD5"/>
    <w:rsid w:val="00EB653C"/>
    <w:rsid w:val="00EB79A1"/>
    <w:rsid w:val="00EC0B54"/>
    <w:rsid w:val="00EC14ED"/>
    <w:rsid w:val="00EC177B"/>
    <w:rsid w:val="00EC1BE0"/>
    <w:rsid w:val="00EC1F88"/>
    <w:rsid w:val="00EC2E0F"/>
    <w:rsid w:val="00EC319F"/>
    <w:rsid w:val="00EC3D83"/>
    <w:rsid w:val="00EC4744"/>
    <w:rsid w:val="00EC52B8"/>
    <w:rsid w:val="00EC5DB2"/>
    <w:rsid w:val="00EC639B"/>
    <w:rsid w:val="00EC6FC5"/>
    <w:rsid w:val="00EC71B3"/>
    <w:rsid w:val="00ED0114"/>
    <w:rsid w:val="00ED13E8"/>
    <w:rsid w:val="00ED194D"/>
    <w:rsid w:val="00ED224E"/>
    <w:rsid w:val="00ED29E1"/>
    <w:rsid w:val="00ED33D1"/>
    <w:rsid w:val="00ED42E3"/>
    <w:rsid w:val="00ED4B63"/>
    <w:rsid w:val="00ED6143"/>
    <w:rsid w:val="00ED6E9E"/>
    <w:rsid w:val="00EE033E"/>
    <w:rsid w:val="00EE063E"/>
    <w:rsid w:val="00EE0D6B"/>
    <w:rsid w:val="00EE1371"/>
    <w:rsid w:val="00EE2D3F"/>
    <w:rsid w:val="00EE2D73"/>
    <w:rsid w:val="00EE4380"/>
    <w:rsid w:val="00EE5368"/>
    <w:rsid w:val="00EE7661"/>
    <w:rsid w:val="00EE79FC"/>
    <w:rsid w:val="00EF1577"/>
    <w:rsid w:val="00EF1EF6"/>
    <w:rsid w:val="00EF2CB4"/>
    <w:rsid w:val="00EF48FD"/>
    <w:rsid w:val="00EF4959"/>
    <w:rsid w:val="00EF60AB"/>
    <w:rsid w:val="00EF62A9"/>
    <w:rsid w:val="00EF6C10"/>
    <w:rsid w:val="00EF7204"/>
    <w:rsid w:val="00EF74B8"/>
    <w:rsid w:val="00EF7534"/>
    <w:rsid w:val="00EF7AB2"/>
    <w:rsid w:val="00EF7C0C"/>
    <w:rsid w:val="00EF7F93"/>
    <w:rsid w:val="00F008E4"/>
    <w:rsid w:val="00F03557"/>
    <w:rsid w:val="00F044F0"/>
    <w:rsid w:val="00F050B3"/>
    <w:rsid w:val="00F054B6"/>
    <w:rsid w:val="00F06550"/>
    <w:rsid w:val="00F07899"/>
    <w:rsid w:val="00F07A35"/>
    <w:rsid w:val="00F10097"/>
    <w:rsid w:val="00F110D7"/>
    <w:rsid w:val="00F110FE"/>
    <w:rsid w:val="00F117F1"/>
    <w:rsid w:val="00F11B23"/>
    <w:rsid w:val="00F13E67"/>
    <w:rsid w:val="00F14BB4"/>
    <w:rsid w:val="00F1525F"/>
    <w:rsid w:val="00F168A3"/>
    <w:rsid w:val="00F1693A"/>
    <w:rsid w:val="00F17FE7"/>
    <w:rsid w:val="00F20B2B"/>
    <w:rsid w:val="00F231C2"/>
    <w:rsid w:val="00F2360B"/>
    <w:rsid w:val="00F23C9E"/>
    <w:rsid w:val="00F23D8B"/>
    <w:rsid w:val="00F253D5"/>
    <w:rsid w:val="00F256C8"/>
    <w:rsid w:val="00F25BEB"/>
    <w:rsid w:val="00F263FF"/>
    <w:rsid w:val="00F27161"/>
    <w:rsid w:val="00F27428"/>
    <w:rsid w:val="00F3079F"/>
    <w:rsid w:val="00F309FD"/>
    <w:rsid w:val="00F315A5"/>
    <w:rsid w:val="00F316E7"/>
    <w:rsid w:val="00F34141"/>
    <w:rsid w:val="00F343FA"/>
    <w:rsid w:val="00F34AC2"/>
    <w:rsid w:val="00F35475"/>
    <w:rsid w:val="00F35735"/>
    <w:rsid w:val="00F36E51"/>
    <w:rsid w:val="00F37FA9"/>
    <w:rsid w:val="00F406CE"/>
    <w:rsid w:val="00F418D8"/>
    <w:rsid w:val="00F41A5F"/>
    <w:rsid w:val="00F41D6A"/>
    <w:rsid w:val="00F42145"/>
    <w:rsid w:val="00F42499"/>
    <w:rsid w:val="00F4265C"/>
    <w:rsid w:val="00F43020"/>
    <w:rsid w:val="00F43858"/>
    <w:rsid w:val="00F44537"/>
    <w:rsid w:val="00F44813"/>
    <w:rsid w:val="00F44AD6"/>
    <w:rsid w:val="00F45D4F"/>
    <w:rsid w:val="00F467B2"/>
    <w:rsid w:val="00F46BCF"/>
    <w:rsid w:val="00F473CD"/>
    <w:rsid w:val="00F47765"/>
    <w:rsid w:val="00F5019A"/>
    <w:rsid w:val="00F51515"/>
    <w:rsid w:val="00F51AC9"/>
    <w:rsid w:val="00F527D3"/>
    <w:rsid w:val="00F52AD9"/>
    <w:rsid w:val="00F53D49"/>
    <w:rsid w:val="00F56921"/>
    <w:rsid w:val="00F56F22"/>
    <w:rsid w:val="00F57D59"/>
    <w:rsid w:val="00F57DA4"/>
    <w:rsid w:val="00F57E9F"/>
    <w:rsid w:val="00F60325"/>
    <w:rsid w:val="00F60588"/>
    <w:rsid w:val="00F60819"/>
    <w:rsid w:val="00F613B6"/>
    <w:rsid w:val="00F61DD0"/>
    <w:rsid w:val="00F625F2"/>
    <w:rsid w:val="00F62DD4"/>
    <w:rsid w:val="00F65256"/>
    <w:rsid w:val="00F65EBA"/>
    <w:rsid w:val="00F65F29"/>
    <w:rsid w:val="00F669B0"/>
    <w:rsid w:val="00F669C7"/>
    <w:rsid w:val="00F66F0E"/>
    <w:rsid w:val="00F674DD"/>
    <w:rsid w:val="00F67C08"/>
    <w:rsid w:val="00F706AF"/>
    <w:rsid w:val="00F70EA5"/>
    <w:rsid w:val="00F70F4A"/>
    <w:rsid w:val="00F710DD"/>
    <w:rsid w:val="00F71310"/>
    <w:rsid w:val="00F71A9F"/>
    <w:rsid w:val="00F71F23"/>
    <w:rsid w:val="00F72B61"/>
    <w:rsid w:val="00F730C9"/>
    <w:rsid w:val="00F7461C"/>
    <w:rsid w:val="00F74ADD"/>
    <w:rsid w:val="00F75D3A"/>
    <w:rsid w:val="00F76CF5"/>
    <w:rsid w:val="00F77EED"/>
    <w:rsid w:val="00F81DEF"/>
    <w:rsid w:val="00F8395A"/>
    <w:rsid w:val="00F840F9"/>
    <w:rsid w:val="00F84A6D"/>
    <w:rsid w:val="00F8629D"/>
    <w:rsid w:val="00F86C64"/>
    <w:rsid w:val="00F870BF"/>
    <w:rsid w:val="00F87F6D"/>
    <w:rsid w:val="00F90E08"/>
    <w:rsid w:val="00F91951"/>
    <w:rsid w:val="00F91A1A"/>
    <w:rsid w:val="00F91F33"/>
    <w:rsid w:val="00F920EA"/>
    <w:rsid w:val="00F928C9"/>
    <w:rsid w:val="00F92F0A"/>
    <w:rsid w:val="00F93088"/>
    <w:rsid w:val="00F9312E"/>
    <w:rsid w:val="00F94DF7"/>
    <w:rsid w:val="00F962D9"/>
    <w:rsid w:val="00F96670"/>
    <w:rsid w:val="00F9671F"/>
    <w:rsid w:val="00F96B45"/>
    <w:rsid w:val="00F96D38"/>
    <w:rsid w:val="00F9734D"/>
    <w:rsid w:val="00F973CA"/>
    <w:rsid w:val="00FA0315"/>
    <w:rsid w:val="00FA0ABE"/>
    <w:rsid w:val="00FA1E4E"/>
    <w:rsid w:val="00FA3BA2"/>
    <w:rsid w:val="00FA53BF"/>
    <w:rsid w:val="00FA59D5"/>
    <w:rsid w:val="00FA5AED"/>
    <w:rsid w:val="00FA5DC8"/>
    <w:rsid w:val="00FA67D4"/>
    <w:rsid w:val="00FA6D2F"/>
    <w:rsid w:val="00FA7585"/>
    <w:rsid w:val="00FA76E2"/>
    <w:rsid w:val="00FA7BDE"/>
    <w:rsid w:val="00FA7C5E"/>
    <w:rsid w:val="00FB01E5"/>
    <w:rsid w:val="00FB179C"/>
    <w:rsid w:val="00FB299E"/>
    <w:rsid w:val="00FB31BC"/>
    <w:rsid w:val="00FB4894"/>
    <w:rsid w:val="00FB48FD"/>
    <w:rsid w:val="00FB54CF"/>
    <w:rsid w:val="00FB5815"/>
    <w:rsid w:val="00FB607C"/>
    <w:rsid w:val="00FB62E0"/>
    <w:rsid w:val="00FB7BB7"/>
    <w:rsid w:val="00FB7D72"/>
    <w:rsid w:val="00FB7DFF"/>
    <w:rsid w:val="00FC054A"/>
    <w:rsid w:val="00FC079E"/>
    <w:rsid w:val="00FC0911"/>
    <w:rsid w:val="00FC1FAC"/>
    <w:rsid w:val="00FC2A0F"/>
    <w:rsid w:val="00FC2AB9"/>
    <w:rsid w:val="00FC4451"/>
    <w:rsid w:val="00FC47BD"/>
    <w:rsid w:val="00FC4BAF"/>
    <w:rsid w:val="00FC57C8"/>
    <w:rsid w:val="00FC5EF0"/>
    <w:rsid w:val="00FC6648"/>
    <w:rsid w:val="00FC7A0E"/>
    <w:rsid w:val="00FD076A"/>
    <w:rsid w:val="00FD0C2C"/>
    <w:rsid w:val="00FD1676"/>
    <w:rsid w:val="00FD26EF"/>
    <w:rsid w:val="00FD2DF4"/>
    <w:rsid w:val="00FD3C05"/>
    <w:rsid w:val="00FD4D2C"/>
    <w:rsid w:val="00FD5026"/>
    <w:rsid w:val="00FD58CF"/>
    <w:rsid w:val="00FD60DE"/>
    <w:rsid w:val="00FD6BC6"/>
    <w:rsid w:val="00FE0681"/>
    <w:rsid w:val="00FE1718"/>
    <w:rsid w:val="00FE18A7"/>
    <w:rsid w:val="00FE1A38"/>
    <w:rsid w:val="00FE1C02"/>
    <w:rsid w:val="00FE2381"/>
    <w:rsid w:val="00FE2AEF"/>
    <w:rsid w:val="00FE3CF9"/>
    <w:rsid w:val="00FE3D25"/>
    <w:rsid w:val="00FE4B55"/>
    <w:rsid w:val="00FE514E"/>
    <w:rsid w:val="00FE51FA"/>
    <w:rsid w:val="00FE63B4"/>
    <w:rsid w:val="00FE67D0"/>
    <w:rsid w:val="00FF2578"/>
    <w:rsid w:val="00FF2FD1"/>
    <w:rsid w:val="00FF3680"/>
    <w:rsid w:val="00FF36FF"/>
    <w:rsid w:val="00FF4297"/>
    <w:rsid w:val="00FF4EEA"/>
    <w:rsid w:val="00FF4F97"/>
    <w:rsid w:val="00FF5A78"/>
    <w:rsid w:val="00FF5FB9"/>
    <w:rsid w:val="00FF7106"/>
    <w:rsid w:val="00FF73E7"/>
    <w:rsid w:val="00FF7E6F"/>
    <w:rsid w:val="00FF7FDB"/>
    <w:rsid w:val="04845983"/>
    <w:rsid w:val="0495C34D"/>
    <w:rsid w:val="09E94CF3"/>
    <w:rsid w:val="0E6F73D5"/>
    <w:rsid w:val="28B3D57C"/>
    <w:rsid w:val="2BEA6EC6"/>
    <w:rsid w:val="2C14DA33"/>
    <w:rsid w:val="44304DFA"/>
    <w:rsid w:val="454D78B3"/>
    <w:rsid w:val="66BAEE67"/>
    <w:rsid w:val="745DDBA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143f55"/>
    </o:shapedefaults>
    <o:shapelayout v:ext="edit">
      <o:idmap v:ext="edit" data="2"/>
    </o:shapelayout>
  </w:shapeDefaults>
  <w:decimalSymbol w:val="."/>
  <w:listSeparator w:val=","/>
  <w14:docId w14:val="454D78B3"/>
  <w15:chartTrackingRefBased/>
  <w15:docId w15:val="{6CC912F1-4EFB-40B7-A95E-F25EA81F97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iPriority="19"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Report Body"/>
    <w:qFormat/>
    <w:rsid w:val="003329DB"/>
    <w:pPr>
      <w:spacing w:before="120" w:after="120" w:line="300" w:lineRule="auto"/>
    </w:pPr>
    <w:rPr>
      <w:color w:val="000000" w:themeColor="text1"/>
      <w:sz w:val="21"/>
      <w:lang w:val="en-GB"/>
    </w:rPr>
  </w:style>
  <w:style w:type="paragraph" w:styleId="Heading1">
    <w:name w:val="heading 1"/>
    <w:basedOn w:val="Normal"/>
    <w:next w:val="Normal"/>
    <w:link w:val="Heading1Char"/>
    <w:uiPriority w:val="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pPr>
      <w:keepNext/>
      <w:keepLines/>
      <w:spacing w:before="80" w:after="40"/>
      <w:outlineLvl w:val="4"/>
    </w:pPr>
    <w:rPr>
      <w:rFonts w:eastAsiaTheme="majorEastAsia" w:cstheme="majorBidi"/>
      <w:color w:val="0F4761" w:themeColor="accent1" w:themeShade="BF"/>
    </w:rPr>
  </w:style>
  <w:style w:type="paragraph" w:styleId="Heading6">
    <w:name w:val="heading 6"/>
    <w:aliases w:val="Report [1] Chapter Heading,Table Heading"/>
    <w:basedOn w:val="Normal"/>
    <w:next w:val="Report2Heading1"/>
    <w:link w:val="Heading6Char"/>
    <w:uiPriority w:val="9"/>
    <w:unhideWhenUsed/>
    <w:rsid w:val="005665CA"/>
    <w:pPr>
      <w:keepNext/>
      <w:keepLines/>
      <w:spacing w:before="40" w:after="0" w:line="240" w:lineRule="auto"/>
      <w:outlineLvl w:val="5"/>
    </w:pPr>
    <w:rPr>
      <w:rFonts w:eastAsiaTheme="majorEastAsia" w:cstheme="majorBidi"/>
      <w:b/>
      <w:iCs/>
      <w:color w:val="00679F"/>
      <w:sz w:val="76"/>
    </w:rPr>
  </w:style>
  <w:style w:type="paragraph" w:styleId="Heading7">
    <w:name w:val="heading 7"/>
    <w:aliases w:val="Figures"/>
    <w:basedOn w:val="Normal"/>
    <w:next w:val="Normal"/>
    <w:link w:val="Heading7Char"/>
    <w:uiPriority w:val="9"/>
    <w:unhideWhenUse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aliases w:val="Report [1] Chapter Heading Char,Table Heading Char"/>
    <w:basedOn w:val="DefaultParagraphFont"/>
    <w:link w:val="Heading6"/>
    <w:uiPriority w:val="9"/>
    <w:rsid w:val="005665CA"/>
    <w:rPr>
      <w:rFonts w:ascii="HelveticaNeueLT Std Lt" w:eastAsiaTheme="majorEastAsia" w:hAnsi="HelveticaNeueLT Std Lt" w:cstheme="majorBidi"/>
      <w:b/>
      <w:iCs/>
      <w:color w:val="00679F"/>
      <w:sz w:val="76"/>
    </w:rPr>
  </w:style>
  <w:style w:type="character" w:customStyle="1" w:styleId="Heading7Char">
    <w:name w:val="Heading 7 Char"/>
    <w:aliases w:val="Figures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paragraph" w:customStyle="1" w:styleId="ReportTitleWhite">
    <w:name w:val="Report Title (White)"/>
    <w:basedOn w:val="Normal"/>
    <w:link w:val="ReportTitleWhiteChar"/>
    <w:rsid w:val="00E83421"/>
    <w:pPr>
      <w:spacing w:after="160" w:line="279" w:lineRule="auto"/>
    </w:pPr>
    <w:rPr>
      <w:rFonts w:ascii="HelveticaNeueLT Std" w:hAnsi="HelveticaNeueLT Std"/>
      <w:color w:val="FFFFFF" w:themeColor="background1"/>
      <w:sz w:val="50"/>
    </w:rPr>
  </w:style>
  <w:style w:type="character" w:customStyle="1" w:styleId="ReportTitleWhiteChar">
    <w:name w:val="Report Title (White) Char"/>
    <w:basedOn w:val="DefaultParagraphFont"/>
    <w:link w:val="ReportTitleWhite"/>
    <w:rsid w:val="00E83421"/>
    <w:rPr>
      <w:rFonts w:ascii="HelveticaNeueLT Std" w:hAnsi="HelveticaNeueLT Std"/>
      <w:color w:val="FFFFFF" w:themeColor="background1"/>
      <w:sz w:val="50"/>
    </w:rPr>
  </w:style>
  <w:style w:type="paragraph" w:styleId="Footer">
    <w:name w:val="footer"/>
    <w:basedOn w:val="Normal"/>
    <w:link w:val="FooterChar"/>
    <w:uiPriority w:val="99"/>
    <w:unhideWhenUsed/>
    <w:rsid w:val="00EA7C40"/>
    <w:pPr>
      <w:tabs>
        <w:tab w:val="center" w:pos="4680"/>
        <w:tab w:val="right" w:pos="9360"/>
      </w:tabs>
      <w:spacing w:after="0" w:line="240" w:lineRule="auto"/>
    </w:pPr>
    <w:rPr>
      <w:rFonts w:cs="Times New Roman"/>
      <w:color w:val="auto"/>
      <w:sz w:val="22"/>
      <w:szCs w:val="22"/>
      <w:lang w:eastAsia="en-US"/>
    </w:rPr>
  </w:style>
  <w:style w:type="character" w:customStyle="1" w:styleId="FooterChar">
    <w:name w:val="Footer Char"/>
    <w:basedOn w:val="DefaultParagraphFont"/>
    <w:link w:val="Footer"/>
    <w:uiPriority w:val="99"/>
    <w:rsid w:val="00EA7C40"/>
    <w:rPr>
      <w:rFonts w:cs="Times New Roman"/>
      <w:sz w:val="22"/>
      <w:szCs w:val="22"/>
      <w:lang w:eastAsia="en-US"/>
    </w:rPr>
  </w:style>
  <w:style w:type="paragraph" w:styleId="CommentSubject">
    <w:name w:val="annotation subject"/>
    <w:basedOn w:val="CommentText"/>
    <w:next w:val="CommentText"/>
    <w:link w:val="CommentSubjectChar"/>
    <w:uiPriority w:val="99"/>
    <w:semiHidden/>
    <w:unhideWhenUsed/>
    <w:rsid w:val="00E97659"/>
    <w:pPr>
      <w:spacing w:after="170"/>
    </w:pPr>
    <w:rPr>
      <w:rFonts w:ascii="HelveticaNeueLT Std Lt" w:eastAsiaTheme="minorEastAsia" w:hAnsi="HelveticaNeueLT Std Lt"/>
      <w:b/>
      <w:bCs/>
      <w:color w:val="636466"/>
      <w:sz w:val="20"/>
      <w:lang w:val="en-US" w:eastAsia="ja-JP"/>
    </w:rPr>
  </w:style>
  <w:style w:type="character" w:customStyle="1" w:styleId="CommentSubjectChar">
    <w:name w:val="Comment Subject Char"/>
    <w:basedOn w:val="CommentTextChar"/>
    <w:link w:val="CommentSubject"/>
    <w:uiPriority w:val="99"/>
    <w:semiHidden/>
    <w:rsid w:val="00E97659"/>
    <w:rPr>
      <w:rFonts w:ascii="HelveticaNeueLT Std Lt" w:eastAsiaTheme="minorHAnsi" w:hAnsi="HelveticaNeueLT Std Lt"/>
      <w:b/>
      <w:bCs/>
      <w:color w:val="636466"/>
      <w:sz w:val="20"/>
      <w:szCs w:val="20"/>
      <w:lang w:val="en-AU" w:eastAsia="en-US"/>
    </w:rPr>
  </w:style>
  <w:style w:type="paragraph" w:styleId="NoSpacing">
    <w:name w:val="No Spacing"/>
    <w:link w:val="NoSpacingChar"/>
    <w:uiPriority w:val="1"/>
    <w:rsid w:val="00EF7C0C"/>
    <w:pPr>
      <w:spacing w:after="0" w:line="240" w:lineRule="auto"/>
    </w:pPr>
  </w:style>
  <w:style w:type="paragraph" w:customStyle="1" w:styleId="Report2Heading1">
    <w:name w:val="Report [2] Heading 1"/>
    <w:basedOn w:val="Normal"/>
    <w:next w:val="Report3Heading2"/>
    <w:link w:val="Report2Heading1Char"/>
    <w:rsid w:val="00883BFC"/>
    <w:pPr>
      <w:spacing w:line="340" w:lineRule="exact"/>
    </w:pPr>
    <w:rPr>
      <w:b/>
      <w:color w:val="00679F"/>
      <w:sz w:val="28"/>
    </w:rPr>
  </w:style>
  <w:style w:type="character" w:customStyle="1" w:styleId="Report2Heading1Char">
    <w:name w:val="Report [2] Heading 1 Char"/>
    <w:basedOn w:val="DefaultParagraphFont"/>
    <w:link w:val="Report2Heading1"/>
    <w:rsid w:val="00883BFC"/>
    <w:rPr>
      <w:rFonts w:ascii="HelveticaNeueLT Std Lt" w:hAnsi="HelveticaNeueLT Std Lt"/>
      <w:b/>
      <w:color w:val="00679F"/>
      <w:sz w:val="28"/>
    </w:rPr>
  </w:style>
  <w:style w:type="paragraph" w:customStyle="1" w:styleId="Report3Heading2">
    <w:name w:val="Report [3] Heading 2"/>
    <w:basedOn w:val="Report2Heading1"/>
    <w:next w:val="Normal"/>
    <w:link w:val="Report3Heading2Char"/>
    <w:rsid w:val="007176EB"/>
    <w:pPr>
      <w:spacing w:line="280" w:lineRule="exact"/>
    </w:pPr>
    <w:rPr>
      <w:color w:val="10BFE8"/>
      <w:sz w:val="20"/>
    </w:rPr>
  </w:style>
  <w:style w:type="character" w:customStyle="1" w:styleId="Report3Heading2Char">
    <w:name w:val="Report [3] Heading 2 Char"/>
    <w:basedOn w:val="Heading6Char"/>
    <w:link w:val="Report3Heading2"/>
    <w:rsid w:val="007176EB"/>
    <w:rPr>
      <w:rFonts w:ascii="HelveticaNeueLT Std Lt" w:eastAsiaTheme="majorEastAsia" w:hAnsi="HelveticaNeueLT Std Lt" w:cstheme="majorBidi"/>
      <w:b/>
      <w:iCs w:val="0"/>
      <w:color w:val="10BFE8"/>
      <w:sz w:val="20"/>
    </w:rPr>
  </w:style>
  <w:style w:type="paragraph" w:customStyle="1" w:styleId="ReportFigureTitle">
    <w:name w:val="Report Figure Title"/>
    <w:basedOn w:val="Normal"/>
    <w:next w:val="Normal"/>
    <w:link w:val="ReportFigureTitleChar"/>
    <w:qFormat/>
    <w:rsid w:val="008547D6"/>
    <w:pPr>
      <w:spacing w:before="57"/>
    </w:pPr>
    <w:rPr>
      <w:color w:val="00679F"/>
      <w:sz w:val="24"/>
      <w:szCs w:val="21"/>
    </w:rPr>
  </w:style>
  <w:style w:type="character" w:customStyle="1" w:styleId="ReportFigureTitleChar">
    <w:name w:val="Report Figure Title Char"/>
    <w:basedOn w:val="DefaultParagraphFont"/>
    <w:link w:val="ReportFigureTitle"/>
    <w:rsid w:val="008547D6"/>
    <w:rPr>
      <w:color w:val="00679F"/>
      <w:szCs w:val="21"/>
      <w:lang w:val="en-GB"/>
    </w:rPr>
  </w:style>
  <w:style w:type="paragraph" w:customStyle="1" w:styleId="ReportFigureSource">
    <w:name w:val="Report Figure Source"/>
    <w:basedOn w:val="Normal"/>
    <w:link w:val="ReportFigureSourceChar"/>
    <w:qFormat/>
    <w:rsid w:val="003329DB"/>
    <w:pPr>
      <w:spacing w:before="170" w:after="113" w:line="200" w:lineRule="exact"/>
    </w:pPr>
    <w:rPr>
      <w:i/>
      <w:color w:val="auto"/>
      <w:sz w:val="18"/>
    </w:rPr>
  </w:style>
  <w:style w:type="character" w:customStyle="1" w:styleId="ReportFigureSourceChar">
    <w:name w:val="Report Figure Source Char"/>
    <w:basedOn w:val="DefaultParagraphFont"/>
    <w:link w:val="ReportFigureSource"/>
    <w:rsid w:val="00E74233"/>
    <w:rPr>
      <w:i/>
      <w:sz w:val="18"/>
      <w:lang w:val="en-GB"/>
    </w:rPr>
  </w:style>
  <w:style w:type="paragraph" w:customStyle="1" w:styleId="ReportFigureNotesandFootnotes">
    <w:name w:val="Report Figure Notes and Footnotes"/>
    <w:basedOn w:val="ReportFigureSource"/>
    <w:next w:val="Normal"/>
    <w:link w:val="ReportFigureNotesandFootnotesChar"/>
    <w:qFormat/>
    <w:rsid w:val="00E74233"/>
    <w:pPr>
      <w:ind w:left="113" w:hanging="113"/>
    </w:pPr>
    <w:rPr>
      <w:i w:val="0"/>
    </w:rPr>
  </w:style>
  <w:style w:type="character" w:customStyle="1" w:styleId="ReportFigureNotesandFootnotesChar">
    <w:name w:val="Report Figure Notes and Footnotes Char"/>
    <w:basedOn w:val="ReportFigureSourceChar"/>
    <w:link w:val="ReportFigureNotesandFootnotes"/>
    <w:rsid w:val="00E74233"/>
    <w:rPr>
      <w:i w:val="0"/>
      <w:color w:val="4D4D4D"/>
      <w:sz w:val="18"/>
      <w:lang w:val="en-GB"/>
    </w:rPr>
  </w:style>
  <w:style w:type="paragraph" w:customStyle="1" w:styleId="L3SectionHeading">
    <w:name w:val="L3: Section Heading"/>
    <w:basedOn w:val="BodyText"/>
    <w:link w:val="L3SectionHeadingChar"/>
    <w:qFormat/>
    <w:rsid w:val="007407B9"/>
    <w:pPr>
      <w:keepNext/>
      <w:keepLines/>
      <w:spacing w:before="40" w:after="0" w:line="279" w:lineRule="auto"/>
      <w:outlineLvl w:val="2"/>
    </w:pPr>
    <w:rPr>
      <w:rFonts w:asciiTheme="minorHAnsi" w:eastAsiaTheme="majorEastAsia" w:hAnsiTheme="minorHAnsi" w:cstheme="majorBidi"/>
      <w:b/>
      <w:bCs/>
      <w:color w:val="0777A3"/>
      <w:sz w:val="24"/>
      <w:lang w:val="en-GB"/>
    </w:rPr>
  </w:style>
  <w:style w:type="character" w:customStyle="1" w:styleId="L3SectionHeadingChar">
    <w:name w:val="L3: Section Heading Char"/>
    <w:basedOn w:val="DefaultParagraphFont"/>
    <w:link w:val="L3SectionHeading"/>
    <w:rsid w:val="00226114"/>
    <w:rPr>
      <w:rFonts w:eastAsiaTheme="majorEastAsia" w:cstheme="majorBidi"/>
      <w:b/>
      <w:bCs/>
      <w:color w:val="0777A3"/>
      <w:szCs w:val="20"/>
      <w:lang w:val="en-GB" w:eastAsia="en-US"/>
    </w:rPr>
  </w:style>
  <w:style w:type="character" w:styleId="Hyperlink">
    <w:name w:val="Hyperlink"/>
    <w:basedOn w:val="DefaultParagraphFont"/>
    <w:uiPriority w:val="99"/>
    <w:unhideWhenUsed/>
    <w:rsid w:val="007407B9"/>
    <w:rPr>
      <w:color w:val="467886" w:themeColor="hyperlink"/>
      <w:u w:val="single"/>
    </w:rPr>
  </w:style>
  <w:style w:type="character" w:styleId="CommentReference">
    <w:name w:val="annotation reference"/>
    <w:basedOn w:val="DefaultParagraphFont"/>
    <w:uiPriority w:val="99"/>
    <w:semiHidden/>
    <w:unhideWhenUsed/>
    <w:rsid w:val="007407B9"/>
    <w:rPr>
      <w:sz w:val="16"/>
      <w:szCs w:val="16"/>
    </w:rPr>
  </w:style>
  <w:style w:type="paragraph" w:styleId="CommentText">
    <w:name w:val="annotation text"/>
    <w:basedOn w:val="Normal"/>
    <w:link w:val="CommentTextChar"/>
    <w:uiPriority w:val="99"/>
    <w:unhideWhenUsed/>
    <w:rsid w:val="007407B9"/>
    <w:pPr>
      <w:spacing w:after="160" w:line="240" w:lineRule="auto"/>
    </w:pPr>
    <w:rPr>
      <w:rFonts w:ascii="Calibri" w:eastAsiaTheme="minorHAnsi" w:hAnsi="Calibri"/>
      <w:color w:val="auto"/>
      <w:sz w:val="22"/>
      <w:szCs w:val="20"/>
      <w:lang w:val="en-AU" w:eastAsia="en-US"/>
    </w:rPr>
  </w:style>
  <w:style w:type="character" w:customStyle="1" w:styleId="CommentTextChar">
    <w:name w:val="Comment Text Char"/>
    <w:basedOn w:val="DefaultParagraphFont"/>
    <w:link w:val="CommentText"/>
    <w:uiPriority w:val="99"/>
    <w:rsid w:val="007407B9"/>
    <w:rPr>
      <w:rFonts w:ascii="Calibri" w:eastAsiaTheme="minorHAnsi" w:hAnsi="Calibri"/>
      <w:sz w:val="22"/>
      <w:szCs w:val="20"/>
      <w:lang w:val="en-AU" w:eastAsia="en-US"/>
    </w:rPr>
  </w:style>
  <w:style w:type="paragraph" w:customStyle="1" w:styleId="L2Sub-heading">
    <w:name w:val="L2: Sub-heading"/>
    <w:basedOn w:val="Heading2"/>
    <w:next w:val="L3SectionHeading"/>
    <w:link w:val="L2Sub-headingChar"/>
    <w:autoRedefine/>
    <w:qFormat/>
    <w:rsid w:val="00E3684D"/>
    <w:pPr>
      <w:spacing w:before="40" w:after="0" w:line="240" w:lineRule="auto"/>
    </w:pPr>
    <w:rPr>
      <w:rFonts w:asciiTheme="minorHAnsi" w:hAnsiTheme="minorHAnsi"/>
      <w:b/>
      <w:bCs/>
      <w:color w:val="10BFE8"/>
      <w:sz w:val="36"/>
      <w:szCs w:val="40"/>
    </w:rPr>
  </w:style>
  <w:style w:type="character" w:customStyle="1" w:styleId="L2Sub-headingChar">
    <w:name w:val="L2: Sub-heading Char"/>
    <w:basedOn w:val="DefaultParagraphFont"/>
    <w:link w:val="L2Sub-heading"/>
    <w:rsid w:val="00E3684D"/>
    <w:rPr>
      <w:rFonts w:eastAsiaTheme="majorEastAsia" w:cstheme="majorBidi"/>
      <w:b/>
      <w:bCs/>
      <w:color w:val="10BFE8"/>
      <w:sz w:val="36"/>
      <w:szCs w:val="40"/>
      <w:lang w:val="en-GB"/>
    </w:rPr>
  </w:style>
  <w:style w:type="table" w:styleId="GridTable1Light">
    <w:name w:val="Grid Table 1 Light"/>
    <w:basedOn w:val="TableNormal"/>
    <w:uiPriority w:val="46"/>
    <w:rsid w:val="0051077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Mention">
    <w:name w:val="Mention"/>
    <w:basedOn w:val="DefaultParagraphFont"/>
    <w:uiPriority w:val="99"/>
    <w:unhideWhenUsed/>
    <w:rsid w:val="0051077D"/>
    <w:rPr>
      <w:color w:val="2B579A"/>
      <w:shd w:val="clear" w:color="auto" w:fill="E1DFDD"/>
    </w:rPr>
  </w:style>
  <w:style w:type="paragraph" w:customStyle="1" w:styleId="ReportTableColumnRowTitles">
    <w:name w:val="Report Table Column/Row Titles"/>
    <w:basedOn w:val="ReportFigureTitle"/>
    <w:link w:val="ReportTableColumnRowTitlesChar"/>
    <w:qFormat/>
    <w:rsid w:val="002C0B54"/>
    <w:pPr>
      <w:spacing w:before="113" w:after="57" w:line="225" w:lineRule="exact"/>
    </w:pPr>
    <w:rPr>
      <w:b/>
      <w:bCs/>
      <w:sz w:val="21"/>
      <w:lang w:val="en-AU"/>
    </w:rPr>
  </w:style>
  <w:style w:type="character" w:customStyle="1" w:styleId="ReportTableColumnRowTitlesChar">
    <w:name w:val="Report Table Column/Row Titles Char"/>
    <w:basedOn w:val="DefaultParagraphFont"/>
    <w:link w:val="ReportTableColumnRowTitles"/>
    <w:rsid w:val="002C0B54"/>
    <w:rPr>
      <w:b/>
      <w:bCs/>
      <w:color w:val="00679F"/>
      <w:sz w:val="21"/>
      <w:szCs w:val="21"/>
      <w:lang w:val="en-AU"/>
    </w:rPr>
  </w:style>
  <w:style w:type="table" w:styleId="TableGridLight">
    <w:name w:val="Grid Table Light"/>
    <w:basedOn w:val="TableNormal"/>
    <w:uiPriority w:val="40"/>
    <w:rsid w:val="00514FD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ReportTableandFigureBody">
    <w:name w:val="Report Table and Figure Body"/>
    <w:basedOn w:val="Normal"/>
    <w:link w:val="ReportTableandFigureBodyChar"/>
    <w:qFormat/>
    <w:rsid w:val="003329DB"/>
    <w:pPr>
      <w:spacing w:after="0" w:line="240" w:lineRule="auto"/>
    </w:pPr>
    <w:rPr>
      <w:color w:val="auto"/>
      <w:lang w:val="en-AU"/>
    </w:rPr>
  </w:style>
  <w:style w:type="character" w:customStyle="1" w:styleId="ReportTableandFigureBodyChar">
    <w:name w:val="Report Table and Figure Body Char"/>
    <w:basedOn w:val="DefaultParagraphFont"/>
    <w:link w:val="ReportTableandFigureBody"/>
    <w:rsid w:val="000A5D30"/>
    <w:rPr>
      <w:sz w:val="21"/>
      <w:lang w:val="en-AU"/>
    </w:rPr>
  </w:style>
  <w:style w:type="paragraph" w:styleId="Header">
    <w:name w:val="header"/>
    <w:basedOn w:val="Normal"/>
    <w:link w:val="HeaderChar"/>
    <w:uiPriority w:val="99"/>
    <w:unhideWhenUsed/>
    <w:rsid w:val="00C0635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06359"/>
    <w:rPr>
      <w:rFonts w:ascii="HelveticaNeueLT Std Lt" w:hAnsi="HelveticaNeueLT Std Lt"/>
      <w:color w:val="636466"/>
      <w:sz w:val="19"/>
    </w:rPr>
  </w:style>
  <w:style w:type="paragraph" w:customStyle="1" w:styleId="L1Heading">
    <w:name w:val="L1: Heading"/>
    <w:basedOn w:val="Heading1"/>
    <w:link w:val="L1HeadingChar"/>
    <w:qFormat/>
    <w:rsid w:val="0090660C"/>
    <w:pPr>
      <w:spacing w:before="120" w:after="120"/>
    </w:pPr>
    <w:rPr>
      <w:rFonts w:asciiTheme="minorHAnsi" w:hAnsiTheme="minorHAnsi"/>
      <w:b/>
      <w:color w:val="00679F"/>
      <w:sz w:val="76"/>
    </w:rPr>
  </w:style>
  <w:style w:type="character" w:customStyle="1" w:styleId="L1HeadingChar">
    <w:name w:val="L1: Heading Char"/>
    <w:basedOn w:val="Heading6Char"/>
    <w:link w:val="L1Heading"/>
    <w:rsid w:val="0090660C"/>
    <w:rPr>
      <w:rFonts w:ascii="HelveticaNeueLT Std Lt" w:eastAsiaTheme="majorEastAsia" w:hAnsi="HelveticaNeueLT Std Lt" w:cstheme="majorBidi"/>
      <w:b/>
      <w:iCs w:val="0"/>
      <w:color w:val="00679F"/>
      <w:sz w:val="76"/>
      <w:szCs w:val="40"/>
      <w:lang w:val="en-GB"/>
    </w:rPr>
  </w:style>
  <w:style w:type="character" w:customStyle="1" w:styleId="TitleChar">
    <w:name w:val="Title Char"/>
    <w:basedOn w:val="DefaultParagraphFont"/>
    <w:link w:val="Title"/>
    <w:uiPriority w:val="10"/>
    <w:rsid w:val="00786D3E"/>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rsid w:val="00786D3E"/>
    <w:pPr>
      <w:spacing w:after="8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1">
    <w:name w:val="Title Char1"/>
    <w:basedOn w:val="DefaultParagraphFont"/>
    <w:uiPriority w:val="10"/>
    <w:rsid w:val="00786D3E"/>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786D3E"/>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rsid w:val="00786D3E"/>
    <w:pPr>
      <w:numPr>
        <w:ilvl w:val="1"/>
      </w:numPr>
      <w:spacing w:after="160" w:line="279" w:lineRule="auto"/>
    </w:pPr>
    <w:rPr>
      <w:rFonts w:eastAsiaTheme="majorEastAsia" w:cstheme="majorBidi"/>
      <w:color w:val="595959" w:themeColor="text1" w:themeTint="A6"/>
      <w:spacing w:val="15"/>
      <w:sz w:val="28"/>
      <w:szCs w:val="28"/>
    </w:rPr>
  </w:style>
  <w:style w:type="character" w:customStyle="1" w:styleId="SubtitleChar1">
    <w:name w:val="Subtitle Char1"/>
    <w:basedOn w:val="DefaultParagraphFont"/>
    <w:uiPriority w:val="11"/>
    <w:rsid w:val="00786D3E"/>
    <w:rPr>
      <w:color w:val="5A5A5A" w:themeColor="text1" w:themeTint="A5"/>
      <w:spacing w:val="15"/>
      <w:sz w:val="22"/>
      <w:szCs w:val="22"/>
    </w:rPr>
  </w:style>
  <w:style w:type="character" w:styleId="IntenseEmphasis">
    <w:name w:val="Intense Emphasis"/>
    <w:basedOn w:val="DefaultParagraphFont"/>
    <w:uiPriority w:val="21"/>
    <w:rsid w:val="00786D3E"/>
    <w:rPr>
      <w:i/>
      <w:iCs/>
      <w:color w:val="0F4761" w:themeColor="accent1" w:themeShade="BF"/>
    </w:rPr>
  </w:style>
  <w:style w:type="character" w:customStyle="1" w:styleId="QuoteChar">
    <w:name w:val="Quote Char"/>
    <w:basedOn w:val="DefaultParagraphFont"/>
    <w:link w:val="Quote"/>
    <w:uiPriority w:val="29"/>
    <w:rsid w:val="00786D3E"/>
    <w:rPr>
      <w:i/>
      <w:iCs/>
      <w:color w:val="404040" w:themeColor="text1" w:themeTint="BF"/>
    </w:rPr>
  </w:style>
  <w:style w:type="paragraph" w:styleId="Quote">
    <w:name w:val="Quote"/>
    <w:basedOn w:val="Normal"/>
    <w:next w:val="Normal"/>
    <w:link w:val="QuoteChar"/>
    <w:uiPriority w:val="29"/>
    <w:rsid w:val="00786D3E"/>
    <w:pPr>
      <w:spacing w:before="160" w:after="160" w:line="279" w:lineRule="auto"/>
      <w:jc w:val="center"/>
    </w:pPr>
    <w:rPr>
      <w:i/>
      <w:iCs/>
      <w:color w:val="404040" w:themeColor="text1" w:themeTint="BF"/>
      <w:sz w:val="24"/>
    </w:rPr>
  </w:style>
  <w:style w:type="character" w:customStyle="1" w:styleId="QuoteChar1">
    <w:name w:val="Quote Char1"/>
    <w:basedOn w:val="DefaultParagraphFont"/>
    <w:uiPriority w:val="29"/>
    <w:rsid w:val="00786D3E"/>
    <w:rPr>
      <w:rFonts w:ascii="HelveticaNeueLT Std Lt" w:hAnsi="HelveticaNeueLT Std Lt"/>
      <w:i/>
      <w:iCs/>
      <w:color w:val="404040" w:themeColor="text1" w:themeTint="BF"/>
      <w:sz w:val="19"/>
    </w:rPr>
  </w:style>
  <w:style w:type="character" w:customStyle="1" w:styleId="IntenseQuoteChar">
    <w:name w:val="Intense Quote Char"/>
    <w:basedOn w:val="DefaultParagraphFont"/>
    <w:link w:val="IntenseQuote"/>
    <w:uiPriority w:val="30"/>
    <w:rsid w:val="00786D3E"/>
    <w:rPr>
      <w:i/>
      <w:iCs/>
      <w:color w:val="0F4761" w:themeColor="accent1" w:themeShade="BF"/>
    </w:rPr>
  </w:style>
  <w:style w:type="paragraph" w:styleId="IntenseQuote">
    <w:name w:val="Intense Quote"/>
    <w:basedOn w:val="Normal"/>
    <w:next w:val="Normal"/>
    <w:link w:val="IntenseQuoteChar"/>
    <w:uiPriority w:val="30"/>
    <w:rsid w:val="00786D3E"/>
    <w:pPr>
      <w:pBdr>
        <w:top w:val="single" w:sz="4" w:space="10" w:color="0F4761" w:themeColor="accent1" w:themeShade="BF"/>
        <w:bottom w:val="single" w:sz="4" w:space="10" w:color="0F4761" w:themeColor="accent1" w:themeShade="BF"/>
      </w:pBdr>
      <w:spacing w:before="360" w:after="360" w:line="279" w:lineRule="auto"/>
      <w:ind w:left="864" w:right="864"/>
      <w:jc w:val="center"/>
    </w:pPr>
    <w:rPr>
      <w:i/>
      <w:iCs/>
      <w:color w:val="0F4761" w:themeColor="accent1" w:themeShade="BF"/>
      <w:sz w:val="24"/>
    </w:rPr>
  </w:style>
  <w:style w:type="character" w:customStyle="1" w:styleId="IntenseQuoteChar1">
    <w:name w:val="Intense Quote Char1"/>
    <w:basedOn w:val="DefaultParagraphFont"/>
    <w:uiPriority w:val="30"/>
    <w:rsid w:val="00786D3E"/>
    <w:rPr>
      <w:rFonts w:ascii="HelveticaNeueLT Std Lt" w:hAnsi="HelveticaNeueLT Std Lt"/>
      <w:i/>
      <w:iCs/>
      <w:color w:val="156082" w:themeColor="accent1"/>
      <w:sz w:val="19"/>
    </w:rPr>
  </w:style>
  <w:style w:type="character" w:styleId="IntenseReference">
    <w:name w:val="Intense Reference"/>
    <w:basedOn w:val="DefaultParagraphFont"/>
    <w:uiPriority w:val="32"/>
    <w:rsid w:val="00786D3E"/>
    <w:rPr>
      <w:b/>
      <w:bCs/>
      <w:smallCaps/>
      <w:color w:val="0F4761" w:themeColor="accent1" w:themeShade="BF"/>
      <w:spacing w:val="5"/>
    </w:rPr>
  </w:style>
  <w:style w:type="paragraph" w:customStyle="1" w:styleId="Box1Heading">
    <w:name w:val="Box 1 Heading"/>
    <w:basedOn w:val="Normal"/>
    <w:link w:val="Box1HeadingChar"/>
    <w:rsid w:val="00786D3E"/>
    <w:pPr>
      <w:spacing w:after="0" w:line="240" w:lineRule="auto"/>
    </w:pPr>
    <w:rPr>
      <w:color w:val="0777A3"/>
      <w:sz w:val="28"/>
      <w:szCs w:val="28"/>
    </w:rPr>
  </w:style>
  <w:style w:type="character" w:customStyle="1" w:styleId="Box1HeadingChar">
    <w:name w:val="Box 1 Heading Char"/>
    <w:basedOn w:val="DefaultParagraphFont"/>
    <w:link w:val="Box1Heading"/>
    <w:rsid w:val="00786D3E"/>
    <w:rPr>
      <w:color w:val="0777A3"/>
      <w:sz w:val="28"/>
      <w:szCs w:val="28"/>
    </w:rPr>
  </w:style>
  <w:style w:type="paragraph" w:customStyle="1" w:styleId="BodyText1">
    <w:name w:val="Body Text1"/>
    <w:basedOn w:val="Normal"/>
    <w:link w:val="BodytextChar"/>
    <w:rsid w:val="00786D3E"/>
    <w:pPr>
      <w:spacing w:after="0" w:line="276" w:lineRule="auto"/>
    </w:pPr>
    <w:rPr>
      <w:rFonts w:ascii="Calibri" w:hAnsi="Calibri"/>
      <w:sz w:val="22"/>
      <w:szCs w:val="22"/>
    </w:rPr>
  </w:style>
  <w:style w:type="character" w:customStyle="1" w:styleId="BodytextChar">
    <w:name w:val="Body text Char"/>
    <w:basedOn w:val="DefaultParagraphFont"/>
    <w:link w:val="BodyText1"/>
    <w:rsid w:val="00786D3E"/>
    <w:rPr>
      <w:rFonts w:ascii="Calibri" w:hAnsi="Calibri"/>
      <w:color w:val="000000" w:themeColor="text1"/>
      <w:sz w:val="22"/>
      <w:szCs w:val="22"/>
      <w:lang w:val="en-GB"/>
    </w:rPr>
  </w:style>
  <w:style w:type="paragraph" w:customStyle="1" w:styleId="L4Sub-sectionHeading">
    <w:name w:val="L4: Sub-section Heading"/>
    <w:basedOn w:val="Normal"/>
    <w:next w:val="Normal"/>
    <w:link w:val="L4Sub-sectionHeadingChar"/>
    <w:qFormat/>
    <w:rsid w:val="00786D3E"/>
    <w:pPr>
      <w:keepNext/>
      <w:keepLines/>
      <w:spacing w:before="40" w:after="0" w:line="276" w:lineRule="auto"/>
      <w:outlineLvl w:val="3"/>
    </w:pPr>
    <w:rPr>
      <w:rFonts w:eastAsiaTheme="majorEastAsia" w:cstheme="majorBidi"/>
      <w:b/>
      <w:bCs/>
      <w:i/>
      <w:iCs/>
      <w:color w:val="0777A3"/>
      <w:sz w:val="22"/>
      <w:szCs w:val="22"/>
    </w:rPr>
  </w:style>
  <w:style w:type="character" w:customStyle="1" w:styleId="L4Sub-sectionHeadingChar">
    <w:name w:val="L4: Sub-section Heading Char"/>
    <w:basedOn w:val="DefaultParagraphFont"/>
    <w:link w:val="L4Sub-sectionHeading"/>
    <w:rsid w:val="00786D3E"/>
    <w:rPr>
      <w:rFonts w:eastAsiaTheme="majorEastAsia" w:cstheme="majorBidi"/>
      <w:b/>
      <w:bCs/>
      <w:i/>
      <w:iCs/>
      <w:color w:val="0777A3"/>
      <w:sz w:val="22"/>
      <w:szCs w:val="22"/>
    </w:rPr>
  </w:style>
  <w:style w:type="paragraph" w:styleId="ListParagraph">
    <w:name w:val="List Paragraph"/>
    <w:aliases w:val="1 heading,DDM Gen Text,List Paragraph1,List Paragraph11,Recommendation,Bullet 1,Bullet list,List 1,L,bullet point list,Bullet point,Dot point 1.5 line spacing,List Paragraph - bullets,NFP GP Bulleted List,Bulleted Para,FooterText,numbered"/>
    <w:basedOn w:val="Normal"/>
    <w:link w:val="ListParagraphChar"/>
    <w:uiPriority w:val="34"/>
    <w:qFormat/>
    <w:rsid w:val="00786D3E"/>
    <w:pPr>
      <w:spacing w:after="160" w:line="279" w:lineRule="auto"/>
      <w:ind w:left="720"/>
      <w:contextualSpacing/>
    </w:pPr>
    <w:rPr>
      <w:color w:val="auto"/>
      <w:sz w:val="24"/>
    </w:rPr>
  </w:style>
  <w:style w:type="table" w:styleId="TableGrid">
    <w:name w:val="Table Grid"/>
    <w:aliases w:val="Table 1,Table Layout,none,ICB Table,PB Table,1TableGrid,McLL Table General Text,SGS Numeric Table,GTA,EP Table Grid,CV table,EY Table,EY Question Table,EYTable,CV1,new tab,Equifax table,Header Table,Format for the table,Header Table Grid,AEMO"/>
    <w:basedOn w:val="TableNormal"/>
    <w:uiPriority w:val="59"/>
    <w:rsid w:val="00786D3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Revision">
    <w:name w:val="Revision"/>
    <w:hidden/>
    <w:uiPriority w:val="99"/>
    <w:semiHidden/>
    <w:rsid w:val="00786D3E"/>
    <w:pPr>
      <w:spacing w:after="0" w:line="240" w:lineRule="auto"/>
    </w:pPr>
  </w:style>
  <w:style w:type="character" w:styleId="UnresolvedMention">
    <w:name w:val="Unresolved Mention"/>
    <w:basedOn w:val="DefaultParagraphFont"/>
    <w:uiPriority w:val="99"/>
    <w:semiHidden/>
    <w:unhideWhenUsed/>
    <w:rsid w:val="00786D3E"/>
    <w:rPr>
      <w:color w:val="605E5C"/>
      <w:shd w:val="clear" w:color="auto" w:fill="E1DFDD"/>
    </w:rPr>
  </w:style>
  <w:style w:type="character" w:styleId="FollowedHyperlink">
    <w:name w:val="FollowedHyperlink"/>
    <w:basedOn w:val="DefaultParagraphFont"/>
    <w:uiPriority w:val="99"/>
    <w:semiHidden/>
    <w:unhideWhenUsed/>
    <w:rsid w:val="00786D3E"/>
    <w:rPr>
      <w:color w:val="96607D" w:themeColor="followedHyperlink"/>
      <w:u w:val="single"/>
    </w:rPr>
  </w:style>
  <w:style w:type="paragraph" w:styleId="NormalWeb">
    <w:name w:val="Normal (Web)"/>
    <w:basedOn w:val="Normal"/>
    <w:uiPriority w:val="99"/>
    <w:unhideWhenUsed/>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paragraph" w:styleId="FootnoteText">
    <w:name w:val="footnote text"/>
    <w:basedOn w:val="Normal"/>
    <w:link w:val="FootnoteTextChar"/>
    <w:uiPriority w:val="99"/>
    <w:unhideWhenUsed/>
    <w:rsid w:val="00786D3E"/>
    <w:pPr>
      <w:spacing w:after="0" w:line="240" w:lineRule="auto"/>
    </w:pPr>
    <w:rPr>
      <w:color w:val="auto"/>
      <w:sz w:val="20"/>
      <w:szCs w:val="20"/>
    </w:rPr>
  </w:style>
  <w:style w:type="character" w:customStyle="1" w:styleId="FootnoteTextChar">
    <w:name w:val="Footnote Text Char"/>
    <w:basedOn w:val="DefaultParagraphFont"/>
    <w:link w:val="FootnoteText"/>
    <w:uiPriority w:val="99"/>
    <w:rsid w:val="00786D3E"/>
    <w:rPr>
      <w:sz w:val="20"/>
      <w:szCs w:val="20"/>
    </w:rPr>
  </w:style>
  <w:style w:type="character" w:styleId="FootnoteReference">
    <w:name w:val="footnote reference"/>
    <w:basedOn w:val="DefaultParagraphFont"/>
    <w:uiPriority w:val="99"/>
    <w:semiHidden/>
    <w:unhideWhenUsed/>
    <w:rsid w:val="00786D3E"/>
    <w:rPr>
      <w:vertAlign w:val="superscript"/>
    </w:rPr>
  </w:style>
  <w:style w:type="character" w:customStyle="1" w:styleId="cf01">
    <w:name w:val="cf01"/>
    <w:basedOn w:val="DefaultParagraphFont"/>
    <w:rsid w:val="00786D3E"/>
    <w:rPr>
      <w:rFonts w:ascii="Segoe UI" w:hAnsi="Segoe UI" w:cs="Segoe UI" w:hint="default"/>
      <w:sz w:val="18"/>
      <w:szCs w:val="18"/>
    </w:rPr>
  </w:style>
  <w:style w:type="table" w:customStyle="1" w:styleId="TableGrid1">
    <w:name w:val="Table Grid1"/>
    <w:basedOn w:val="TableNormal"/>
    <w:next w:val="TableGrid"/>
    <w:uiPriority w:val="39"/>
    <w:rsid w:val="00786D3E"/>
    <w:pPr>
      <w:spacing w:after="0" w:line="240" w:lineRule="auto"/>
    </w:pPr>
    <w:rPr>
      <w:rFonts w:eastAsia="Aptos"/>
      <w:kern w:val="2"/>
      <w:sz w:val="22"/>
      <w:szCs w:val="22"/>
      <w:lang w:val="en-AU"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dress">
    <w:name w:val="Address"/>
    <w:basedOn w:val="Subtitle"/>
    <w:rsid w:val="00786D3E"/>
  </w:style>
  <w:style w:type="paragraph" w:customStyle="1" w:styleId="Authoranddate">
    <w:name w:val="Author and date"/>
    <w:basedOn w:val="Subtitle"/>
    <w:link w:val="AuthoranddateChar"/>
    <w:rsid w:val="00786D3E"/>
  </w:style>
  <w:style w:type="character" w:customStyle="1" w:styleId="AuthoranddateChar">
    <w:name w:val="Author and date Char"/>
    <w:basedOn w:val="SubtitleChar"/>
    <w:link w:val="Authoranddate"/>
    <w:rsid w:val="00786D3E"/>
    <w:rPr>
      <w:rFonts w:eastAsiaTheme="majorEastAsia" w:cstheme="majorBidi"/>
      <w:color w:val="595959" w:themeColor="text1" w:themeTint="A6"/>
      <w:spacing w:val="15"/>
      <w:sz w:val="28"/>
      <w:szCs w:val="28"/>
    </w:rPr>
  </w:style>
  <w:style w:type="paragraph" w:styleId="BalloonText">
    <w:name w:val="Balloon Text"/>
    <w:basedOn w:val="Normal"/>
    <w:link w:val="BalloonTextChar"/>
    <w:uiPriority w:val="99"/>
    <w:semiHidden/>
    <w:unhideWhenUsed/>
    <w:rsid w:val="00786D3E"/>
    <w:pPr>
      <w:spacing w:after="0" w:line="240" w:lineRule="auto"/>
    </w:pPr>
    <w:rPr>
      <w:rFonts w:ascii="Segoe UI" w:eastAsiaTheme="minorHAnsi" w:hAnsi="Segoe UI" w:cs="Segoe UI"/>
      <w:color w:val="auto"/>
      <w:sz w:val="18"/>
      <w:szCs w:val="18"/>
      <w:lang w:val="en-AU" w:eastAsia="en-US"/>
    </w:rPr>
  </w:style>
  <w:style w:type="character" w:customStyle="1" w:styleId="BalloonTextChar">
    <w:name w:val="Balloon Text Char"/>
    <w:basedOn w:val="DefaultParagraphFont"/>
    <w:link w:val="BalloonText"/>
    <w:uiPriority w:val="99"/>
    <w:semiHidden/>
    <w:rsid w:val="00786D3E"/>
    <w:rPr>
      <w:rFonts w:ascii="Segoe UI" w:eastAsiaTheme="minorHAnsi" w:hAnsi="Segoe UI" w:cs="Segoe UI"/>
      <w:sz w:val="18"/>
      <w:szCs w:val="18"/>
      <w:lang w:val="en-AU" w:eastAsia="en-US"/>
    </w:rPr>
  </w:style>
  <w:style w:type="paragraph" w:styleId="BodyText">
    <w:name w:val="Body Text"/>
    <w:basedOn w:val="Normal"/>
    <w:link w:val="BodyTextChar0"/>
    <w:autoRedefine/>
    <w:uiPriority w:val="1"/>
    <w:rsid w:val="00786D3E"/>
    <w:pPr>
      <w:spacing w:line="276" w:lineRule="auto"/>
    </w:pPr>
    <w:rPr>
      <w:rFonts w:ascii="Calibri" w:eastAsiaTheme="minorHAnsi" w:hAnsi="Calibri"/>
      <w:color w:val="000000"/>
      <w:sz w:val="22"/>
      <w:szCs w:val="20"/>
      <w:lang w:val="en-AU" w:eastAsia="en-US"/>
    </w:rPr>
  </w:style>
  <w:style w:type="character" w:customStyle="1" w:styleId="BodyTextChar0">
    <w:name w:val="Body Text Char"/>
    <w:basedOn w:val="DefaultParagraphFont"/>
    <w:link w:val="BodyText"/>
    <w:uiPriority w:val="1"/>
    <w:rsid w:val="00786D3E"/>
    <w:rPr>
      <w:rFonts w:ascii="Calibri" w:eastAsiaTheme="minorHAnsi" w:hAnsi="Calibri"/>
      <w:color w:val="000000"/>
      <w:sz w:val="22"/>
      <w:szCs w:val="20"/>
      <w:lang w:val="en-AU" w:eastAsia="en-US"/>
    </w:rPr>
  </w:style>
  <w:style w:type="paragraph" w:customStyle="1" w:styleId="Calloutboxtext">
    <w:name w:val="Call out box text"/>
    <w:basedOn w:val="Normal"/>
    <w:link w:val="CalloutboxtextChar"/>
    <w:rsid w:val="00786D3E"/>
    <w:pPr>
      <w:pBdr>
        <w:top w:val="single" w:sz="4" w:space="6" w:color="C1E4F5" w:themeColor="accent1" w:themeTint="33"/>
        <w:left w:val="single" w:sz="4" w:space="4" w:color="C1E4F5" w:themeColor="accent1" w:themeTint="33"/>
        <w:bottom w:val="single" w:sz="4" w:space="6" w:color="C1E4F5" w:themeColor="accent1" w:themeTint="33"/>
        <w:right w:val="single" w:sz="4" w:space="4" w:color="C1E4F5" w:themeColor="accent1" w:themeTint="33"/>
      </w:pBdr>
      <w:shd w:val="clear" w:color="auto" w:fill="C1E4F5" w:themeFill="accent1" w:themeFillTint="33"/>
      <w:spacing w:line="276" w:lineRule="auto"/>
      <w:contextualSpacing/>
    </w:pPr>
    <w:rPr>
      <w:rFonts w:ascii="Calibri" w:eastAsiaTheme="minorHAnsi" w:hAnsi="Calibri"/>
      <w:color w:val="auto"/>
      <w:sz w:val="22"/>
      <w:szCs w:val="22"/>
      <w:lang w:val="en-AU" w:eastAsia="en-US"/>
    </w:rPr>
  </w:style>
  <w:style w:type="paragraph" w:styleId="Caption">
    <w:name w:val="caption"/>
    <w:basedOn w:val="Normal"/>
    <w:next w:val="Normal"/>
    <w:uiPriority w:val="35"/>
    <w:unhideWhenUsed/>
    <w:qFormat/>
    <w:rsid w:val="00786D3E"/>
    <w:pPr>
      <w:spacing w:line="240" w:lineRule="auto"/>
    </w:pPr>
    <w:rPr>
      <w:rFonts w:ascii="Calibri" w:eastAsiaTheme="minorHAnsi" w:hAnsi="Calibri"/>
      <w:i/>
      <w:iCs/>
      <w:color w:val="0E2841" w:themeColor="text2"/>
      <w:sz w:val="22"/>
      <w:szCs w:val="18"/>
      <w:lang w:val="en-AU" w:eastAsia="en-US"/>
    </w:rPr>
  </w:style>
  <w:style w:type="paragraph" w:customStyle="1" w:styleId="ChapterHeading2">
    <w:name w:val="Chapter Heading 2"/>
    <w:basedOn w:val="Heading2"/>
    <w:next w:val="BodyText"/>
    <w:uiPriority w:val="5"/>
    <w:rsid w:val="00786D3E"/>
    <w:pPr>
      <w:keepLines w:val="0"/>
      <w:spacing w:before="200" w:after="120" w:line="240" w:lineRule="auto"/>
      <w:contextualSpacing/>
    </w:pPr>
    <w:rPr>
      <w:rFonts w:ascii="Calibri" w:eastAsia="Times New Roman" w:hAnsi="Calibri" w:cstheme="minorBidi"/>
      <w:iCs/>
      <w:color w:val="156082" w:themeColor="accent1"/>
      <w:sz w:val="36"/>
      <w:szCs w:val="28"/>
      <w:lang w:val="en-AU" w:eastAsia="en-US"/>
    </w:rPr>
  </w:style>
  <w:style w:type="character" w:styleId="Emphasis">
    <w:name w:val="Emphasis"/>
    <w:basedOn w:val="DefaultParagraphFont"/>
    <w:uiPriority w:val="20"/>
    <w:rsid w:val="00786D3E"/>
    <w:rPr>
      <w:i/>
      <w:iCs/>
    </w:rPr>
  </w:style>
  <w:style w:type="paragraph" w:customStyle="1" w:styleId="ESheading2">
    <w:name w:val="ES heading 2"/>
    <w:basedOn w:val="Normal"/>
    <w:rsid w:val="00786D3E"/>
    <w:pPr>
      <w:keepNext/>
      <w:spacing w:before="200" w:line="240" w:lineRule="auto"/>
      <w:contextualSpacing/>
      <w:outlineLvl w:val="1"/>
    </w:pPr>
    <w:rPr>
      <w:rFonts w:ascii="Calibri" w:eastAsia="Times New Roman" w:hAnsi="Calibri"/>
      <w:iCs/>
      <w:color w:val="156082" w:themeColor="accent1"/>
      <w:sz w:val="28"/>
      <w:szCs w:val="28"/>
      <w:lang w:val="en-AU" w:eastAsia="en-US"/>
    </w:rPr>
  </w:style>
  <w:style w:type="table" w:styleId="GridTable1Light-Accent2">
    <w:name w:val="Grid Table 1 Light Accent 2"/>
    <w:basedOn w:val="TableNormal"/>
    <w:uiPriority w:val="46"/>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F6C5AC" w:themeColor="accent2" w:themeTint="66"/>
        <w:left w:val="single" w:sz="4" w:space="0" w:color="F6C5AC" w:themeColor="accent2" w:themeTint="66"/>
        <w:bottom w:val="single" w:sz="4" w:space="0" w:color="F6C5AC" w:themeColor="accent2" w:themeTint="66"/>
        <w:right w:val="single" w:sz="4" w:space="0" w:color="F6C5AC" w:themeColor="accent2" w:themeTint="66"/>
        <w:insideH w:val="single" w:sz="4" w:space="0" w:color="F6C5AC" w:themeColor="accent2" w:themeTint="66"/>
        <w:insideV w:val="single" w:sz="4" w:space="0" w:color="F6C5AC" w:themeColor="accent2" w:themeTint="66"/>
      </w:tblBorders>
    </w:tblPr>
    <w:tblStylePr w:type="firstRow">
      <w:rPr>
        <w:b/>
        <w:bCs/>
      </w:rPr>
      <w:tblPr/>
      <w:tcPr>
        <w:tcBorders>
          <w:bottom w:val="single" w:sz="12" w:space="0" w:color="F1A983" w:themeColor="accent2" w:themeTint="99"/>
        </w:tcBorders>
      </w:tcPr>
    </w:tblStylePr>
    <w:tblStylePr w:type="lastRow">
      <w:rPr>
        <w:b/>
        <w:bCs/>
      </w:rPr>
      <w:tblPr/>
      <w:tcPr>
        <w:tcBorders>
          <w:top w:val="double" w:sz="2" w:space="0" w:color="F1A983" w:themeColor="accent2"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styleId="GridTable4-Accent2">
    <w:name w:val="Grid Table 4 Accent 2"/>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insideV w:val="single" w:sz="4" w:space="0" w:color="F1A983" w:themeColor="accent2" w:themeTint="99"/>
      </w:tblBorders>
    </w:tblPr>
    <w:tblStylePr w:type="firstRow">
      <w:rPr>
        <w:b/>
        <w:bCs/>
        <w:color w:val="FFFFFF" w:themeColor="background1"/>
      </w:rPr>
      <w:tblPr/>
      <w:tcPr>
        <w:tcBorders>
          <w:top w:val="single" w:sz="4" w:space="0" w:color="E97132" w:themeColor="accent2"/>
          <w:left w:val="single" w:sz="4" w:space="0" w:color="E97132" w:themeColor="accent2"/>
          <w:bottom w:val="single" w:sz="4" w:space="0" w:color="E97132" w:themeColor="accent2"/>
          <w:right w:val="single" w:sz="4" w:space="0" w:color="E97132" w:themeColor="accent2"/>
          <w:insideH w:val="nil"/>
          <w:insideV w:val="nil"/>
        </w:tcBorders>
        <w:shd w:val="clear" w:color="auto" w:fill="E97132" w:themeFill="accent2"/>
      </w:tcPr>
    </w:tblStylePr>
    <w:tblStylePr w:type="lastRow">
      <w:rPr>
        <w:b/>
        <w:bCs/>
      </w:rPr>
      <w:tblPr/>
      <w:tcPr>
        <w:tcBorders>
          <w:top w:val="double" w:sz="4" w:space="0" w:color="E97132" w:themeColor="accent2"/>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styleId="GridTable4-Accent3">
    <w:name w:val="Grid Table 4 Accent 3"/>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insideV w:val="nil"/>
        </w:tcBorders>
        <w:shd w:val="clear" w:color="auto" w:fill="196B24" w:themeFill="accent3"/>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GridTable4-Accent4">
    <w:name w:val="Grid Table 4 Accent 4"/>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insideV w:val="nil"/>
        </w:tcBorders>
        <w:shd w:val="clear" w:color="auto" w:fill="0F9ED5" w:themeFill="accent4"/>
      </w:tcPr>
    </w:tblStylePr>
    <w:tblStylePr w:type="lastRow">
      <w:rPr>
        <w:b/>
        <w:bCs/>
      </w:rPr>
      <w:tblPr/>
      <w:tcPr>
        <w:tcBorders>
          <w:top w:val="double" w:sz="4" w:space="0" w:color="0F9ED5" w:themeColor="accent4"/>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table" w:styleId="GridTable4-Accent5">
    <w:name w:val="Grid Table 4 Accent 5"/>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insideV w:val="nil"/>
        </w:tcBorders>
        <w:shd w:val="clear" w:color="auto" w:fill="A02B93" w:themeFill="accent5"/>
      </w:tcPr>
    </w:tblStylePr>
    <w:tblStylePr w:type="lastRow">
      <w:rPr>
        <w:b/>
        <w:bCs/>
      </w:rPr>
      <w:tblPr/>
      <w:tcPr>
        <w:tcBorders>
          <w:top w:val="double" w:sz="4" w:space="0" w:color="A02B93" w:themeColor="accent5"/>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table" w:styleId="GridTable5Dark-Accent1">
    <w:name w:val="Grid Table 5 Dark Accent 1"/>
    <w:basedOn w:val="TableNormal"/>
    <w:uiPriority w:val="50"/>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E4F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5608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5608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5608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56082" w:themeFill="accent1"/>
      </w:tcPr>
    </w:tblStylePr>
    <w:tblStylePr w:type="band1Vert">
      <w:tblPr/>
      <w:tcPr>
        <w:shd w:val="clear" w:color="auto" w:fill="83CAEB" w:themeFill="accent1" w:themeFillTint="66"/>
      </w:tcPr>
    </w:tblStylePr>
    <w:tblStylePr w:type="band1Horz">
      <w:tblPr/>
      <w:tcPr>
        <w:shd w:val="clear" w:color="auto" w:fill="83CAEB" w:themeFill="accent1" w:themeFillTint="66"/>
      </w:tcPr>
    </w:tblStylePr>
  </w:style>
  <w:style w:type="paragraph" w:customStyle="1" w:styleId="Headingnon-numbered">
    <w:name w:val="Heading (non-numbered)"/>
    <w:basedOn w:val="Heading1"/>
    <w:next w:val="BodyText"/>
    <w:uiPriority w:val="5"/>
    <w:rsid w:val="00786D3E"/>
    <w:pPr>
      <w:keepLines w:val="0"/>
      <w:pageBreakBefore/>
      <w:spacing w:before="800" w:after="480" w:line="240" w:lineRule="auto"/>
      <w:contextualSpacing/>
    </w:pPr>
    <w:rPr>
      <w:rFonts w:ascii="Calibri" w:eastAsia="Times New Roman" w:hAnsi="Calibri" w:cstheme="minorBidi"/>
      <w:b/>
      <w:bCs/>
      <w:caps/>
      <w:color w:val="0C9FCD"/>
      <w:szCs w:val="32"/>
      <w:lang w:val="en-AU" w:eastAsia="en-US"/>
    </w:rPr>
  </w:style>
  <w:style w:type="table" w:styleId="ListTable3-Accent2">
    <w:name w:val="List Table 3 Accent 2"/>
    <w:basedOn w:val="TableNormal"/>
    <w:uiPriority w:val="48"/>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E97132" w:themeColor="accent2"/>
        <w:left w:val="single" w:sz="4" w:space="0" w:color="E97132" w:themeColor="accent2"/>
        <w:bottom w:val="single" w:sz="4" w:space="0" w:color="E97132" w:themeColor="accent2"/>
        <w:right w:val="single" w:sz="4" w:space="0" w:color="E97132" w:themeColor="accent2"/>
      </w:tblBorders>
    </w:tblPr>
    <w:tblStylePr w:type="firstRow">
      <w:rPr>
        <w:b/>
        <w:bCs/>
        <w:color w:val="FFFFFF" w:themeColor="background1"/>
      </w:rPr>
      <w:tblPr/>
      <w:tcPr>
        <w:shd w:val="clear" w:color="auto" w:fill="E97132" w:themeFill="accent2"/>
      </w:tcPr>
    </w:tblStylePr>
    <w:tblStylePr w:type="lastRow">
      <w:rPr>
        <w:b/>
        <w:bCs/>
      </w:rPr>
      <w:tblPr/>
      <w:tcPr>
        <w:tcBorders>
          <w:top w:val="double" w:sz="4" w:space="0" w:color="E97132"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97132" w:themeColor="accent2"/>
          <w:right w:val="single" w:sz="4" w:space="0" w:color="E97132" w:themeColor="accent2"/>
        </w:tcBorders>
      </w:tcPr>
    </w:tblStylePr>
    <w:tblStylePr w:type="band1Horz">
      <w:tblPr/>
      <w:tcPr>
        <w:tcBorders>
          <w:top w:val="single" w:sz="4" w:space="0" w:color="E97132" w:themeColor="accent2"/>
          <w:bottom w:val="single" w:sz="4" w:space="0" w:color="E97132"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97132" w:themeColor="accent2"/>
          <w:left w:val="nil"/>
        </w:tcBorders>
      </w:tcPr>
    </w:tblStylePr>
    <w:tblStylePr w:type="swCell">
      <w:tblPr/>
      <w:tcPr>
        <w:tcBorders>
          <w:top w:val="double" w:sz="4" w:space="0" w:color="E97132" w:themeColor="accent2"/>
          <w:right w:val="nil"/>
        </w:tcBorders>
      </w:tcPr>
    </w:tblStylePr>
  </w:style>
  <w:style w:type="table" w:styleId="ListTable3-Accent3">
    <w:name w:val="List Table 3 Accent 3"/>
    <w:basedOn w:val="TableNormal"/>
    <w:uiPriority w:val="48"/>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196B24" w:themeColor="accent3"/>
        <w:left w:val="single" w:sz="4" w:space="0" w:color="196B24" w:themeColor="accent3"/>
        <w:bottom w:val="single" w:sz="4" w:space="0" w:color="196B24" w:themeColor="accent3"/>
        <w:right w:val="single" w:sz="4" w:space="0" w:color="196B24" w:themeColor="accent3"/>
      </w:tblBorders>
    </w:tblPr>
    <w:tblStylePr w:type="firstRow">
      <w:rPr>
        <w:b/>
        <w:bCs/>
        <w:color w:val="FFFFFF" w:themeColor="background1"/>
      </w:rPr>
      <w:tblPr/>
      <w:tcPr>
        <w:shd w:val="clear" w:color="auto" w:fill="196B24" w:themeFill="accent3"/>
      </w:tcPr>
    </w:tblStylePr>
    <w:tblStylePr w:type="lastRow">
      <w:rPr>
        <w:b/>
        <w:bCs/>
      </w:rPr>
      <w:tblPr/>
      <w:tcPr>
        <w:tcBorders>
          <w:top w:val="double" w:sz="4" w:space="0" w:color="196B24"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96B24" w:themeColor="accent3"/>
          <w:right w:val="single" w:sz="4" w:space="0" w:color="196B24" w:themeColor="accent3"/>
        </w:tcBorders>
      </w:tcPr>
    </w:tblStylePr>
    <w:tblStylePr w:type="band1Horz">
      <w:tblPr/>
      <w:tcPr>
        <w:tcBorders>
          <w:top w:val="single" w:sz="4" w:space="0" w:color="196B24" w:themeColor="accent3"/>
          <w:bottom w:val="single" w:sz="4" w:space="0" w:color="196B24"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96B24" w:themeColor="accent3"/>
          <w:left w:val="nil"/>
        </w:tcBorders>
      </w:tcPr>
    </w:tblStylePr>
    <w:tblStylePr w:type="swCell">
      <w:tblPr/>
      <w:tcPr>
        <w:tcBorders>
          <w:top w:val="double" w:sz="4" w:space="0" w:color="196B24" w:themeColor="accent3"/>
          <w:right w:val="nil"/>
        </w:tcBorders>
      </w:tcPr>
    </w:tblStylePr>
  </w:style>
  <w:style w:type="character" w:customStyle="1" w:styleId="NoSpacingChar">
    <w:name w:val="No Spacing Char"/>
    <w:basedOn w:val="DefaultParagraphFont"/>
    <w:link w:val="NoSpacing"/>
    <w:uiPriority w:val="1"/>
    <w:rsid w:val="00786D3E"/>
  </w:style>
  <w:style w:type="character" w:styleId="PlaceholderText">
    <w:name w:val="Placeholder Text"/>
    <w:basedOn w:val="DefaultParagraphFont"/>
    <w:uiPriority w:val="99"/>
    <w:semiHidden/>
    <w:rsid w:val="00786D3E"/>
    <w:rPr>
      <w:color w:val="808080"/>
    </w:rPr>
  </w:style>
  <w:style w:type="table" w:styleId="PlainTable2">
    <w:name w:val="Plain Table 2"/>
    <w:basedOn w:val="TableNormal"/>
    <w:uiPriority w:val="42"/>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Reporttitle">
    <w:name w:val="Report title"/>
    <w:basedOn w:val="Normal"/>
    <w:next w:val="Normal"/>
    <w:rsid w:val="00786D3E"/>
    <w:pPr>
      <w:widowControl w:val="0"/>
      <w:spacing w:after="200" w:line="240" w:lineRule="auto"/>
      <w:contextualSpacing/>
      <w:outlineLvl w:val="0"/>
    </w:pPr>
    <w:rPr>
      <w:rFonts w:ascii="Arial Bold" w:eastAsia="Times New Roman" w:hAnsi="Arial Bold"/>
      <w:b/>
      <w:bCs/>
      <w:caps/>
      <w:color w:val="0C9FCD"/>
      <w:sz w:val="34"/>
      <w:szCs w:val="32"/>
      <w:lang w:val="en-AU" w:eastAsia="en-US"/>
    </w:rPr>
  </w:style>
  <w:style w:type="character" w:styleId="Strong">
    <w:name w:val="Strong"/>
    <w:basedOn w:val="DefaultParagraphFont"/>
    <w:uiPriority w:val="22"/>
    <w:rsid w:val="00786D3E"/>
    <w:rPr>
      <w:b/>
      <w:bCs/>
    </w:rPr>
  </w:style>
  <w:style w:type="paragraph" w:styleId="TableofFigures">
    <w:name w:val="table of figures"/>
    <w:basedOn w:val="Normal"/>
    <w:next w:val="Normal"/>
    <w:uiPriority w:val="99"/>
    <w:unhideWhenUsed/>
    <w:rsid w:val="00786D3E"/>
    <w:pPr>
      <w:spacing w:after="0" w:line="276" w:lineRule="auto"/>
    </w:pPr>
    <w:rPr>
      <w:rFonts w:ascii="Calibri" w:eastAsiaTheme="minorHAnsi" w:hAnsi="Calibri"/>
      <w:color w:val="auto"/>
      <w:sz w:val="22"/>
      <w:szCs w:val="22"/>
      <w:lang w:val="en-AU" w:eastAsia="en-US"/>
    </w:rPr>
  </w:style>
  <w:style w:type="paragraph" w:styleId="TOC1">
    <w:name w:val="toc 1"/>
    <w:basedOn w:val="Normal"/>
    <w:next w:val="Normal"/>
    <w:autoRedefine/>
    <w:uiPriority w:val="39"/>
    <w:unhideWhenUsed/>
    <w:rsid w:val="00B274B4"/>
    <w:pPr>
      <w:tabs>
        <w:tab w:val="right" w:leader="dot" w:pos="9016"/>
      </w:tabs>
      <w:spacing w:after="100" w:line="276" w:lineRule="auto"/>
    </w:pPr>
    <w:rPr>
      <w:rFonts w:eastAsiaTheme="minorHAnsi"/>
      <w:b/>
      <w:bCs/>
      <w:noProof/>
      <w:color w:val="auto"/>
      <w:szCs w:val="21"/>
      <w:lang w:val="en-AU" w:eastAsia="en-US"/>
    </w:rPr>
  </w:style>
  <w:style w:type="paragraph" w:styleId="TOC2">
    <w:name w:val="toc 2"/>
    <w:basedOn w:val="Normal"/>
    <w:next w:val="Normal"/>
    <w:autoRedefine/>
    <w:uiPriority w:val="39"/>
    <w:unhideWhenUsed/>
    <w:rsid w:val="00786D3E"/>
    <w:pPr>
      <w:tabs>
        <w:tab w:val="right" w:leader="dot" w:pos="9016"/>
      </w:tabs>
      <w:spacing w:after="100" w:line="276" w:lineRule="auto"/>
      <w:ind w:left="220"/>
    </w:pPr>
    <w:rPr>
      <w:rFonts w:ascii="Calibri" w:eastAsiaTheme="minorHAnsi" w:hAnsi="Calibri"/>
      <w:color w:val="auto"/>
      <w:sz w:val="22"/>
      <w:szCs w:val="22"/>
      <w:lang w:val="en-AU" w:eastAsia="en-US"/>
    </w:rPr>
  </w:style>
  <w:style w:type="paragraph" w:styleId="TOC3">
    <w:name w:val="toc 3"/>
    <w:basedOn w:val="Normal"/>
    <w:next w:val="Normal"/>
    <w:autoRedefine/>
    <w:uiPriority w:val="39"/>
    <w:unhideWhenUsed/>
    <w:rsid w:val="00786D3E"/>
    <w:pPr>
      <w:spacing w:after="100" w:line="276" w:lineRule="auto"/>
      <w:ind w:left="440"/>
    </w:pPr>
    <w:rPr>
      <w:rFonts w:ascii="Calibri" w:eastAsiaTheme="minorHAnsi" w:hAnsi="Calibri"/>
      <w:color w:val="auto"/>
      <w:sz w:val="22"/>
      <w:szCs w:val="22"/>
      <w:lang w:val="en-AU" w:eastAsia="en-US"/>
    </w:rPr>
  </w:style>
  <w:style w:type="paragraph" w:styleId="TOCHeading">
    <w:name w:val="TOC Heading"/>
    <w:basedOn w:val="Heading1"/>
    <w:next w:val="Normal"/>
    <w:uiPriority w:val="39"/>
    <w:unhideWhenUsed/>
    <w:qFormat/>
    <w:rsid w:val="00786D3E"/>
    <w:pPr>
      <w:spacing w:before="120" w:after="480" w:line="276" w:lineRule="auto"/>
      <w:contextualSpacing/>
      <w:outlineLvl w:val="9"/>
    </w:pPr>
    <w:rPr>
      <w:rFonts w:ascii="Calibri" w:hAnsi="Calibri"/>
      <w:b/>
      <w:color w:val="E8E8E8" w:themeColor="background2"/>
      <w:szCs w:val="32"/>
      <w:lang w:eastAsia="en-US"/>
    </w:rPr>
  </w:style>
  <w:style w:type="character" w:styleId="SubtleEmphasis">
    <w:name w:val="Subtle Emphasis"/>
    <w:basedOn w:val="DefaultParagraphFont"/>
    <w:uiPriority w:val="19"/>
    <w:rsid w:val="00786D3E"/>
    <w:rPr>
      <w:i/>
      <w:iCs/>
      <w:color w:val="404040" w:themeColor="text1" w:themeTint="BF"/>
    </w:rPr>
  </w:style>
  <w:style w:type="paragraph" w:customStyle="1" w:styleId="FigureTitle">
    <w:name w:val="Figure Title"/>
    <w:autoRedefine/>
    <w:uiPriority w:val="1"/>
    <w:rsid w:val="00786D3E"/>
    <w:pPr>
      <w:widowControl w:val="0"/>
      <w:autoSpaceDE w:val="0"/>
      <w:autoSpaceDN w:val="0"/>
      <w:spacing w:before="120" w:after="120" w:line="240" w:lineRule="auto"/>
    </w:pPr>
    <w:rPr>
      <w:rFonts w:ascii="Arial" w:eastAsia="Myriad Pro" w:hAnsi="Arial" w:cs="Myriad Pro"/>
      <w:b/>
      <w:bCs/>
      <w:color w:val="000000" w:themeColor="text1"/>
      <w:sz w:val="18"/>
      <w:szCs w:val="18"/>
      <w:lang w:eastAsia="en-US" w:bidi="en-US"/>
    </w:rPr>
  </w:style>
  <w:style w:type="paragraph" w:customStyle="1" w:styleId="Box1">
    <w:name w:val="Box 1"/>
    <w:basedOn w:val="Calloutboxtext"/>
    <w:link w:val="Box1Char"/>
    <w:rsid w:val="00786D3E"/>
    <w:pPr>
      <w:shd w:val="clear" w:color="auto" w:fill="156082" w:themeFill="accent1"/>
      <w:spacing w:after="80"/>
    </w:pPr>
    <w:rPr>
      <w:b/>
      <w:color w:val="FFFFFF" w:themeColor="background1"/>
    </w:rPr>
  </w:style>
  <w:style w:type="character" w:customStyle="1" w:styleId="CalloutboxtextChar">
    <w:name w:val="Call out box text Char"/>
    <w:basedOn w:val="DefaultParagraphFont"/>
    <w:link w:val="Calloutboxtext"/>
    <w:rsid w:val="00786D3E"/>
    <w:rPr>
      <w:rFonts w:ascii="Calibri" w:eastAsiaTheme="minorHAnsi" w:hAnsi="Calibri"/>
      <w:sz w:val="22"/>
      <w:szCs w:val="22"/>
      <w:shd w:val="clear" w:color="auto" w:fill="C1E4F5" w:themeFill="accent1" w:themeFillTint="33"/>
      <w:lang w:val="en-AU" w:eastAsia="en-US"/>
    </w:rPr>
  </w:style>
  <w:style w:type="character" w:customStyle="1" w:styleId="Box1Char">
    <w:name w:val="Box 1 Char"/>
    <w:basedOn w:val="CalloutboxtextChar"/>
    <w:link w:val="Box1"/>
    <w:rsid w:val="00786D3E"/>
    <w:rPr>
      <w:rFonts w:ascii="Calibri" w:eastAsiaTheme="minorHAnsi" w:hAnsi="Calibri"/>
      <w:b/>
      <w:color w:val="FFFFFF" w:themeColor="background1"/>
      <w:sz w:val="22"/>
      <w:szCs w:val="22"/>
      <w:shd w:val="clear" w:color="auto" w:fill="156082" w:themeFill="accent1"/>
      <w:lang w:val="en-AU" w:eastAsia="en-US"/>
    </w:rPr>
  </w:style>
  <w:style w:type="paragraph" w:customStyle="1" w:styleId="sub-bulletpoint">
    <w:name w:val="sub-bullet point"/>
    <w:basedOn w:val="ListParagraph"/>
    <w:link w:val="sub-bulletpointChar"/>
    <w:rsid w:val="00786D3E"/>
    <w:pPr>
      <w:numPr>
        <w:ilvl w:val="1"/>
        <w:numId w:val="2"/>
      </w:numPr>
      <w:spacing w:after="120" w:line="276" w:lineRule="auto"/>
      <w:ind w:left="851" w:hanging="284"/>
    </w:pPr>
    <w:rPr>
      <w:rFonts w:eastAsiaTheme="minorHAnsi"/>
      <w:sz w:val="22"/>
      <w:szCs w:val="22"/>
      <w:lang w:val="en-AU" w:eastAsia="en-US"/>
    </w:rPr>
  </w:style>
  <w:style w:type="paragraph" w:customStyle="1" w:styleId="NumberedList">
    <w:name w:val="Numbered List"/>
    <w:basedOn w:val="ListParagraph"/>
    <w:link w:val="NumberedListChar"/>
    <w:rsid w:val="00786D3E"/>
    <w:pPr>
      <w:numPr>
        <w:numId w:val="3"/>
      </w:numPr>
      <w:spacing w:after="120" w:line="276" w:lineRule="auto"/>
    </w:pPr>
    <w:rPr>
      <w:rFonts w:eastAsiaTheme="minorHAnsi"/>
      <w:sz w:val="22"/>
      <w:szCs w:val="22"/>
      <w:lang w:val="en-AU" w:eastAsia="en-US"/>
    </w:rPr>
  </w:style>
  <w:style w:type="character" w:customStyle="1" w:styleId="ListParagraphChar">
    <w:name w:val="List Paragraph Char"/>
    <w:aliases w:val="1 heading Char,DDM Gen Text Char,List Paragraph1 Char,List Paragraph11 Char,Recommendation Char,Bullet 1 Char,Bullet list Char,List 1 Char,L Char,bullet point list Char,Bullet point Char,Dot point 1.5 line spacing Char,numbered Char"/>
    <w:basedOn w:val="DefaultParagraphFont"/>
    <w:link w:val="ListParagraph"/>
    <w:uiPriority w:val="34"/>
    <w:qFormat/>
    <w:rsid w:val="00786D3E"/>
  </w:style>
  <w:style w:type="character" w:customStyle="1" w:styleId="sub-bulletpointChar">
    <w:name w:val="sub-bullet point Char"/>
    <w:basedOn w:val="ListParagraphChar"/>
    <w:link w:val="sub-bulletpoint"/>
    <w:rsid w:val="00786D3E"/>
    <w:rPr>
      <w:rFonts w:eastAsiaTheme="minorHAnsi"/>
      <w:sz w:val="22"/>
      <w:szCs w:val="22"/>
      <w:lang w:val="en-AU" w:eastAsia="en-US"/>
    </w:rPr>
  </w:style>
  <w:style w:type="character" w:customStyle="1" w:styleId="NumberedListChar">
    <w:name w:val="Numbered List Char"/>
    <w:basedOn w:val="ListParagraphChar"/>
    <w:link w:val="NumberedList"/>
    <w:rsid w:val="00786D3E"/>
    <w:rPr>
      <w:rFonts w:eastAsiaTheme="minorHAnsi"/>
      <w:sz w:val="22"/>
      <w:szCs w:val="22"/>
      <w:lang w:val="en-AU" w:eastAsia="en-US"/>
    </w:rPr>
  </w:style>
  <w:style w:type="table" w:styleId="ListTable4-Accent4">
    <w:name w:val="List Table 4 Accent 4"/>
    <w:basedOn w:val="TableNormal"/>
    <w:uiPriority w:val="49"/>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tblBorders>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tcBorders>
        <w:shd w:val="clear" w:color="auto" w:fill="0F9ED5" w:themeFill="accent4"/>
      </w:tcPr>
    </w:tblStylePr>
    <w:tblStylePr w:type="lastRow">
      <w:rPr>
        <w:b/>
        <w:bCs/>
      </w:rPr>
      <w:tblPr/>
      <w:tcPr>
        <w:tcBorders>
          <w:top w:val="double" w:sz="4" w:space="0" w:color="60CAF3" w:themeColor="accent4" w:themeTint="99"/>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table" w:styleId="ListTable3-Accent1">
    <w:name w:val="List Table 3 Accent 1"/>
    <w:basedOn w:val="TableNormal"/>
    <w:uiPriority w:val="48"/>
    <w:rsid w:val="00786D3E"/>
    <w:pPr>
      <w:spacing w:before="120" w:after="0" w:line="240" w:lineRule="auto"/>
      <w:ind w:left="221"/>
    </w:pPr>
    <w:rPr>
      <w:rFonts w:eastAsiaTheme="minorHAnsi"/>
      <w:sz w:val="22"/>
      <w:szCs w:val="22"/>
      <w:lang w:val="en-AU" w:eastAsia="en-US"/>
    </w:rPr>
    <w:tblPr>
      <w:tblStyleRowBandSize w:val="1"/>
      <w:tblStyleColBandSize w:val="1"/>
      <w:tblBorders>
        <w:top w:val="single" w:sz="4" w:space="0" w:color="156082" w:themeColor="accent1"/>
        <w:left w:val="single" w:sz="4" w:space="0" w:color="156082" w:themeColor="accent1"/>
        <w:bottom w:val="single" w:sz="4" w:space="0" w:color="156082" w:themeColor="accent1"/>
        <w:right w:val="single" w:sz="4" w:space="0" w:color="156082" w:themeColor="accent1"/>
      </w:tblBorders>
    </w:tblPr>
    <w:tblStylePr w:type="firstRow">
      <w:rPr>
        <w:b/>
        <w:bCs/>
        <w:color w:val="FFFFFF" w:themeColor="background1"/>
      </w:rPr>
      <w:tblPr/>
      <w:tcPr>
        <w:shd w:val="clear" w:color="auto" w:fill="156082" w:themeFill="accent1"/>
      </w:tcPr>
    </w:tblStylePr>
    <w:tblStylePr w:type="lastRow">
      <w:rPr>
        <w:b/>
        <w:bCs/>
      </w:rPr>
      <w:tblPr/>
      <w:tcPr>
        <w:tcBorders>
          <w:top w:val="double" w:sz="4" w:space="0" w:color="15608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56082" w:themeColor="accent1"/>
          <w:right w:val="single" w:sz="4" w:space="0" w:color="156082" w:themeColor="accent1"/>
        </w:tcBorders>
      </w:tcPr>
    </w:tblStylePr>
    <w:tblStylePr w:type="band1Horz">
      <w:tblPr/>
      <w:tcPr>
        <w:tcBorders>
          <w:top w:val="single" w:sz="4" w:space="0" w:color="156082" w:themeColor="accent1"/>
          <w:bottom w:val="single" w:sz="4" w:space="0" w:color="15608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56082" w:themeColor="accent1"/>
          <w:left w:val="nil"/>
        </w:tcBorders>
      </w:tcPr>
    </w:tblStylePr>
    <w:tblStylePr w:type="swCell">
      <w:tblPr/>
      <w:tcPr>
        <w:tcBorders>
          <w:top w:val="double" w:sz="4" w:space="0" w:color="156082" w:themeColor="accent1"/>
          <w:right w:val="nil"/>
        </w:tcBorders>
      </w:tcPr>
    </w:tblStylePr>
  </w:style>
  <w:style w:type="paragraph" w:customStyle="1" w:styleId="Classification">
    <w:name w:val="Classification"/>
    <w:basedOn w:val="Header"/>
    <w:link w:val="ClassificationChar"/>
    <w:qFormat/>
    <w:rsid w:val="00786D3E"/>
    <w:pPr>
      <w:jc w:val="center"/>
    </w:pPr>
    <w:rPr>
      <w:rFonts w:eastAsiaTheme="minorHAnsi"/>
      <w:b/>
      <w:color w:val="FF0000"/>
      <w:sz w:val="22"/>
      <w:szCs w:val="28"/>
      <w:lang w:val="en-AU" w:eastAsia="en-US"/>
    </w:rPr>
  </w:style>
  <w:style w:type="character" w:customStyle="1" w:styleId="ClassificationChar">
    <w:name w:val="Classification Char"/>
    <w:basedOn w:val="HeaderChar"/>
    <w:link w:val="Classification"/>
    <w:rsid w:val="00786D3E"/>
    <w:rPr>
      <w:rFonts w:ascii="HelveticaNeueLT Std Lt" w:eastAsiaTheme="minorHAnsi" w:hAnsi="HelveticaNeueLT Std Lt"/>
      <w:b/>
      <w:color w:val="FF0000"/>
      <w:sz w:val="22"/>
      <w:szCs w:val="28"/>
      <w:lang w:val="en-AU" w:eastAsia="en-US"/>
    </w:rPr>
  </w:style>
  <w:style w:type="paragraph" w:customStyle="1" w:styleId="Heading1White">
    <w:name w:val="Heading 1 White"/>
    <w:basedOn w:val="Normal"/>
    <w:link w:val="Heading1WhiteChar"/>
    <w:rsid w:val="00786D3E"/>
    <w:pPr>
      <w:spacing w:line="276" w:lineRule="auto"/>
    </w:pPr>
    <w:rPr>
      <w:rFonts w:ascii="Calibri" w:eastAsiaTheme="minorHAnsi" w:hAnsi="Calibri"/>
      <w:b/>
      <w:color w:val="FFFFFF" w:themeColor="background1"/>
      <w:sz w:val="40"/>
      <w:szCs w:val="40"/>
      <w:lang w:val="en-AU" w:eastAsia="en-US"/>
    </w:rPr>
  </w:style>
  <w:style w:type="character" w:customStyle="1" w:styleId="Heading1WhiteChar">
    <w:name w:val="Heading 1 White Char"/>
    <w:basedOn w:val="DefaultParagraphFont"/>
    <w:link w:val="Heading1White"/>
    <w:rsid w:val="00786D3E"/>
    <w:rPr>
      <w:rFonts w:ascii="Calibri" w:eastAsiaTheme="minorHAnsi" w:hAnsi="Calibri"/>
      <w:b/>
      <w:color w:val="FFFFFF" w:themeColor="background1"/>
      <w:sz w:val="40"/>
      <w:szCs w:val="40"/>
      <w:lang w:val="en-AU" w:eastAsia="en-US"/>
    </w:rPr>
  </w:style>
  <w:style w:type="paragraph" w:customStyle="1" w:styleId="TableText">
    <w:name w:val="Table Text"/>
    <w:basedOn w:val="Normal"/>
    <w:link w:val="TableTextChar"/>
    <w:uiPriority w:val="11"/>
    <w:rsid w:val="00786D3E"/>
    <w:pPr>
      <w:spacing w:before="40" w:after="80" w:line="240" w:lineRule="auto"/>
    </w:pPr>
    <w:rPr>
      <w:rFonts w:ascii="Calibri" w:eastAsia="Times New Roman" w:hAnsi="Calibri" w:cs="Times New Roman"/>
      <w:bCs/>
      <w:color w:val="414141"/>
      <w:sz w:val="18"/>
      <w:lang w:val="en-AU" w:eastAsia="en-GB"/>
    </w:rPr>
  </w:style>
  <w:style w:type="character" w:customStyle="1" w:styleId="Textitalic">
    <w:name w:val="Text (italic)"/>
    <w:uiPriority w:val="1"/>
    <w:rsid w:val="00786D3E"/>
    <w:rPr>
      <w:i/>
    </w:rPr>
  </w:style>
  <w:style w:type="character" w:customStyle="1" w:styleId="TableTextChar">
    <w:name w:val="Table Text Char"/>
    <w:basedOn w:val="DefaultParagraphFont"/>
    <w:link w:val="TableText"/>
    <w:uiPriority w:val="11"/>
    <w:locked/>
    <w:rsid w:val="00786D3E"/>
    <w:rPr>
      <w:rFonts w:ascii="Calibri" w:eastAsia="Times New Roman" w:hAnsi="Calibri" w:cs="Times New Roman"/>
      <w:bCs/>
      <w:color w:val="414141"/>
      <w:sz w:val="18"/>
      <w:lang w:val="en-AU" w:eastAsia="en-GB"/>
    </w:rPr>
  </w:style>
  <w:style w:type="character" w:customStyle="1" w:styleId="Textbold">
    <w:name w:val="Text (bold)"/>
    <w:uiPriority w:val="1"/>
    <w:rsid w:val="00786D3E"/>
    <w:rPr>
      <w:b/>
    </w:rPr>
  </w:style>
  <w:style w:type="paragraph" w:styleId="Date">
    <w:name w:val="Date"/>
    <w:basedOn w:val="Subtitle"/>
    <w:next w:val="Normal"/>
    <w:link w:val="DateChar"/>
    <w:uiPriority w:val="19"/>
    <w:rsid w:val="00786D3E"/>
    <w:pPr>
      <w:numPr>
        <w:ilvl w:val="0"/>
      </w:numPr>
      <w:spacing w:after="120" w:line="312" w:lineRule="auto"/>
      <w:jc w:val="right"/>
    </w:pPr>
    <w:rPr>
      <w:rFonts w:ascii="Calibri" w:eastAsia="MS Mincho" w:hAnsi="Calibri" w:cs="Times New Roman"/>
      <w:caps/>
      <w:color w:val="414141"/>
      <w:spacing w:val="0"/>
      <w:lang w:val="en-AU" w:eastAsia="x-none"/>
    </w:rPr>
  </w:style>
  <w:style w:type="character" w:customStyle="1" w:styleId="DateChar">
    <w:name w:val="Date Char"/>
    <w:basedOn w:val="DefaultParagraphFont"/>
    <w:link w:val="Date"/>
    <w:uiPriority w:val="19"/>
    <w:rsid w:val="00786D3E"/>
    <w:rPr>
      <w:rFonts w:ascii="Calibri" w:eastAsia="MS Mincho" w:hAnsi="Calibri" w:cs="Times New Roman"/>
      <w:caps/>
      <w:color w:val="414141"/>
      <w:sz w:val="28"/>
      <w:szCs w:val="28"/>
      <w:lang w:val="en-AU" w:eastAsia="x-none"/>
    </w:rPr>
  </w:style>
  <w:style w:type="paragraph" w:customStyle="1" w:styleId="ListQuestions">
    <w:name w:val="List Questions"/>
    <w:basedOn w:val="Normal"/>
    <w:uiPriority w:val="10"/>
    <w:rsid w:val="00786D3E"/>
    <w:pPr>
      <w:spacing w:after="80" w:line="312" w:lineRule="auto"/>
      <w:ind w:left="714" w:hanging="714"/>
    </w:pPr>
    <w:rPr>
      <w:rFonts w:ascii="Calibri" w:eastAsia="Times New Roman" w:hAnsi="Calibri" w:cs="Times New Roman"/>
      <w:color w:val="414141"/>
      <w:sz w:val="22"/>
      <w:lang w:eastAsia="en-AU"/>
    </w:rPr>
  </w:style>
  <w:style w:type="numbering" w:customStyle="1" w:styleId="ListQuestionsMaster">
    <w:name w:val="List Questions Master"/>
    <w:uiPriority w:val="99"/>
    <w:rsid w:val="00786D3E"/>
    <w:pPr>
      <w:numPr>
        <w:numId w:val="1"/>
      </w:numPr>
    </w:pPr>
  </w:style>
  <w:style w:type="paragraph" w:styleId="EndnoteText">
    <w:name w:val="endnote text"/>
    <w:basedOn w:val="Normal"/>
    <w:link w:val="EndnoteTextChar"/>
    <w:uiPriority w:val="99"/>
    <w:semiHidden/>
    <w:unhideWhenUsed/>
    <w:rsid w:val="00786D3E"/>
    <w:pPr>
      <w:spacing w:after="0" w:line="240" w:lineRule="auto"/>
    </w:pPr>
    <w:rPr>
      <w:rFonts w:ascii="Calibri" w:eastAsiaTheme="minorHAnsi" w:hAnsi="Calibri"/>
      <w:color w:val="auto"/>
      <w:sz w:val="22"/>
      <w:szCs w:val="20"/>
      <w:lang w:val="en-AU" w:eastAsia="en-US"/>
    </w:rPr>
  </w:style>
  <w:style w:type="character" w:customStyle="1" w:styleId="EndnoteTextChar">
    <w:name w:val="Endnote Text Char"/>
    <w:basedOn w:val="DefaultParagraphFont"/>
    <w:link w:val="EndnoteText"/>
    <w:uiPriority w:val="99"/>
    <w:semiHidden/>
    <w:rsid w:val="00786D3E"/>
    <w:rPr>
      <w:rFonts w:ascii="Calibri" w:eastAsiaTheme="minorHAnsi" w:hAnsi="Calibri"/>
      <w:sz w:val="22"/>
      <w:szCs w:val="20"/>
      <w:lang w:val="en-AU" w:eastAsia="en-US"/>
    </w:rPr>
  </w:style>
  <w:style w:type="character" w:styleId="EndnoteReference">
    <w:name w:val="endnote reference"/>
    <w:basedOn w:val="DefaultParagraphFont"/>
    <w:uiPriority w:val="99"/>
    <w:semiHidden/>
    <w:unhideWhenUsed/>
    <w:rsid w:val="00786D3E"/>
    <w:rPr>
      <w:vertAlign w:val="superscript"/>
    </w:rPr>
  </w:style>
  <w:style w:type="paragraph" w:customStyle="1" w:styleId="pf0">
    <w:name w:val="pf0"/>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character" w:customStyle="1" w:styleId="cf11">
    <w:name w:val="cf11"/>
    <w:basedOn w:val="DefaultParagraphFont"/>
    <w:rsid w:val="00786D3E"/>
    <w:rPr>
      <w:rFonts w:ascii="Segoe UI" w:hAnsi="Segoe UI" w:cs="Segoe UI" w:hint="default"/>
      <w:sz w:val="18"/>
      <w:szCs w:val="18"/>
    </w:rPr>
  </w:style>
  <w:style w:type="paragraph" w:customStyle="1" w:styleId="L1ParcelHeading">
    <w:name w:val="L1: Parcel Heading"/>
    <w:basedOn w:val="Heading1"/>
    <w:next w:val="L2Sub-heading"/>
    <w:link w:val="L1ParcelHeadingChar"/>
    <w:rsid w:val="00786D3E"/>
    <w:pPr>
      <w:spacing w:before="120" w:after="0" w:line="240" w:lineRule="auto"/>
      <w:contextualSpacing/>
    </w:pPr>
    <w:rPr>
      <w:rFonts w:ascii="Calibri" w:hAnsi="Calibri"/>
      <w:b/>
      <w:bCs/>
      <w:color w:val="A02B93" w:themeColor="accent5"/>
      <w:sz w:val="48"/>
      <w:szCs w:val="48"/>
      <w:lang w:val="en-AU" w:eastAsia="en-US"/>
    </w:rPr>
  </w:style>
  <w:style w:type="character" w:customStyle="1" w:styleId="L1ParcelHeadingChar">
    <w:name w:val="L1: Parcel Heading Char"/>
    <w:basedOn w:val="DefaultParagraphFont"/>
    <w:link w:val="L1ParcelHeading"/>
    <w:rsid w:val="00786D3E"/>
    <w:rPr>
      <w:rFonts w:ascii="Calibri" w:eastAsiaTheme="majorEastAsia" w:hAnsi="Calibri" w:cstheme="majorBidi"/>
      <w:b/>
      <w:bCs/>
      <w:color w:val="A02B93" w:themeColor="accent5"/>
      <w:sz w:val="48"/>
      <w:szCs w:val="48"/>
      <w:lang w:val="en-AU" w:eastAsia="en-US"/>
    </w:rPr>
  </w:style>
  <w:style w:type="paragraph" w:customStyle="1" w:styleId="CallOut">
    <w:name w:val="Call Out"/>
    <w:basedOn w:val="Normal"/>
    <w:link w:val="CallOutChar"/>
    <w:rsid w:val="00786D3E"/>
    <w:pPr>
      <w:spacing w:after="0" w:line="240" w:lineRule="auto"/>
    </w:pPr>
    <w:rPr>
      <w:rFonts w:ascii="Calibri" w:eastAsiaTheme="minorHAnsi" w:hAnsi="Calibri"/>
      <w:color w:val="10BFE8"/>
      <w:sz w:val="28"/>
      <w:szCs w:val="28"/>
      <w:lang w:val="en-AU" w:eastAsia="en-US"/>
    </w:rPr>
  </w:style>
  <w:style w:type="character" w:customStyle="1" w:styleId="CallOutChar">
    <w:name w:val="Call Out Char"/>
    <w:basedOn w:val="DefaultParagraphFont"/>
    <w:link w:val="CallOut"/>
    <w:rsid w:val="00786D3E"/>
    <w:rPr>
      <w:rFonts w:ascii="Calibri" w:eastAsiaTheme="minorHAnsi" w:hAnsi="Calibri"/>
      <w:color w:val="10BFE8"/>
      <w:sz w:val="28"/>
      <w:szCs w:val="28"/>
      <w:lang w:val="en-AU" w:eastAsia="en-US"/>
    </w:rPr>
  </w:style>
  <w:style w:type="paragraph" w:customStyle="1" w:styleId="Box2Heading">
    <w:name w:val="Box 2 Heading"/>
    <w:basedOn w:val="Normal"/>
    <w:link w:val="Box2HeadingChar"/>
    <w:rsid w:val="00786D3E"/>
    <w:pPr>
      <w:spacing w:line="240" w:lineRule="auto"/>
    </w:pPr>
    <w:rPr>
      <w:rFonts w:ascii="Calibri" w:eastAsiaTheme="minorHAnsi" w:hAnsi="Calibri"/>
      <w:color w:val="9FE1FB"/>
      <w:sz w:val="28"/>
      <w:szCs w:val="32"/>
      <w:lang w:val="en-AU" w:eastAsia="en-US"/>
    </w:rPr>
  </w:style>
  <w:style w:type="character" w:customStyle="1" w:styleId="Box2HeadingChar">
    <w:name w:val="Box 2 Heading Char"/>
    <w:basedOn w:val="DefaultParagraphFont"/>
    <w:link w:val="Box2Heading"/>
    <w:rsid w:val="00786D3E"/>
    <w:rPr>
      <w:rFonts w:ascii="Calibri" w:eastAsiaTheme="minorHAnsi" w:hAnsi="Calibri"/>
      <w:color w:val="9FE1FB"/>
      <w:sz w:val="28"/>
      <w:szCs w:val="32"/>
      <w:lang w:val="en-AU" w:eastAsia="en-US"/>
    </w:rPr>
  </w:style>
  <w:style w:type="paragraph" w:customStyle="1" w:styleId="Quotes">
    <w:name w:val="Quotes"/>
    <w:basedOn w:val="Normal"/>
    <w:link w:val="QuotesChar"/>
    <w:qFormat/>
    <w:rsid w:val="001D10EB"/>
    <w:pPr>
      <w:spacing w:line="240" w:lineRule="auto"/>
      <w:jc w:val="center"/>
    </w:pPr>
    <w:rPr>
      <w:i/>
      <w:iCs/>
    </w:rPr>
  </w:style>
  <w:style w:type="character" w:customStyle="1" w:styleId="QuotesChar">
    <w:name w:val="Quotes Char"/>
    <w:basedOn w:val="DefaultParagraphFont"/>
    <w:link w:val="Quotes"/>
    <w:rsid w:val="001D10EB"/>
    <w:rPr>
      <w:i/>
      <w:iCs/>
      <w:color w:val="4D4D4D"/>
      <w:sz w:val="21"/>
      <w:lang w:val="en-GB"/>
    </w:rPr>
  </w:style>
  <w:style w:type="paragraph" w:customStyle="1" w:styleId="FigureLabel">
    <w:name w:val="Figure Label"/>
    <w:basedOn w:val="Normal"/>
    <w:link w:val="FigureLabelChar"/>
    <w:rsid w:val="00786D3E"/>
    <w:pPr>
      <w:spacing w:after="0" w:line="240" w:lineRule="auto"/>
    </w:pPr>
    <w:rPr>
      <w:rFonts w:ascii="Calibri" w:eastAsiaTheme="minorHAnsi" w:hAnsi="Calibri"/>
      <w:color w:val="0777A3"/>
      <w:sz w:val="22"/>
      <w:szCs w:val="22"/>
      <w:lang w:val="en-AU" w:eastAsia="en-US"/>
    </w:rPr>
  </w:style>
  <w:style w:type="character" w:customStyle="1" w:styleId="FigureLabelChar">
    <w:name w:val="Figure Label Char"/>
    <w:basedOn w:val="DefaultParagraphFont"/>
    <w:link w:val="FigureLabel"/>
    <w:rsid w:val="00786D3E"/>
    <w:rPr>
      <w:rFonts w:ascii="Calibri" w:eastAsiaTheme="minorHAnsi" w:hAnsi="Calibri"/>
      <w:color w:val="0777A3"/>
      <w:sz w:val="22"/>
      <w:szCs w:val="22"/>
      <w:lang w:val="en-AU" w:eastAsia="en-US"/>
    </w:rPr>
  </w:style>
  <w:style w:type="paragraph" w:styleId="TOC4">
    <w:name w:val="toc 4"/>
    <w:basedOn w:val="Normal"/>
    <w:next w:val="Normal"/>
    <w:autoRedefine/>
    <w:uiPriority w:val="39"/>
    <w:unhideWhenUsed/>
    <w:rsid w:val="00786D3E"/>
    <w:pPr>
      <w:spacing w:after="100" w:line="276" w:lineRule="auto"/>
      <w:ind w:left="600"/>
    </w:pPr>
    <w:rPr>
      <w:rFonts w:ascii="Calibri" w:eastAsiaTheme="minorHAnsi" w:hAnsi="Calibri"/>
      <w:color w:val="auto"/>
      <w:sz w:val="22"/>
      <w:szCs w:val="22"/>
      <w:lang w:val="en-AU" w:eastAsia="en-US"/>
    </w:rPr>
  </w:style>
  <w:style w:type="character" w:customStyle="1" w:styleId="normaltextrun">
    <w:name w:val="normaltextrun"/>
    <w:basedOn w:val="DefaultParagraphFont"/>
    <w:rsid w:val="00786D3E"/>
  </w:style>
  <w:style w:type="paragraph" w:styleId="ListBullet">
    <w:name w:val="List Bullet"/>
    <w:basedOn w:val="Normal"/>
    <w:uiPriority w:val="99"/>
    <w:unhideWhenUsed/>
    <w:rsid w:val="00786D3E"/>
    <w:pPr>
      <w:widowControl w:val="0"/>
      <w:tabs>
        <w:tab w:val="left" w:pos="170"/>
      </w:tabs>
      <w:autoSpaceDE w:val="0"/>
      <w:autoSpaceDN w:val="0"/>
      <w:spacing w:line="240" w:lineRule="auto"/>
      <w:ind w:left="714" w:hanging="714"/>
      <w:contextualSpacing/>
    </w:pPr>
    <w:rPr>
      <w:rFonts w:ascii="Calibri" w:eastAsia="Myriad Pro" w:hAnsi="Calibri" w:cs="Myriad Pro"/>
      <w:color w:val="auto"/>
      <w:sz w:val="22"/>
      <w:szCs w:val="22"/>
      <w:lang w:eastAsia="en-US" w:bidi="en-US"/>
    </w:rPr>
  </w:style>
  <w:style w:type="table" w:customStyle="1" w:styleId="GridTable4-Accent11">
    <w:name w:val="Grid Table 4 - Accent 11"/>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2">
    <w:name w:val="Grid Table 4 - Accent 12"/>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3">
    <w:name w:val="Grid Table 4 - Accent 13"/>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4">
    <w:name w:val="Grid Table 4 - Accent 14"/>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5">
    <w:name w:val="Grid Table 4 - Accent 15"/>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16">
    <w:name w:val="Grid Table 4 - Accent 16"/>
    <w:basedOn w:val="TableNormal"/>
    <w:next w:val="GridTable4-Accent1"/>
    <w:uiPriority w:val="49"/>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paragraph" w:customStyle="1" w:styleId="msonormal0">
    <w:name w:val="msonormal"/>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paragraph" w:customStyle="1" w:styleId="paragraph">
    <w:name w:val="paragraph"/>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character" w:customStyle="1" w:styleId="textrun">
    <w:name w:val="textrun"/>
    <w:basedOn w:val="DefaultParagraphFont"/>
    <w:rsid w:val="00786D3E"/>
  </w:style>
  <w:style w:type="character" w:customStyle="1" w:styleId="eop">
    <w:name w:val="eop"/>
    <w:basedOn w:val="DefaultParagraphFont"/>
    <w:rsid w:val="00786D3E"/>
  </w:style>
  <w:style w:type="character" w:customStyle="1" w:styleId="scxw154138953">
    <w:name w:val="scxw154138953"/>
    <w:basedOn w:val="DefaultParagraphFont"/>
    <w:rsid w:val="00786D3E"/>
  </w:style>
  <w:style w:type="character" w:customStyle="1" w:styleId="wacimagecontainer">
    <w:name w:val="wacimagecontainer"/>
    <w:basedOn w:val="DefaultParagraphFont"/>
    <w:rsid w:val="00786D3E"/>
  </w:style>
  <w:style w:type="character" w:customStyle="1" w:styleId="wacimageborder">
    <w:name w:val="wacimageborder"/>
    <w:basedOn w:val="DefaultParagraphFont"/>
    <w:rsid w:val="00786D3E"/>
  </w:style>
  <w:style w:type="character" w:customStyle="1" w:styleId="fieldrange">
    <w:name w:val="fieldrange"/>
    <w:basedOn w:val="DefaultParagraphFont"/>
    <w:rsid w:val="00786D3E"/>
  </w:style>
  <w:style w:type="paragraph" w:customStyle="1" w:styleId="outlineelement">
    <w:name w:val="outlineelement"/>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character" w:customStyle="1" w:styleId="tabrun">
    <w:name w:val="tabrun"/>
    <w:basedOn w:val="DefaultParagraphFont"/>
    <w:rsid w:val="00786D3E"/>
  </w:style>
  <w:style w:type="character" w:customStyle="1" w:styleId="tabchar">
    <w:name w:val="tabchar"/>
    <w:basedOn w:val="DefaultParagraphFont"/>
    <w:rsid w:val="00786D3E"/>
  </w:style>
  <w:style w:type="character" w:customStyle="1" w:styleId="tableaderchars">
    <w:name w:val="tableaderchars"/>
    <w:basedOn w:val="DefaultParagraphFont"/>
    <w:rsid w:val="00786D3E"/>
  </w:style>
  <w:style w:type="character" w:customStyle="1" w:styleId="pagebreakblob">
    <w:name w:val="pagebreakblob"/>
    <w:basedOn w:val="DefaultParagraphFont"/>
    <w:rsid w:val="00786D3E"/>
  </w:style>
  <w:style w:type="character" w:customStyle="1" w:styleId="pagebreaktextspan">
    <w:name w:val="pagebreaktextspan"/>
    <w:basedOn w:val="DefaultParagraphFont"/>
    <w:rsid w:val="00786D3E"/>
  </w:style>
  <w:style w:type="character" w:customStyle="1" w:styleId="pagebreakborderspan">
    <w:name w:val="pagebreakborderspan"/>
    <w:basedOn w:val="DefaultParagraphFont"/>
    <w:rsid w:val="00786D3E"/>
  </w:style>
  <w:style w:type="character" w:customStyle="1" w:styleId="trackchangetextinsertion">
    <w:name w:val="trackchangetextinsertion"/>
    <w:basedOn w:val="DefaultParagraphFont"/>
    <w:rsid w:val="00786D3E"/>
  </w:style>
  <w:style w:type="character" w:customStyle="1" w:styleId="trackchangetextdeletionmarker">
    <w:name w:val="trackchangetextdeletionmarker"/>
    <w:basedOn w:val="DefaultParagraphFont"/>
    <w:rsid w:val="00786D3E"/>
  </w:style>
  <w:style w:type="character" w:customStyle="1" w:styleId="superscript">
    <w:name w:val="superscript"/>
    <w:basedOn w:val="DefaultParagraphFont"/>
    <w:rsid w:val="00786D3E"/>
  </w:style>
  <w:style w:type="character" w:customStyle="1" w:styleId="wacimageplaceholder">
    <w:name w:val="wacimageplaceholder"/>
    <w:basedOn w:val="DefaultParagraphFont"/>
    <w:rsid w:val="00786D3E"/>
  </w:style>
  <w:style w:type="character" w:customStyle="1" w:styleId="wacprogress">
    <w:name w:val="wacprogress"/>
    <w:basedOn w:val="DefaultParagraphFont"/>
    <w:rsid w:val="00786D3E"/>
  </w:style>
  <w:style w:type="character" w:customStyle="1" w:styleId="wacimageplaceholderfiller">
    <w:name w:val="wacimageplaceholderfiller"/>
    <w:basedOn w:val="DefaultParagraphFont"/>
    <w:rsid w:val="00786D3E"/>
  </w:style>
  <w:style w:type="character" w:customStyle="1" w:styleId="scxw36153968">
    <w:name w:val="scxw36153968"/>
    <w:basedOn w:val="DefaultParagraphFont"/>
    <w:rsid w:val="00786D3E"/>
  </w:style>
  <w:style w:type="character" w:customStyle="1" w:styleId="linebreakblob">
    <w:name w:val="linebreakblob"/>
    <w:basedOn w:val="DefaultParagraphFont"/>
    <w:rsid w:val="00786D3E"/>
  </w:style>
  <w:style w:type="table" w:customStyle="1" w:styleId="CCATable">
    <w:name w:val="CCA Table"/>
    <w:basedOn w:val="TableNormal"/>
    <w:uiPriority w:val="99"/>
    <w:rsid w:val="00786D3E"/>
    <w:pPr>
      <w:spacing w:before="40" w:after="80" w:line="240" w:lineRule="auto"/>
    </w:pPr>
    <w:rPr>
      <w:rFonts w:ascii="Arial" w:eastAsia="MS Mincho" w:hAnsi="Arial" w:cs="Times New Roman"/>
      <w:color w:val="414141"/>
      <w:sz w:val="18"/>
      <w:szCs w:val="20"/>
      <w:lang w:val="en-AU" w:eastAsia="en-AU"/>
    </w:rPr>
    <w:tblPr>
      <w:tblStyleRowBandSize w:val="1"/>
      <w:tblBorders>
        <w:top w:val="single" w:sz="4" w:space="0" w:color="0C9FCD"/>
        <w:left w:val="single" w:sz="4" w:space="0" w:color="0C9FCD"/>
        <w:bottom w:val="single" w:sz="4" w:space="0" w:color="0C9FCD"/>
        <w:right w:val="single" w:sz="4" w:space="0" w:color="0C9FCD"/>
        <w:insideH w:val="single" w:sz="4" w:space="0" w:color="0C9FCD"/>
        <w:insideV w:val="single" w:sz="4" w:space="0" w:color="0C9FCD"/>
      </w:tblBorders>
    </w:tblPr>
    <w:trPr>
      <w:cantSplit/>
    </w:trPr>
    <w:tblStylePr w:type="firstRow">
      <w:pPr>
        <w:wordWrap/>
        <w:spacing w:beforeLines="0" w:before="40" w:beforeAutospacing="0" w:afterLines="0" w:after="0" w:afterAutospacing="0"/>
        <w:contextualSpacing w:val="0"/>
      </w:pPr>
      <w:rPr>
        <w:rFonts w:ascii="Courier New" w:hAnsi="Courier New"/>
        <w:color w:val="FFFFFF"/>
        <w:sz w:val="19"/>
      </w:rPr>
      <w:tblPr/>
      <w:tcPr>
        <w:shd w:val="clear" w:color="auto" w:fill="0C9FCD"/>
      </w:tcPr>
    </w:tblStylePr>
    <w:tblStylePr w:type="band1Horz">
      <w:rPr>
        <w:color w:val="DEECF7"/>
      </w:rPr>
      <w:tblPr/>
      <w:tcPr>
        <w:shd w:val="clear" w:color="auto" w:fill="DEECF7"/>
      </w:tcPr>
    </w:tblStylePr>
  </w:style>
  <w:style w:type="character" w:customStyle="1" w:styleId="findhit">
    <w:name w:val="findhit"/>
    <w:basedOn w:val="DefaultParagraphFont"/>
    <w:rsid w:val="00786D3E"/>
  </w:style>
  <w:style w:type="character" w:customStyle="1" w:styleId="ui-provider">
    <w:name w:val="ui-provider"/>
    <w:basedOn w:val="DefaultParagraphFont"/>
    <w:rsid w:val="00786D3E"/>
  </w:style>
  <w:style w:type="paragraph" w:customStyle="1" w:styleId="paragraphsub">
    <w:name w:val="paragraphsub"/>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paragraph" w:customStyle="1" w:styleId="subsection">
    <w:name w:val="subsection"/>
    <w:basedOn w:val="Normal"/>
    <w:rsid w:val="00786D3E"/>
    <w:pPr>
      <w:spacing w:before="100" w:beforeAutospacing="1" w:after="100" w:afterAutospacing="1" w:line="240" w:lineRule="auto"/>
    </w:pPr>
    <w:rPr>
      <w:rFonts w:ascii="Times New Roman" w:eastAsia="Times New Roman" w:hAnsi="Times New Roman" w:cs="Times New Roman"/>
      <w:color w:val="auto"/>
      <w:sz w:val="24"/>
      <w:lang w:val="en-AU" w:eastAsia="en-AU"/>
    </w:rPr>
  </w:style>
  <w:style w:type="character" w:styleId="SmartLink">
    <w:name w:val="Smart Link"/>
    <w:basedOn w:val="DefaultParagraphFont"/>
    <w:uiPriority w:val="99"/>
    <w:semiHidden/>
    <w:unhideWhenUsed/>
    <w:rsid w:val="00786D3E"/>
    <w:rPr>
      <w:color w:val="0000FF"/>
      <w:u w:val="single"/>
      <w:shd w:val="clear" w:color="auto" w:fill="F3F2F1"/>
    </w:rPr>
  </w:style>
  <w:style w:type="paragraph" w:customStyle="1" w:styleId="Heading31">
    <w:name w:val="Heading 31"/>
    <w:basedOn w:val="Normal"/>
    <w:uiPriority w:val="1"/>
    <w:rsid w:val="00786D3E"/>
    <w:pPr>
      <w:widowControl w:val="0"/>
      <w:numPr>
        <w:ilvl w:val="2"/>
        <w:numId w:val="4"/>
      </w:numPr>
      <w:autoSpaceDE w:val="0"/>
      <w:autoSpaceDN w:val="0"/>
      <w:spacing w:before="240" w:after="60"/>
      <w:ind w:left="0" w:firstLine="0"/>
    </w:pPr>
    <w:rPr>
      <w:rFonts w:eastAsia="Myriad Pro" w:cstheme="minorHAnsi"/>
      <w:b/>
      <w:bCs/>
      <w:color w:val="007BB7"/>
      <w:sz w:val="22"/>
      <w:lang w:eastAsia="en-US"/>
    </w:rPr>
  </w:style>
  <w:style w:type="table" w:styleId="PlainTable1">
    <w:name w:val="Plain Table 1"/>
    <w:basedOn w:val="TableNormal"/>
    <w:uiPriority w:val="41"/>
    <w:rsid w:val="00786D3E"/>
    <w:pPr>
      <w:spacing w:after="0" w:line="240" w:lineRule="auto"/>
    </w:pPr>
    <w:rPr>
      <w:rFonts w:eastAsiaTheme="minorHAnsi"/>
      <w:kern w:val="2"/>
      <w:lang w:val="en-AU" w:eastAsia="en-US"/>
      <w14:ligatures w14:val="standardContextual"/>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SmartHyperlink">
    <w:name w:val="Smart Hyperlink"/>
    <w:basedOn w:val="DefaultParagraphFont"/>
    <w:uiPriority w:val="99"/>
    <w:semiHidden/>
    <w:unhideWhenUsed/>
    <w:rsid w:val="00786D3E"/>
    <w:rPr>
      <w:u w:val="dotted"/>
    </w:rPr>
  </w:style>
  <w:style w:type="paragraph" w:customStyle="1" w:styleId="ToC">
    <w:name w:val="ToC"/>
    <w:basedOn w:val="TableofFigures"/>
    <w:link w:val="ToCChar"/>
    <w:qFormat/>
    <w:rsid w:val="00622D12"/>
    <w:pPr>
      <w:tabs>
        <w:tab w:val="right" w:leader="dot" w:pos="9628"/>
      </w:tabs>
    </w:pPr>
    <w:rPr>
      <w:rFonts w:asciiTheme="minorHAnsi" w:hAnsiTheme="minorHAnsi"/>
      <w:sz w:val="21"/>
      <w:szCs w:val="21"/>
    </w:rPr>
  </w:style>
  <w:style w:type="character" w:customStyle="1" w:styleId="ToCChar">
    <w:name w:val="ToC Char"/>
    <w:basedOn w:val="DefaultParagraphFont"/>
    <w:link w:val="ToC"/>
    <w:rsid w:val="00622D12"/>
    <w:rPr>
      <w:rFonts w:eastAsiaTheme="minorHAnsi"/>
      <w:sz w:val="21"/>
      <w:szCs w:val="21"/>
      <w:lang w:val="en-AU" w:eastAsia="en-US"/>
    </w:rPr>
  </w:style>
  <w:style w:type="paragraph" w:customStyle="1" w:styleId="Bodybullet">
    <w:name w:val="Body bullet"/>
    <w:basedOn w:val="Normal"/>
    <w:link w:val="BodybulletChar"/>
    <w:qFormat/>
    <w:rsid w:val="003329DB"/>
    <w:pPr>
      <w:numPr>
        <w:numId w:val="6"/>
      </w:numPr>
    </w:pPr>
    <w:rPr>
      <w:color w:val="auto"/>
      <w:szCs w:val="21"/>
    </w:rPr>
  </w:style>
  <w:style w:type="character" w:customStyle="1" w:styleId="BodybulletChar">
    <w:name w:val="Body bullet Char"/>
    <w:basedOn w:val="DefaultParagraphFont"/>
    <w:link w:val="Bodybullet"/>
    <w:rsid w:val="00A975E8"/>
    <w:rPr>
      <w:sz w:val="21"/>
      <w:szCs w:val="21"/>
      <w:lang w:val="en-GB"/>
    </w:rPr>
  </w:style>
  <w:style w:type="paragraph" w:customStyle="1" w:styleId="BoxTitle">
    <w:name w:val="Box Title"/>
    <w:basedOn w:val="Heading4"/>
    <w:link w:val="BoxTitleChar"/>
    <w:qFormat/>
    <w:rsid w:val="005D022A"/>
    <w:rPr>
      <w:b/>
      <w:i w:val="0"/>
      <w:color w:val="0777A3"/>
      <w:sz w:val="36"/>
    </w:rPr>
  </w:style>
  <w:style w:type="character" w:customStyle="1" w:styleId="BoxTitleChar">
    <w:name w:val="Box Title Char"/>
    <w:basedOn w:val="L1HeadingChar"/>
    <w:link w:val="BoxTitle"/>
    <w:rsid w:val="005D022A"/>
    <w:rPr>
      <w:rFonts w:ascii="HelveticaNeueLT Std Lt" w:eastAsiaTheme="majorEastAsia" w:hAnsi="HelveticaNeueLT Std Lt" w:cstheme="majorBidi"/>
      <w:b/>
      <w:iCs/>
      <w:color w:val="0777A3"/>
      <w:sz w:val="36"/>
      <w:szCs w:val="40"/>
      <w:lang w:val="en-GB"/>
    </w:rPr>
  </w:style>
  <w:style w:type="paragraph" w:customStyle="1" w:styleId="ReportFigureSubtitle">
    <w:name w:val="Report Figure Subtitle"/>
    <w:basedOn w:val="ReportFigureTitle"/>
    <w:link w:val="ReportFigureSubtitleChar"/>
    <w:qFormat/>
    <w:rsid w:val="003329DB"/>
    <w:rPr>
      <w:b/>
      <w:color w:val="auto"/>
      <w:sz w:val="21"/>
      <w:lang w:val="en-AU"/>
    </w:rPr>
  </w:style>
  <w:style w:type="character" w:customStyle="1" w:styleId="ReportFigureSubtitleChar">
    <w:name w:val="Report Figure Subtitle Char"/>
    <w:basedOn w:val="ReportFigureTitleChar"/>
    <w:link w:val="ReportFigureSubtitle"/>
    <w:rsid w:val="00142922"/>
    <w:rPr>
      <w:b/>
      <w:color w:val="00679F"/>
      <w:sz w:val="21"/>
      <w:szCs w:val="21"/>
      <w:lang w:val="en-AU"/>
    </w:rPr>
  </w:style>
  <w:style w:type="paragraph" w:customStyle="1" w:styleId="ReportTableTitle">
    <w:name w:val="Report Table Title"/>
    <w:basedOn w:val="ReportFigureTitle"/>
    <w:link w:val="ReportTableTitleChar"/>
    <w:qFormat/>
    <w:rsid w:val="00825F87"/>
  </w:style>
  <w:style w:type="character" w:customStyle="1" w:styleId="ReportTableTitleChar">
    <w:name w:val="Report Table Title Char"/>
    <w:basedOn w:val="ReportFigureTitleChar"/>
    <w:link w:val="ReportTableTitle"/>
    <w:rsid w:val="00825F87"/>
    <w:rPr>
      <w:color w:val="00679F"/>
      <w:sz w:val="21"/>
      <w:szCs w:val="21"/>
      <w:lang w:val="en-GB"/>
    </w:rPr>
  </w:style>
  <w:style w:type="paragraph" w:customStyle="1" w:styleId="QuoteLongIn-text">
    <w:name w:val="Quote (Long In-text)"/>
    <w:basedOn w:val="Normal"/>
    <w:link w:val="QuoteLongIn-textChar"/>
    <w:qFormat/>
    <w:rsid w:val="003329DB"/>
    <w:pPr>
      <w:ind w:left="851" w:right="851"/>
    </w:pPr>
    <w:rPr>
      <w:i/>
      <w:iCs/>
      <w:color w:val="auto"/>
    </w:rPr>
  </w:style>
  <w:style w:type="character" w:customStyle="1" w:styleId="QuoteLongIn-textChar">
    <w:name w:val="Quote (Long In-text) Char"/>
    <w:basedOn w:val="DefaultParagraphFont"/>
    <w:link w:val="QuoteLongIn-text"/>
    <w:rsid w:val="00F110D7"/>
    <w:rPr>
      <w:i/>
      <w:iCs/>
      <w:sz w:val="21"/>
      <w:lang w:val="en-GB"/>
    </w:rPr>
  </w:style>
  <w:style w:type="paragraph" w:customStyle="1" w:styleId="ReportReferences">
    <w:name w:val="Report References"/>
    <w:basedOn w:val="Normal"/>
    <w:link w:val="ReportReferencesChar"/>
    <w:qFormat/>
    <w:rsid w:val="003329DB"/>
    <w:pPr>
      <w:autoSpaceDE w:val="0"/>
      <w:autoSpaceDN w:val="0"/>
      <w:ind w:left="720" w:hanging="720"/>
    </w:pPr>
    <w:rPr>
      <w:rFonts w:eastAsia="Times New Roman" w:cs="Calibri"/>
      <w:color w:val="auto"/>
      <w:szCs w:val="22"/>
    </w:rPr>
  </w:style>
  <w:style w:type="character" w:customStyle="1" w:styleId="ReportReferencesChar">
    <w:name w:val="Report References Char"/>
    <w:basedOn w:val="DefaultParagraphFont"/>
    <w:link w:val="ReportReferences"/>
    <w:rsid w:val="00A96C3C"/>
    <w:rPr>
      <w:rFonts w:eastAsia="Times New Roman" w:cs="Calibri"/>
      <w:sz w:val="21"/>
      <w:szCs w:val="22"/>
      <w:lang w:val="en-GB"/>
    </w:rPr>
  </w:style>
  <w:style w:type="paragraph" w:customStyle="1" w:styleId="Quotesource">
    <w:name w:val="Quote source"/>
    <w:basedOn w:val="Normal"/>
    <w:link w:val="QuotesourceChar"/>
    <w:qFormat/>
    <w:rsid w:val="001D10EB"/>
    <w:pPr>
      <w:spacing w:after="400" w:line="240" w:lineRule="exact"/>
      <w:ind w:left="1134" w:right="1134"/>
      <w:jc w:val="right"/>
    </w:pPr>
  </w:style>
  <w:style w:type="character" w:customStyle="1" w:styleId="QuotesourceChar">
    <w:name w:val="Quote source Char"/>
    <w:basedOn w:val="DefaultParagraphFont"/>
    <w:link w:val="Quotesource"/>
    <w:rsid w:val="001D10EB"/>
    <w:rPr>
      <w:color w:val="4D4D4D"/>
      <w:sz w:val="21"/>
      <w:lang w:val="en-GB"/>
    </w:rPr>
  </w:style>
  <w:style w:type="paragraph" w:customStyle="1" w:styleId="CallOuts">
    <w:name w:val="Call Outs"/>
    <w:basedOn w:val="Normal"/>
    <w:link w:val="CallOutsChar"/>
    <w:qFormat/>
    <w:rsid w:val="00E55B7B"/>
    <w:rPr>
      <w:color w:val="0777A3"/>
      <w:sz w:val="48"/>
      <w:szCs w:val="56"/>
    </w:rPr>
  </w:style>
  <w:style w:type="character" w:customStyle="1" w:styleId="CallOutsChar">
    <w:name w:val="Call Outs Char"/>
    <w:basedOn w:val="DefaultParagraphFont"/>
    <w:link w:val="CallOuts"/>
    <w:rsid w:val="00E55B7B"/>
    <w:rPr>
      <w:color w:val="0777A3"/>
      <w:sz w:val="48"/>
      <w:szCs w:val="56"/>
      <w:lang w:val="en-GB"/>
    </w:rPr>
  </w:style>
  <w:style w:type="paragraph" w:customStyle="1" w:styleId="Title1">
    <w:name w:val="Title1"/>
    <w:basedOn w:val="Title"/>
    <w:link w:val="Title1Char"/>
    <w:qFormat/>
    <w:rsid w:val="001A6597"/>
  </w:style>
  <w:style w:type="character" w:customStyle="1" w:styleId="Title1Char">
    <w:name w:val="Title1 Char"/>
    <w:basedOn w:val="TitleChar"/>
    <w:link w:val="Title1"/>
    <w:rsid w:val="001A6597"/>
    <w:rPr>
      <w:rFonts w:asciiTheme="majorHAnsi" w:eastAsiaTheme="majorEastAsia" w:hAnsiTheme="majorHAnsi" w:cstheme="majorBidi"/>
      <w:spacing w:val="-10"/>
      <w:kern w:val="28"/>
      <w:sz w:val="56"/>
      <w:szCs w:val="5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0860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png"/><Relationship Id="rId26" Type="http://schemas.openxmlformats.org/officeDocument/2006/relationships/image" Target="media/image15.svg"/><Relationship Id="rId39" Type="http://schemas.openxmlformats.org/officeDocument/2006/relationships/image" Target="media/image28.svg"/><Relationship Id="rId21" Type="http://schemas.openxmlformats.org/officeDocument/2006/relationships/image" Target="media/image10.svg"/><Relationship Id="rId34" Type="http://schemas.openxmlformats.org/officeDocument/2006/relationships/image" Target="media/image23.jpeg"/><Relationship Id="rId42" Type="http://schemas.openxmlformats.org/officeDocument/2006/relationships/hyperlink" Target="https://consult.dcceew.gov.au/national-greenhouse-and-energy-reporting-nger-scheme" TargetMode="External"/><Relationship Id="rId47" Type="http://schemas.openxmlformats.org/officeDocument/2006/relationships/header" Target="header1.xml"/><Relationship Id="rId50" Type="http://schemas.openxmlformats.org/officeDocument/2006/relationships/image" Target="media/image31.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image" Target="media/image1.jpeg"/><Relationship Id="rId24" Type="http://schemas.openxmlformats.org/officeDocument/2006/relationships/image" Target="media/image13.jpeg"/><Relationship Id="rId32" Type="http://schemas.openxmlformats.org/officeDocument/2006/relationships/image" Target="media/image21.svg"/><Relationship Id="rId37" Type="http://schemas.openxmlformats.org/officeDocument/2006/relationships/image" Target="media/image26.svg"/><Relationship Id="rId40" Type="http://schemas.openxmlformats.org/officeDocument/2006/relationships/image" Target="media/image29.png"/><Relationship Id="rId45" Type="http://schemas.openxmlformats.org/officeDocument/2006/relationships/hyperlink" Target="https://www.unep.org/news-and-stories/press-release/unep-australia-announce-landmark-study-improve-understanding-coal" TargetMode="External"/><Relationship Id="rId53" Type="http://schemas.openxmlformats.org/officeDocument/2006/relationships/glossaryDocument" Target="glossary/document.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8.svg"/><Relationship Id="rId31" Type="http://schemas.openxmlformats.org/officeDocument/2006/relationships/image" Target="media/image20.png"/><Relationship Id="rId44" Type="http://schemas.openxmlformats.org/officeDocument/2006/relationships/hyperlink" Target="https://www.dcceew.gov.au/about/news/expert-panel-fugitive-methane-emissions-tor" TargetMode="External"/><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consultation@cca.gov.au"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svg"/><Relationship Id="rId35" Type="http://schemas.openxmlformats.org/officeDocument/2006/relationships/image" Target="media/image24.png"/><Relationship Id="rId43" Type="http://schemas.openxmlformats.org/officeDocument/2006/relationships/hyperlink" Target="https://www.dcceew.gov.au/climate-change/emissions-reporting/national-greenhouse-energy-reporting-scheme/expert-panel-atmospheric-measurement-fugitive-methane-emissions-au" TargetMode="External"/><Relationship Id="rId48"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2.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sv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hyperlink" Target="https://erefdn.org/eref-launches-third-controlled-release-study-to-improve-methane-detection-at-landfills/" TargetMode="Externa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g"/><Relationship Id="rId23" Type="http://schemas.openxmlformats.org/officeDocument/2006/relationships/image" Target="media/image12.svg"/><Relationship Id="rId28" Type="http://schemas.openxmlformats.org/officeDocument/2006/relationships/image" Target="media/image17.svg"/><Relationship Id="rId36" Type="http://schemas.openxmlformats.org/officeDocument/2006/relationships/image" Target="media/image25.png"/><Relationship Id="rId49" Type="http://schemas.openxmlformats.org/officeDocument/2006/relationships/footer" Target="footer2.xml"/></Relationships>
</file>

<file path=word/_rels/footnotes.xml.rels><?xml version="1.0" encoding="UTF-8" standalone="yes"?>
<Relationships xmlns="http://schemas.openxmlformats.org/package/2006/relationships"><Relationship Id="rId1" Type="http://schemas.openxmlformats.org/officeDocument/2006/relationships/hyperlink" Target="https://www.dcceew.gov.au/sites/default/files/documents/government-response-cca-nger-review.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E884B6C22774894B3AF92BF9B8B9417"/>
        <w:category>
          <w:name w:val="General"/>
          <w:gallery w:val="placeholder"/>
        </w:category>
        <w:types>
          <w:type w:val="bbPlcHdr"/>
        </w:types>
        <w:behaviors>
          <w:behavior w:val="content"/>
        </w:behaviors>
        <w:guid w:val="{FD663758-D7C2-49E2-B2E1-87232FB7C0F3}"/>
      </w:docPartPr>
      <w:docPartBody>
        <w:p w:rsidR="001C73E8" w:rsidRDefault="00B35EB1" w:rsidP="00B35EB1">
          <w:pPr>
            <w:pStyle w:val="BE884B6C22774894B3AF92BF9B8B9417"/>
          </w:pPr>
          <w:r w:rsidRPr="00E41036">
            <w:rPr>
              <w:rStyle w:val="PlaceholderText"/>
            </w:rPr>
            <w:t>Click or tap here to enter text.</w:t>
          </w:r>
        </w:p>
      </w:docPartBody>
    </w:docPart>
    <w:docPart>
      <w:docPartPr>
        <w:name w:val="DD8D810C25734D09A8066D8B46101593"/>
        <w:category>
          <w:name w:val="General"/>
          <w:gallery w:val="placeholder"/>
        </w:category>
        <w:types>
          <w:type w:val="bbPlcHdr"/>
        </w:types>
        <w:behaviors>
          <w:behavior w:val="content"/>
        </w:behaviors>
        <w:guid w:val="{F5A1DEFE-F2DC-473B-A613-9711114D2046}"/>
      </w:docPartPr>
      <w:docPartBody>
        <w:p w:rsidR="001C73E8" w:rsidRDefault="00B35EB1" w:rsidP="00B35EB1">
          <w:pPr>
            <w:pStyle w:val="DD8D810C25734D09A8066D8B46101593"/>
          </w:pPr>
          <w:r w:rsidRPr="00E41036">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S Mincho">
    <w:panose1 w:val="02020609040205080304"/>
    <w:charset w:val="80"/>
    <w:family w:val="modern"/>
    <w:pitch w:val="fixed"/>
    <w:sig w:usb0="E00002FF" w:usb1="6AC7FDFB" w:usb2="08000012" w:usb3="00000000" w:csb0="0002009F" w:csb1="00000000"/>
  </w:font>
  <w:font w:name="Aptos Display">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NeueLT Std Lt">
    <w:altName w:val="Arial"/>
    <w:panose1 w:val="00000000000000000000"/>
    <w:charset w:val="00"/>
    <w:family w:val="swiss"/>
    <w:notTrueType/>
    <w:pitch w:val="variable"/>
    <w:sig w:usb0="800000AF" w:usb1="4000204A" w:usb2="00000000" w:usb3="00000000" w:csb0="00000001" w:csb1="00000000"/>
  </w:font>
  <w:font w:name="HelveticaNeueLT Std">
    <w:altName w:val="Arial"/>
    <w:panose1 w:val="00000000000000000000"/>
    <w:charset w:val="00"/>
    <w:family w:val="swiss"/>
    <w:notTrueType/>
    <w:pitch w:val="variable"/>
    <w:sig w:usb0="800000AF" w:usb1="4000204A" w:usb2="00000000" w:usb3="00000000" w:csb0="00000001"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old">
    <w:panose1 w:val="020B0704020202020204"/>
    <w:charset w:val="00"/>
    <w:family w:val="roman"/>
    <w:notTrueType/>
    <w:pitch w:val="default"/>
  </w:font>
  <w:font w:name="Myriad Pro">
    <w:altName w:val="Cambria"/>
    <w:panose1 w:val="00000000000000000000"/>
    <w:charset w:val="00"/>
    <w:family w:val="swiss"/>
    <w:notTrueType/>
    <w:pitch w:val="variable"/>
    <w:sig w:usb0="00000001" w:usb1="00000001" w:usb2="00000000" w:usb3="00000000" w:csb0="0000019F" w:csb1="00000000"/>
  </w:font>
  <w:font w:name="GATLAK+Calibri">
    <w:altName w:val="Calibri"/>
    <w:charset w:val="00"/>
    <w:family w:val="swiss"/>
    <w:pitch w:val="default"/>
    <w:sig w:usb0="00000003" w:usb1="00000000" w:usb2="00000000" w:usb3="00000000" w:csb0="00000001" w:csb1="00000000"/>
  </w:font>
  <w:font w:name="GATLAK+Calibri-Bold">
    <w:altName w:val="Calibri"/>
    <w:panose1 w:val="00000000000000000000"/>
    <w:charset w:val="00"/>
    <w:family w:val="swiss"/>
    <w:notTrueType/>
    <w:pitch w:val="default"/>
    <w:sig w:usb0="00000003" w:usb1="00000000" w:usb2="00000000" w:usb3="00000000" w:csb0="00000001" w:csb1="00000000"/>
  </w:font>
  <w:font w:name="Open Sans">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5EB1"/>
    <w:rsid w:val="001C73E8"/>
    <w:rsid w:val="001D72EB"/>
    <w:rsid w:val="001D7464"/>
    <w:rsid w:val="005D30D3"/>
    <w:rsid w:val="00843C8D"/>
    <w:rsid w:val="008C6FCF"/>
    <w:rsid w:val="00B35EB1"/>
    <w:rsid w:val="00E33C3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57A04374"/>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35EB1"/>
    <w:rPr>
      <w:color w:val="666666"/>
    </w:rPr>
  </w:style>
  <w:style w:type="paragraph" w:customStyle="1" w:styleId="BE884B6C22774894B3AF92BF9B8B9417">
    <w:name w:val="BE884B6C22774894B3AF92BF9B8B9417"/>
    <w:rsid w:val="00B35EB1"/>
  </w:style>
  <w:style w:type="paragraph" w:customStyle="1" w:styleId="DD8D810C25734D09A8066D8B46101593">
    <w:name w:val="DD8D810C25734D09A8066D8B46101593"/>
    <w:rsid w:val="00B35EB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C81C495FB13BF439C8C8F3220EF5B15" ma:contentTypeVersion="4" ma:contentTypeDescription="Create a new document." ma:contentTypeScope="" ma:versionID="3e42ae931307ce7027cfa945bd82b9e7">
  <xsd:schema xmlns:xsd="http://www.w3.org/2001/XMLSchema" xmlns:xs="http://www.w3.org/2001/XMLSchema" xmlns:p="http://schemas.microsoft.com/office/2006/metadata/properties" xmlns:ns2="cac69bae-f550-4fe4-96cf-2c4327584f26" targetNamespace="http://schemas.microsoft.com/office/2006/metadata/properties" ma:root="true" ma:fieldsID="1e68a11b0131e29780657c385193ef50" ns2:_="">
    <xsd:import namespace="cac69bae-f550-4fe4-96cf-2c4327584f2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c69bae-f550-4fe4-96cf-2c4327584f2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BillingMetadata" ma:index="11"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EDEE1C-FC92-4D6F-ADC7-F78E10B24B33}">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321AE4A-7E95-4178-AE16-271FF75F95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c69bae-f550-4fe4-96cf-2c4327584f2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7DB1AC5-8BA1-4054-AACA-CC61D5599EEC}">
  <ds:schemaRefs>
    <ds:schemaRef ds:uri="http://schemas.microsoft.com/sharepoint/v3/contenttype/forms"/>
  </ds:schemaRefs>
</ds:datastoreItem>
</file>

<file path=customXml/itemProps4.xml><?xml version="1.0" encoding="utf-8"?>
<ds:datastoreItem xmlns:ds="http://schemas.openxmlformats.org/officeDocument/2006/customXml" ds:itemID="{8D0650E0-8FAD-49FA-9016-46905632FB25}">
  <ds:schemaRefs>
    <ds:schemaRef ds:uri="http://schemas.openxmlformats.org/officeDocument/2006/bibliography"/>
  </ds:schemaRefs>
</ds:datastoreItem>
</file>

<file path=docMetadata/LabelInfo.xml><?xml version="1.0" encoding="utf-8"?>
<clbl:labelList xmlns:clbl="http://schemas.microsoft.com/office/2020/mipLabelMetadata">
  <clbl:label id="{2e6ba7ff-9897-4e65-9803-3be34fd9cf5a}" enabled="1" method="Privileged" siteId="{8c3c81bc-2b3c-44af-b3f7-6f620b3910ee}" removed="0"/>
</clbl:labelList>
</file>

<file path=docProps/app.xml><?xml version="1.0" encoding="utf-8"?>
<Properties xmlns="http://schemas.openxmlformats.org/officeDocument/2006/extended-properties" xmlns:vt="http://schemas.openxmlformats.org/officeDocument/2006/docPropsVTypes">
  <Template>Normal</Template>
  <TotalTime>2</TotalTime>
  <Pages>47</Pages>
  <Words>12880</Words>
  <Characters>82696</Characters>
  <Application>Microsoft Office Word</Application>
  <DocSecurity>0</DocSecurity>
  <Lines>1722</Lines>
  <Paragraphs>575</Paragraphs>
  <ScaleCrop>false</ScaleCrop>
  <Company/>
  <LinksUpToDate>false</LinksUpToDate>
  <CharactersWithSpaces>95001</CharactersWithSpaces>
  <SharedDoc>false</SharedDoc>
  <HLinks>
    <vt:vector size="204" baseType="variant">
      <vt:variant>
        <vt:i4>7143477</vt:i4>
      </vt:variant>
      <vt:variant>
        <vt:i4>195</vt:i4>
      </vt:variant>
      <vt:variant>
        <vt:i4>0</vt:i4>
      </vt:variant>
      <vt:variant>
        <vt:i4>5</vt:i4>
      </vt:variant>
      <vt:variant>
        <vt:lpwstr>https://erefdn.org/eref-launches-third-controlled-release-study-to-improve-methane-detection-at-landfills/</vt:lpwstr>
      </vt:variant>
      <vt:variant>
        <vt:lpwstr/>
      </vt:variant>
      <vt:variant>
        <vt:i4>4456513</vt:i4>
      </vt:variant>
      <vt:variant>
        <vt:i4>192</vt:i4>
      </vt:variant>
      <vt:variant>
        <vt:i4>0</vt:i4>
      </vt:variant>
      <vt:variant>
        <vt:i4>5</vt:i4>
      </vt:variant>
      <vt:variant>
        <vt:lpwstr>https://www.unep.org/news-and-stories/press-release/unep-australia-announce-landmark-study-improve-understanding-coal</vt:lpwstr>
      </vt:variant>
      <vt:variant>
        <vt:lpwstr/>
      </vt:variant>
      <vt:variant>
        <vt:i4>4390996</vt:i4>
      </vt:variant>
      <vt:variant>
        <vt:i4>189</vt:i4>
      </vt:variant>
      <vt:variant>
        <vt:i4>0</vt:i4>
      </vt:variant>
      <vt:variant>
        <vt:i4>5</vt:i4>
      </vt:variant>
      <vt:variant>
        <vt:lpwstr>https://www.dcceew.gov.au/about/news/expert-panel-fugitive-methane-emissions-tor</vt:lpwstr>
      </vt:variant>
      <vt:variant>
        <vt:lpwstr/>
      </vt:variant>
      <vt:variant>
        <vt:i4>7208998</vt:i4>
      </vt:variant>
      <vt:variant>
        <vt:i4>186</vt:i4>
      </vt:variant>
      <vt:variant>
        <vt:i4>0</vt:i4>
      </vt:variant>
      <vt:variant>
        <vt:i4>5</vt:i4>
      </vt:variant>
      <vt:variant>
        <vt:lpwstr>https://www.dcceew.gov.au/climate-change/emissions-reporting/national-greenhouse-energy-reporting-scheme/expert-panel-atmospheric-measurement-fugitive-methane-emissions-au</vt:lpwstr>
      </vt:variant>
      <vt:variant>
        <vt:lpwstr/>
      </vt:variant>
      <vt:variant>
        <vt:i4>2818163</vt:i4>
      </vt:variant>
      <vt:variant>
        <vt:i4>183</vt:i4>
      </vt:variant>
      <vt:variant>
        <vt:i4>0</vt:i4>
      </vt:variant>
      <vt:variant>
        <vt:i4>5</vt:i4>
      </vt:variant>
      <vt:variant>
        <vt:lpwstr>https://consult.dcceew.gov.au/national-greenhouse-and-energy-reporting-nger-scheme</vt:lpwstr>
      </vt:variant>
      <vt:variant>
        <vt:lpwstr/>
      </vt:variant>
      <vt:variant>
        <vt:i4>1900594</vt:i4>
      </vt:variant>
      <vt:variant>
        <vt:i4>161</vt:i4>
      </vt:variant>
      <vt:variant>
        <vt:i4>0</vt:i4>
      </vt:variant>
      <vt:variant>
        <vt:i4>5</vt:i4>
      </vt:variant>
      <vt:variant>
        <vt:lpwstr/>
      </vt:variant>
      <vt:variant>
        <vt:lpwstr>_Toc232079505</vt:lpwstr>
      </vt:variant>
      <vt:variant>
        <vt:i4>1900594</vt:i4>
      </vt:variant>
      <vt:variant>
        <vt:i4>155</vt:i4>
      </vt:variant>
      <vt:variant>
        <vt:i4>0</vt:i4>
      </vt:variant>
      <vt:variant>
        <vt:i4>5</vt:i4>
      </vt:variant>
      <vt:variant>
        <vt:lpwstr/>
      </vt:variant>
      <vt:variant>
        <vt:lpwstr>_Toc232079504</vt:lpwstr>
      </vt:variant>
      <vt:variant>
        <vt:i4>1900594</vt:i4>
      </vt:variant>
      <vt:variant>
        <vt:i4>149</vt:i4>
      </vt:variant>
      <vt:variant>
        <vt:i4>0</vt:i4>
      </vt:variant>
      <vt:variant>
        <vt:i4>5</vt:i4>
      </vt:variant>
      <vt:variant>
        <vt:lpwstr/>
      </vt:variant>
      <vt:variant>
        <vt:lpwstr>_Toc232079503</vt:lpwstr>
      </vt:variant>
      <vt:variant>
        <vt:i4>1900594</vt:i4>
      </vt:variant>
      <vt:variant>
        <vt:i4>143</vt:i4>
      </vt:variant>
      <vt:variant>
        <vt:i4>0</vt:i4>
      </vt:variant>
      <vt:variant>
        <vt:i4>5</vt:i4>
      </vt:variant>
      <vt:variant>
        <vt:lpwstr/>
      </vt:variant>
      <vt:variant>
        <vt:lpwstr>_Toc232079502</vt:lpwstr>
      </vt:variant>
      <vt:variant>
        <vt:i4>1900594</vt:i4>
      </vt:variant>
      <vt:variant>
        <vt:i4>137</vt:i4>
      </vt:variant>
      <vt:variant>
        <vt:i4>0</vt:i4>
      </vt:variant>
      <vt:variant>
        <vt:i4>5</vt:i4>
      </vt:variant>
      <vt:variant>
        <vt:lpwstr/>
      </vt:variant>
      <vt:variant>
        <vt:lpwstr>_Toc232079501</vt:lpwstr>
      </vt:variant>
      <vt:variant>
        <vt:i4>1900594</vt:i4>
      </vt:variant>
      <vt:variant>
        <vt:i4>131</vt:i4>
      </vt:variant>
      <vt:variant>
        <vt:i4>0</vt:i4>
      </vt:variant>
      <vt:variant>
        <vt:i4>5</vt:i4>
      </vt:variant>
      <vt:variant>
        <vt:lpwstr/>
      </vt:variant>
      <vt:variant>
        <vt:lpwstr>_Toc232079500</vt:lpwstr>
      </vt:variant>
      <vt:variant>
        <vt:i4>1310771</vt:i4>
      </vt:variant>
      <vt:variant>
        <vt:i4>125</vt:i4>
      </vt:variant>
      <vt:variant>
        <vt:i4>0</vt:i4>
      </vt:variant>
      <vt:variant>
        <vt:i4>5</vt:i4>
      </vt:variant>
      <vt:variant>
        <vt:lpwstr/>
      </vt:variant>
      <vt:variant>
        <vt:lpwstr>_Toc232079499</vt:lpwstr>
      </vt:variant>
      <vt:variant>
        <vt:i4>1310771</vt:i4>
      </vt:variant>
      <vt:variant>
        <vt:i4>119</vt:i4>
      </vt:variant>
      <vt:variant>
        <vt:i4>0</vt:i4>
      </vt:variant>
      <vt:variant>
        <vt:i4>5</vt:i4>
      </vt:variant>
      <vt:variant>
        <vt:lpwstr/>
      </vt:variant>
      <vt:variant>
        <vt:lpwstr>_Toc232079498</vt:lpwstr>
      </vt:variant>
      <vt:variant>
        <vt:i4>1310771</vt:i4>
      </vt:variant>
      <vt:variant>
        <vt:i4>113</vt:i4>
      </vt:variant>
      <vt:variant>
        <vt:i4>0</vt:i4>
      </vt:variant>
      <vt:variant>
        <vt:i4>5</vt:i4>
      </vt:variant>
      <vt:variant>
        <vt:lpwstr/>
      </vt:variant>
      <vt:variant>
        <vt:lpwstr>_Toc232079497</vt:lpwstr>
      </vt:variant>
      <vt:variant>
        <vt:i4>1310771</vt:i4>
      </vt:variant>
      <vt:variant>
        <vt:i4>107</vt:i4>
      </vt:variant>
      <vt:variant>
        <vt:i4>0</vt:i4>
      </vt:variant>
      <vt:variant>
        <vt:i4>5</vt:i4>
      </vt:variant>
      <vt:variant>
        <vt:lpwstr/>
      </vt:variant>
      <vt:variant>
        <vt:lpwstr>_Toc232079496</vt:lpwstr>
      </vt:variant>
      <vt:variant>
        <vt:i4>1310771</vt:i4>
      </vt:variant>
      <vt:variant>
        <vt:i4>101</vt:i4>
      </vt:variant>
      <vt:variant>
        <vt:i4>0</vt:i4>
      </vt:variant>
      <vt:variant>
        <vt:i4>5</vt:i4>
      </vt:variant>
      <vt:variant>
        <vt:lpwstr/>
      </vt:variant>
      <vt:variant>
        <vt:lpwstr>_Toc232079495</vt:lpwstr>
      </vt:variant>
      <vt:variant>
        <vt:i4>1310771</vt:i4>
      </vt:variant>
      <vt:variant>
        <vt:i4>95</vt:i4>
      </vt:variant>
      <vt:variant>
        <vt:i4>0</vt:i4>
      </vt:variant>
      <vt:variant>
        <vt:i4>5</vt:i4>
      </vt:variant>
      <vt:variant>
        <vt:lpwstr/>
      </vt:variant>
      <vt:variant>
        <vt:lpwstr>_Toc232079494</vt:lpwstr>
      </vt:variant>
      <vt:variant>
        <vt:i4>1310771</vt:i4>
      </vt:variant>
      <vt:variant>
        <vt:i4>89</vt:i4>
      </vt:variant>
      <vt:variant>
        <vt:i4>0</vt:i4>
      </vt:variant>
      <vt:variant>
        <vt:i4>5</vt:i4>
      </vt:variant>
      <vt:variant>
        <vt:lpwstr/>
      </vt:variant>
      <vt:variant>
        <vt:lpwstr>_Toc232079493</vt:lpwstr>
      </vt:variant>
      <vt:variant>
        <vt:i4>1310771</vt:i4>
      </vt:variant>
      <vt:variant>
        <vt:i4>83</vt:i4>
      </vt:variant>
      <vt:variant>
        <vt:i4>0</vt:i4>
      </vt:variant>
      <vt:variant>
        <vt:i4>5</vt:i4>
      </vt:variant>
      <vt:variant>
        <vt:lpwstr/>
      </vt:variant>
      <vt:variant>
        <vt:lpwstr>_Toc232079492</vt:lpwstr>
      </vt:variant>
      <vt:variant>
        <vt:i4>1310771</vt:i4>
      </vt:variant>
      <vt:variant>
        <vt:i4>77</vt:i4>
      </vt:variant>
      <vt:variant>
        <vt:i4>0</vt:i4>
      </vt:variant>
      <vt:variant>
        <vt:i4>5</vt:i4>
      </vt:variant>
      <vt:variant>
        <vt:lpwstr/>
      </vt:variant>
      <vt:variant>
        <vt:lpwstr>_Toc232079491</vt:lpwstr>
      </vt:variant>
      <vt:variant>
        <vt:i4>1310771</vt:i4>
      </vt:variant>
      <vt:variant>
        <vt:i4>71</vt:i4>
      </vt:variant>
      <vt:variant>
        <vt:i4>0</vt:i4>
      </vt:variant>
      <vt:variant>
        <vt:i4>5</vt:i4>
      </vt:variant>
      <vt:variant>
        <vt:lpwstr/>
      </vt:variant>
      <vt:variant>
        <vt:lpwstr>_Toc232079490</vt:lpwstr>
      </vt:variant>
      <vt:variant>
        <vt:i4>1376307</vt:i4>
      </vt:variant>
      <vt:variant>
        <vt:i4>65</vt:i4>
      </vt:variant>
      <vt:variant>
        <vt:i4>0</vt:i4>
      </vt:variant>
      <vt:variant>
        <vt:i4>5</vt:i4>
      </vt:variant>
      <vt:variant>
        <vt:lpwstr/>
      </vt:variant>
      <vt:variant>
        <vt:lpwstr>_Toc232079489</vt:lpwstr>
      </vt:variant>
      <vt:variant>
        <vt:i4>1376307</vt:i4>
      </vt:variant>
      <vt:variant>
        <vt:i4>59</vt:i4>
      </vt:variant>
      <vt:variant>
        <vt:i4>0</vt:i4>
      </vt:variant>
      <vt:variant>
        <vt:i4>5</vt:i4>
      </vt:variant>
      <vt:variant>
        <vt:lpwstr/>
      </vt:variant>
      <vt:variant>
        <vt:lpwstr>_Toc232079488</vt:lpwstr>
      </vt:variant>
      <vt:variant>
        <vt:i4>1376307</vt:i4>
      </vt:variant>
      <vt:variant>
        <vt:i4>53</vt:i4>
      </vt:variant>
      <vt:variant>
        <vt:i4>0</vt:i4>
      </vt:variant>
      <vt:variant>
        <vt:i4>5</vt:i4>
      </vt:variant>
      <vt:variant>
        <vt:lpwstr/>
      </vt:variant>
      <vt:variant>
        <vt:lpwstr>_Toc232079487</vt:lpwstr>
      </vt:variant>
      <vt:variant>
        <vt:i4>1376307</vt:i4>
      </vt:variant>
      <vt:variant>
        <vt:i4>47</vt:i4>
      </vt:variant>
      <vt:variant>
        <vt:i4>0</vt:i4>
      </vt:variant>
      <vt:variant>
        <vt:i4>5</vt:i4>
      </vt:variant>
      <vt:variant>
        <vt:lpwstr/>
      </vt:variant>
      <vt:variant>
        <vt:lpwstr>_Toc232079486</vt:lpwstr>
      </vt:variant>
      <vt:variant>
        <vt:i4>1376307</vt:i4>
      </vt:variant>
      <vt:variant>
        <vt:i4>41</vt:i4>
      </vt:variant>
      <vt:variant>
        <vt:i4>0</vt:i4>
      </vt:variant>
      <vt:variant>
        <vt:i4>5</vt:i4>
      </vt:variant>
      <vt:variant>
        <vt:lpwstr/>
      </vt:variant>
      <vt:variant>
        <vt:lpwstr>_Toc232079485</vt:lpwstr>
      </vt:variant>
      <vt:variant>
        <vt:i4>1376307</vt:i4>
      </vt:variant>
      <vt:variant>
        <vt:i4>35</vt:i4>
      </vt:variant>
      <vt:variant>
        <vt:i4>0</vt:i4>
      </vt:variant>
      <vt:variant>
        <vt:i4>5</vt:i4>
      </vt:variant>
      <vt:variant>
        <vt:lpwstr/>
      </vt:variant>
      <vt:variant>
        <vt:lpwstr>_Toc232079483</vt:lpwstr>
      </vt:variant>
      <vt:variant>
        <vt:i4>1376307</vt:i4>
      </vt:variant>
      <vt:variant>
        <vt:i4>29</vt:i4>
      </vt:variant>
      <vt:variant>
        <vt:i4>0</vt:i4>
      </vt:variant>
      <vt:variant>
        <vt:i4>5</vt:i4>
      </vt:variant>
      <vt:variant>
        <vt:lpwstr/>
      </vt:variant>
      <vt:variant>
        <vt:lpwstr>_Toc232079482</vt:lpwstr>
      </vt:variant>
      <vt:variant>
        <vt:i4>1376307</vt:i4>
      </vt:variant>
      <vt:variant>
        <vt:i4>23</vt:i4>
      </vt:variant>
      <vt:variant>
        <vt:i4>0</vt:i4>
      </vt:variant>
      <vt:variant>
        <vt:i4>5</vt:i4>
      </vt:variant>
      <vt:variant>
        <vt:lpwstr/>
      </vt:variant>
      <vt:variant>
        <vt:lpwstr>_Toc232079481</vt:lpwstr>
      </vt:variant>
      <vt:variant>
        <vt:i4>1376307</vt:i4>
      </vt:variant>
      <vt:variant>
        <vt:i4>17</vt:i4>
      </vt:variant>
      <vt:variant>
        <vt:i4>0</vt:i4>
      </vt:variant>
      <vt:variant>
        <vt:i4>5</vt:i4>
      </vt:variant>
      <vt:variant>
        <vt:lpwstr/>
      </vt:variant>
      <vt:variant>
        <vt:lpwstr>_Toc232079480</vt:lpwstr>
      </vt:variant>
      <vt:variant>
        <vt:i4>1703987</vt:i4>
      </vt:variant>
      <vt:variant>
        <vt:i4>11</vt:i4>
      </vt:variant>
      <vt:variant>
        <vt:i4>0</vt:i4>
      </vt:variant>
      <vt:variant>
        <vt:i4>5</vt:i4>
      </vt:variant>
      <vt:variant>
        <vt:lpwstr/>
      </vt:variant>
      <vt:variant>
        <vt:lpwstr>_Toc232079479</vt:lpwstr>
      </vt:variant>
      <vt:variant>
        <vt:i4>1703987</vt:i4>
      </vt:variant>
      <vt:variant>
        <vt:i4>5</vt:i4>
      </vt:variant>
      <vt:variant>
        <vt:i4>0</vt:i4>
      </vt:variant>
      <vt:variant>
        <vt:i4>5</vt:i4>
      </vt:variant>
      <vt:variant>
        <vt:lpwstr/>
      </vt:variant>
      <vt:variant>
        <vt:lpwstr>_Toc232079478</vt:lpwstr>
      </vt:variant>
      <vt:variant>
        <vt:i4>4980782</vt:i4>
      </vt:variant>
      <vt:variant>
        <vt:i4>0</vt:i4>
      </vt:variant>
      <vt:variant>
        <vt:i4>0</vt:i4>
      </vt:variant>
      <vt:variant>
        <vt:i4>5</vt:i4>
      </vt:variant>
      <vt:variant>
        <vt:lpwstr>mailto:consultation@cca.gov.au</vt:lpwstr>
      </vt:variant>
      <vt:variant>
        <vt:lpwstr/>
      </vt:variant>
      <vt:variant>
        <vt:i4>3145789</vt:i4>
      </vt:variant>
      <vt:variant>
        <vt:i4>0</vt:i4>
      </vt:variant>
      <vt:variant>
        <vt:i4>0</vt:i4>
      </vt:variant>
      <vt:variant>
        <vt:i4>5</vt:i4>
      </vt:variant>
      <vt:variant>
        <vt:lpwstr>https://www.dcceew.gov.au/sites/default/files/documents/government-response-cca-nger-review.pdf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Charmaine NG</dc:creator>
  <cp:keywords/>
  <dc:description/>
  <cp:lastModifiedBy>Melinda FINCH BARWELL</cp:lastModifiedBy>
  <cp:revision>2</cp:revision>
  <dcterms:created xsi:type="dcterms:W3CDTF">2026-06-11T04:45:00Z</dcterms:created>
  <dcterms:modified xsi:type="dcterms:W3CDTF">2026-06-11T04:45:00Z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0x010100FC81C495FB13BF439C8C8F3220EF5B15</vt:lpwstr>
  </property>
  <property fmtid="{D5CDD505-2E9C-101B-9397-08002B2CF9AE}" pid="3" name="ClassificationContentMarkingHeaderShapeIds">
    <vt:lpwstr>6cccfcae,30b82d2a,799b3637</vt:lpwstr>
  </property>
  <property fmtid="{D5CDD505-2E9C-101B-9397-08002B2CF9AE}" pid="4" name="ClassificationContentMarkingHeaderFontProps">
    <vt:lpwstr>#ff0000,12,Calibri</vt:lpwstr>
  </property>
  <property fmtid="{D5CDD505-2E9C-101B-9397-08002B2CF9AE}" pid="5" name="ClassificationContentMarkingHeaderText">
    <vt:lpwstr>OFFICIAL</vt:lpwstr>
  </property>
  <property fmtid="{D5CDD505-2E9C-101B-9397-08002B2CF9AE}" pid="6" name="ClassificationContentMarkingFooterShapeIds">
    <vt:lpwstr>1c2a1694,3f11aac3,3c7db218</vt:lpwstr>
  </property>
  <property fmtid="{D5CDD505-2E9C-101B-9397-08002B2CF9AE}" pid="7" name="ClassificationContentMarkingFooterFontProps">
    <vt:lpwstr>#ff0000,12,Calibri</vt:lpwstr>
  </property>
  <property fmtid="{D5CDD505-2E9C-101B-9397-08002B2CF9AE}" pid="8" name="ClassificationContentMarkingFooterText">
    <vt:lpwstr>OFFICIAL</vt:lpwstr>
  </property>
  <property fmtid="{D5CDD505-2E9C-101B-9397-08002B2CF9AE}" pid="9" name="MediaServiceImageTags">
    <vt:lpwstr/>
  </property>
  <property fmtid="{D5CDD505-2E9C-101B-9397-08002B2CF9AE}" pid="10" name="Record Classification">
    <vt:lpwstr/>
  </property>
  <property fmtid="{D5CDD505-2E9C-101B-9397-08002B2CF9AE}" pid="11" name="Record_x0020_Classification">
    <vt:lpwstr/>
  </property>
  <property fmtid="{D5CDD505-2E9C-101B-9397-08002B2CF9AE}" pid="12" name="Market Sensitive Information">
    <vt:bool>false</vt:bool>
  </property>
  <property fmtid="{D5CDD505-2E9C-101B-9397-08002B2CF9AE}" pid="13" name="DocumentSetDescription">
    <vt:lpwstr/>
  </property>
  <property fmtid="{D5CDD505-2E9C-101B-9397-08002B2CF9AE}" pid="14" name="Personal Information">
    <vt:bool>false</vt:bool>
  </property>
  <property fmtid="{D5CDD505-2E9C-101B-9397-08002B2CF9AE}" pid="15" name="_ExtendedDescription">
    <vt:lpwstr/>
  </property>
  <property fmtid="{D5CDD505-2E9C-101B-9397-08002B2CF9AE}" pid="16" name="Significant/Core record">
    <vt:bool>false</vt:bool>
  </property>
  <property fmtid="{D5CDD505-2E9C-101B-9397-08002B2CF9AE}" pid="17" name="h64465b6520a47a58f1168c7a3f047640">
    <vt:lpwstr/>
  </property>
  <property fmtid="{D5CDD505-2E9C-101B-9397-08002B2CF9AE}" pid="18" name="Indigenous Data">
    <vt:bool>false</vt:bool>
  </property>
  <property fmtid="{D5CDD505-2E9C-101B-9397-08002B2CF9AE}" pid="19" name="TaxCatchAll">
    <vt:lpwstr/>
  </property>
  <property fmtid="{D5CDD505-2E9C-101B-9397-08002B2CF9AE}" pid="20" name="h64465b6520a47a58f1168c7a3f04764">
    <vt:lpwstr/>
  </property>
</Properties>
</file>