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ink/ink1.xml" ContentType="application/inkml+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CBF1A" w14:textId="77777777" w:rsidR="00134848" w:rsidRPr="00021A9E" w:rsidRDefault="00134848" w:rsidP="00E45370">
      <w:pPr>
        <w:pStyle w:val="Refno"/>
      </w:pPr>
      <w:bookmarkStart w:id="0" w:name="_GoBack"/>
      <w:bookmarkEnd w:id="0"/>
    </w:p>
    <w:p w14:paraId="5E7C1612" w14:textId="77777777" w:rsidR="00FF69E1" w:rsidRPr="00155241" w:rsidRDefault="00FF69E1" w:rsidP="00E45370">
      <w:pPr>
        <w:pStyle w:val="Refno"/>
      </w:pPr>
      <w:bookmarkStart w:id="1" w:name="_Ref531686549"/>
      <w:bookmarkEnd w:id="1"/>
    </w:p>
    <w:p w14:paraId="59679145" w14:textId="77777777" w:rsidR="00FF69E1" w:rsidRPr="00E0204F" w:rsidRDefault="00FF69E1" w:rsidP="00FF69E1">
      <w:pPr>
        <w:rPr>
          <w:rFonts w:asciiTheme="minorHAnsi" w:hAnsiTheme="minorHAnsi" w:cstheme="minorHAnsi"/>
          <w:color w:val="auto"/>
          <w:sz w:val="21"/>
          <w:szCs w:val="21"/>
        </w:rPr>
      </w:pPr>
    </w:p>
    <w:p w14:paraId="753CF102" w14:textId="77777777" w:rsidR="00FF69E1" w:rsidRPr="00E0204F" w:rsidRDefault="00FF69E1" w:rsidP="00FF69E1">
      <w:pPr>
        <w:rPr>
          <w:rFonts w:asciiTheme="minorHAnsi" w:hAnsiTheme="minorHAnsi" w:cstheme="minorHAnsi"/>
          <w:color w:val="auto"/>
          <w:sz w:val="21"/>
          <w:szCs w:val="21"/>
        </w:rPr>
      </w:pPr>
    </w:p>
    <w:p w14:paraId="3DF6DDFA" w14:textId="77777777" w:rsidR="00FF69E1" w:rsidRPr="00E0204F" w:rsidRDefault="00FF69E1" w:rsidP="00FF69E1">
      <w:pPr>
        <w:rPr>
          <w:rFonts w:asciiTheme="minorHAnsi" w:hAnsiTheme="minorHAnsi" w:cstheme="minorHAnsi"/>
          <w:color w:val="auto"/>
          <w:sz w:val="21"/>
          <w:szCs w:val="21"/>
        </w:rPr>
      </w:pPr>
    </w:p>
    <w:p w14:paraId="42AE8A39" w14:textId="77777777" w:rsidR="00FF69E1" w:rsidRPr="00E0204F" w:rsidRDefault="00FF69E1" w:rsidP="00FF69E1">
      <w:pPr>
        <w:rPr>
          <w:rFonts w:asciiTheme="minorHAnsi" w:hAnsiTheme="minorHAnsi" w:cstheme="minorHAnsi"/>
          <w:color w:val="auto"/>
          <w:sz w:val="21"/>
          <w:szCs w:val="21"/>
        </w:rPr>
      </w:pPr>
    </w:p>
    <w:p w14:paraId="3CF994B5" w14:textId="77777777" w:rsidR="00FF69E1" w:rsidRPr="00155241" w:rsidRDefault="000C10C3" w:rsidP="000F5531">
      <w:pPr>
        <w:pStyle w:val="BodyText"/>
        <w:rPr>
          <w:rFonts w:asciiTheme="minorHAnsi" w:hAnsiTheme="minorHAnsi" w:cstheme="minorHAnsi"/>
          <w:color w:val="auto"/>
        </w:rPr>
      </w:pPr>
      <w:r w:rsidRPr="00155241">
        <w:rPr>
          <w:rFonts w:asciiTheme="minorHAnsi" w:hAnsiTheme="minorHAnsi" w:cstheme="minorHAnsi"/>
          <w:noProof/>
          <w:color w:val="auto"/>
          <w:lang w:eastAsia="en-AU"/>
        </w:rPr>
        <mc:AlternateContent>
          <mc:Choice Requires="wps">
            <w:drawing>
              <wp:anchor distT="0" distB="0" distL="114300" distR="114300" simplePos="0" relativeHeight="251658245" behindDoc="0" locked="0" layoutInCell="1" allowOverlap="1" wp14:anchorId="37F442E3" wp14:editId="1F65099C">
                <wp:simplePos x="0" y="0"/>
                <wp:positionH relativeFrom="margin">
                  <wp:posOffset>175260</wp:posOffset>
                </wp:positionH>
                <wp:positionV relativeFrom="page">
                  <wp:posOffset>1962150</wp:posOffset>
                </wp:positionV>
                <wp:extent cx="5886450" cy="2457450"/>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457450"/>
                        </a:xfrm>
                        <a:prstGeom prst="rect">
                          <a:avLst/>
                        </a:prstGeom>
                        <a:noFill/>
                        <a:ln>
                          <a:noFill/>
                        </a:ln>
                        <a:extLst/>
                      </wps:spPr>
                      <wps:txbx>
                        <w:txbxContent>
                          <w:p w14:paraId="16A93805" w14:textId="77777777" w:rsidR="00EE6F63" w:rsidRDefault="00EE6F63" w:rsidP="00BF6AE2">
                            <w:pPr>
                              <w:pStyle w:val="Title"/>
                              <w:spacing w:line="440" w:lineRule="exact"/>
                              <w:rPr>
                                <w:lang w:val="en-US"/>
                              </w:rPr>
                            </w:pPr>
                            <w:r>
                              <w:rPr>
                                <w:lang w:val="en-US"/>
                              </w:rPr>
                              <w:t>Review of the National Greenhouse and Energy Reporting legislation</w:t>
                            </w:r>
                          </w:p>
                          <w:p w14:paraId="74D6E5D0" w14:textId="4CE841E7" w:rsidR="00EE6F63" w:rsidRDefault="00EE6F63" w:rsidP="00BF6AE2">
                            <w:pPr>
                              <w:pStyle w:val="Title"/>
                              <w:spacing w:line="440" w:lineRule="exact"/>
                              <w:rPr>
                                <w:color w:val="000000" w:themeColor="text1"/>
                                <w:lang w:val="en-US"/>
                              </w:rPr>
                            </w:pPr>
                            <w:r>
                              <w:rPr>
                                <w:color w:val="000000" w:themeColor="text1"/>
                                <w:lang w:val="en-US"/>
                              </w:rPr>
                              <w:t>FINAL report</w:t>
                            </w:r>
                          </w:p>
                          <w:p w14:paraId="733B6022" w14:textId="77777777" w:rsidR="00EE6F63" w:rsidRDefault="00EE6F63" w:rsidP="00BF6AE2">
                            <w:pPr>
                              <w:pStyle w:val="Title"/>
                              <w:spacing w:line="440" w:lineRule="exact"/>
                              <w:rPr>
                                <w:color w:val="000000" w:themeColor="text1"/>
                                <w:lang w:val="en-US"/>
                              </w:rPr>
                            </w:pPr>
                          </w:p>
                          <w:p w14:paraId="47E3F70E" w14:textId="77777777" w:rsidR="00EE6F63" w:rsidRPr="006567A6" w:rsidRDefault="00EE6F63" w:rsidP="00BF6AE2">
                            <w:pPr>
                              <w:pStyle w:val="Title"/>
                              <w:spacing w:line="440" w:lineRule="exact"/>
                              <w:rPr>
                                <w:color w:val="000000" w:themeColor="text1"/>
                                <w:sz w:val="24"/>
                                <w:szCs w:val="24"/>
                                <w:lang w:val="en-US"/>
                              </w:rPr>
                            </w:pPr>
                            <w:r>
                              <w:rPr>
                                <w:color w:val="000000" w:themeColor="text1"/>
                                <w:sz w:val="24"/>
                                <w:szCs w:val="24"/>
                                <w:lang w:val="en-US"/>
                              </w:rPr>
                              <w:t>December</w:t>
                            </w:r>
                          </w:p>
                          <w:p w14:paraId="0F89B3EC" w14:textId="77777777" w:rsidR="00EE6F63" w:rsidRPr="000E5F3C" w:rsidRDefault="00EE6F63" w:rsidP="00BF6AE2">
                            <w:pPr>
                              <w:pStyle w:val="Title"/>
                              <w:spacing w:line="440" w:lineRule="exact"/>
                              <w:rPr>
                                <w:color w:val="000000" w:themeColor="text1"/>
                                <w:sz w:val="24"/>
                                <w:szCs w:val="24"/>
                              </w:rPr>
                            </w:pPr>
                            <w:r w:rsidRPr="006567A6">
                              <w:rPr>
                                <w:color w:val="000000" w:themeColor="text1"/>
                                <w:sz w:val="24"/>
                                <w:szCs w:val="24"/>
                                <w:lang w:val="en-US"/>
                              </w:rPr>
                              <w:t>201</w:t>
                            </w:r>
                            <w:r w:rsidRPr="005D3D59">
                              <w:rPr>
                                <w:color w:val="000000" w:themeColor="text1"/>
                                <w:sz w:val="24"/>
                                <w:szCs w:val="24"/>
                                <w:lang w:val="en-US"/>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F442E3" id="_x0000_t202" coordsize="21600,21600" o:spt="202" path="m,l,21600r21600,l21600,xe">
                <v:stroke joinstyle="miter"/>
                <v:path gradientshapeok="t" o:connecttype="rect"/>
              </v:shapetype>
              <v:shape id="Text Box 17" o:spid="_x0000_s1026" type="#_x0000_t202" style="position:absolute;margin-left:13.8pt;margin-top:154.5pt;width:463.5pt;height:19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" filled="f" stroked="f">
                <v:textbox>
                  <w:txbxContent>
                    <w:p w14:paraId="16A93805" w14:textId="77777777" w:rsidR="00EE6F63" w:rsidRDefault="00EE6F63" w:rsidP="00BF6AE2">
                      <w:pPr>
                        <w:pStyle w:val="Title"/>
                        <w:spacing w:line="440" w:lineRule="exact"/>
                        <w:rPr>
                          <w:lang w:val="en-US"/>
                        </w:rPr>
                      </w:pPr>
                      <w:r>
                        <w:rPr>
                          <w:lang w:val="en-US"/>
                        </w:rPr>
                        <w:t>Review of the National Greenhouse and Energy Reporting legislation</w:t>
                      </w:r>
                    </w:p>
                    <w:p w14:paraId="74D6E5D0" w14:textId="4CE841E7" w:rsidR="00EE6F63" w:rsidRDefault="00EE6F63" w:rsidP="00BF6AE2">
                      <w:pPr>
                        <w:pStyle w:val="Title"/>
                        <w:spacing w:line="440" w:lineRule="exact"/>
                        <w:rPr>
                          <w:color w:val="000000" w:themeColor="text1"/>
                          <w:lang w:val="en-US"/>
                        </w:rPr>
                      </w:pPr>
                      <w:r>
                        <w:rPr>
                          <w:color w:val="000000" w:themeColor="text1"/>
                          <w:lang w:val="en-US"/>
                        </w:rPr>
                        <w:t>FINAL report</w:t>
                      </w:r>
                    </w:p>
                    <w:p w14:paraId="733B6022" w14:textId="77777777" w:rsidR="00EE6F63" w:rsidRDefault="00EE6F63" w:rsidP="00BF6AE2">
                      <w:pPr>
                        <w:pStyle w:val="Title"/>
                        <w:spacing w:line="440" w:lineRule="exact"/>
                        <w:rPr>
                          <w:color w:val="000000" w:themeColor="text1"/>
                          <w:lang w:val="en-US"/>
                        </w:rPr>
                      </w:pPr>
                    </w:p>
                    <w:p w14:paraId="47E3F70E" w14:textId="77777777" w:rsidR="00EE6F63" w:rsidRPr="006567A6" w:rsidRDefault="00EE6F63" w:rsidP="00BF6AE2">
                      <w:pPr>
                        <w:pStyle w:val="Title"/>
                        <w:spacing w:line="440" w:lineRule="exact"/>
                        <w:rPr>
                          <w:color w:val="000000" w:themeColor="text1"/>
                          <w:sz w:val="24"/>
                          <w:szCs w:val="24"/>
                          <w:lang w:val="en-US"/>
                        </w:rPr>
                      </w:pPr>
                      <w:r>
                        <w:rPr>
                          <w:color w:val="000000" w:themeColor="text1"/>
                          <w:sz w:val="24"/>
                          <w:szCs w:val="24"/>
                          <w:lang w:val="en-US"/>
                        </w:rPr>
                        <w:t>December</w:t>
                      </w:r>
                    </w:p>
                    <w:p w14:paraId="0F89B3EC" w14:textId="77777777" w:rsidR="00EE6F63" w:rsidRPr="000E5F3C" w:rsidRDefault="00EE6F63" w:rsidP="00BF6AE2">
                      <w:pPr>
                        <w:pStyle w:val="Title"/>
                        <w:spacing w:line="440" w:lineRule="exact"/>
                        <w:rPr>
                          <w:color w:val="000000" w:themeColor="text1"/>
                          <w:sz w:val="24"/>
                          <w:szCs w:val="24"/>
                        </w:rPr>
                      </w:pPr>
                      <w:r w:rsidRPr="006567A6">
                        <w:rPr>
                          <w:color w:val="000000" w:themeColor="text1"/>
                          <w:sz w:val="24"/>
                          <w:szCs w:val="24"/>
                          <w:lang w:val="en-US"/>
                        </w:rPr>
                        <w:t>201</w:t>
                      </w:r>
                      <w:r w:rsidRPr="005D3D59">
                        <w:rPr>
                          <w:color w:val="000000" w:themeColor="text1"/>
                          <w:sz w:val="24"/>
                          <w:szCs w:val="24"/>
                          <w:lang w:val="en-US"/>
                        </w:rPr>
                        <w:t>8</w:t>
                      </w:r>
                    </w:p>
                  </w:txbxContent>
                </v:textbox>
                <w10:wrap anchorx="margin" anchory="page"/>
              </v:shape>
            </w:pict>
          </mc:Fallback>
        </mc:AlternateContent>
      </w:r>
    </w:p>
    <w:p w14:paraId="4DCAC217" w14:textId="77777777" w:rsidR="00FF69E1" w:rsidRPr="00E0204F" w:rsidRDefault="00FF69E1" w:rsidP="00FF69E1">
      <w:pPr>
        <w:rPr>
          <w:rFonts w:asciiTheme="minorHAnsi" w:hAnsiTheme="minorHAnsi" w:cstheme="minorHAnsi"/>
          <w:color w:val="auto"/>
          <w:sz w:val="21"/>
          <w:szCs w:val="21"/>
        </w:rPr>
      </w:pPr>
    </w:p>
    <w:p w14:paraId="7684BA21" w14:textId="77777777" w:rsidR="00FF69E1" w:rsidRPr="00E0204F" w:rsidRDefault="00FF69E1" w:rsidP="00FF69E1">
      <w:pPr>
        <w:rPr>
          <w:rFonts w:asciiTheme="minorHAnsi" w:hAnsiTheme="minorHAnsi" w:cstheme="minorHAnsi"/>
          <w:color w:val="auto"/>
          <w:sz w:val="21"/>
          <w:szCs w:val="21"/>
        </w:rPr>
      </w:pPr>
    </w:p>
    <w:p w14:paraId="5CE572A8" w14:textId="77777777" w:rsidR="00FF69E1" w:rsidRPr="00E0204F" w:rsidRDefault="00FF69E1" w:rsidP="00FF69E1">
      <w:pPr>
        <w:rPr>
          <w:rFonts w:asciiTheme="minorHAnsi" w:hAnsiTheme="minorHAnsi" w:cstheme="minorHAnsi"/>
          <w:color w:val="auto"/>
          <w:sz w:val="21"/>
          <w:szCs w:val="21"/>
        </w:rPr>
      </w:pPr>
    </w:p>
    <w:p w14:paraId="696C7BCF" w14:textId="77777777" w:rsidR="00FF69E1" w:rsidRPr="00E0204F" w:rsidRDefault="00FF69E1" w:rsidP="00FB2B0D">
      <w:pPr>
        <w:rPr>
          <w:rFonts w:asciiTheme="minorHAnsi" w:hAnsiTheme="minorHAnsi" w:cstheme="minorHAnsi"/>
          <w:color w:val="auto"/>
          <w:sz w:val="21"/>
          <w:szCs w:val="21"/>
        </w:rPr>
      </w:pPr>
    </w:p>
    <w:p w14:paraId="01D699CE" w14:textId="77777777" w:rsidR="00FF69E1" w:rsidRPr="00E0204F" w:rsidRDefault="00FF69E1" w:rsidP="00FF69E1">
      <w:pPr>
        <w:rPr>
          <w:rFonts w:asciiTheme="minorHAnsi" w:hAnsiTheme="minorHAnsi" w:cstheme="minorHAnsi"/>
          <w:color w:val="auto"/>
          <w:sz w:val="21"/>
          <w:szCs w:val="21"/>
        </w:rPr>
      </w:pPr>
    </w:p>
    <w:p w14:paraId="20D73301" w14:textId="77777777" w:rsidR="00FF69E1" w:rsidRPr="00E0204F" w:rsidRDefault="00FF69E1" w:rsidP="00FF69E1">
      <w:pPr>
        <w:rPr>
          <w:rFonts w:asciiTheme="minorHAnsi" w:hAnsiTheme="minorHAnsi" w:cstheme="minorHAnsi"/>
          <w:color w:val="auto"/>
          <w:sz w:val="21"/>
          <w:szCs w:val="21"/>
        </w:rPr>
      </w:pPr>
    </w:p>
    <w:p w14:paraId="7ACC658F" w14:textId="77777777" w:rsidR="00FF69E1" w:rsidRPr="00E0204F" w:rsidRDefault="00FF69E1" w:rsidP="00FF69E1">
      <w:pPr>
        <w:rPr>
          <w:rFonts w:asciiTheme="minorHAnsi" w:hAnsiTheme="minorHAnsi" w:cstheme="minorHAnsi"/>
          <w:color w:val="auto"/>
          <w:sz w:val="21"/>
          <w:szCs w:val="21"/>
        </w:rPr>
      </w:pPr>
    </w:p>
    <w:p w14:paraId="0E6118A3" w14:textId="77777777" w:rsidR="00FF69E1" w:rsidRPr="00E0204F" w:rsidRDefault="00FF69E1" w:rsidP="00FF69E1">
      <w:pPr>
        <w:rPr>
          <w:rFonts w:asciiTheme="minorHAnsi" w:hAnsiTheme="minorHAnsi" w:cstheme="minorHAnsi"/>
          <w:color w:val="auto"/>
          <w:sz w:val="21"/>
          <w:szCs w:val="21"/>
        </w:rPr>
      </w:pPr>
    </w:p>
    <w:p w14:paraId="3DFAD817" w14:textId="77777777" w:rsidR="00FF69E1" w:rsidRPr="00E0204F" w:rsidRDefault="00FF69E1" w:rsidP="00FF69E1">
      <w:pPr>
        <w:rPr>
          <w:rFonts w:asciiTheme="minorHAnsi" w:hAnsiTheme="minorHAnsi" w:cstheme="minorHAnsi"/>
          <w:color w:val="auto"/>
          <w:sz w:val="21"/>
          <w:szCs w:val="21"/>
        </w:rPr>
      </w:pPr>
    </w:p>
    <w:p w14:paraId="5B40D102" w14:textId="77777777" w:rsidR="00FF69E1" w:rsidRPr="00E0204F" w:rsidRDefault="00FF69E1" w:rsidP="00FF69E1">
      <w:pPr>
        <w:rPr>
          <w:rFonts w:asciiTheme="minorHAnsi" w:hAnsiTheme="minorHAnsi" w:cstheme="minorHAnsi"/>
          <w:color w:val="auto"/>
          <w:sz w:val="21"/>
          <w:szCs w:val="21"/>
        </w:rPr>
      </w:pPr>
    </w:p>
    <w:p w14:paraId="609F0DB8" w14:textId="77777777" w:rsidR="00FF69E1" w:rsidRPr="00E0204F" w:rsidRDefault="00FF69E1" w:rsidP="00FF69E1">
      <w:pPr>
        <w:rPr>
          <w:rFonts w:asciiTheme="minorHAnsi" w:hAnsiTheme="minorHAnsi" w:cstheme="minorHAnsi"/>
          <w:color w:val="auto"/>
          <w:sz w:val="21"/>
          <w:szCs w:val="21"/>
        </w:rPr>
      </w:pPr>
    </w:p>
    <w:p w14:paraId="50DE3D6F" w14:textId="77777777" w:rsidR="00FF69E1" w:rsidRPr="00E0204F" w:rsidRDefault="00FF69E1" w:rsidP="00FF69E1">
      <w:pPr>
        <w:rPr>
          <w:rFonts w:asciiTheme="minorHAnsi" w:hAnsiTheme="minorHAnsi" w:cstheme="minorHAnsi"/>
          <w:color w:val="auto"/>
          <w:sz w:val="21"/>
          <w:szCs w:val="21"/>
        </w:rPr>
      </w:pPr>
    </w:p>
    <w:p w14:paraId="78E7B33F" w14:textId="77777777" w:rsidR="00FF69E1" w:rsidRPr="00E0204F" w:rsidRDefault="00FF69E1" w:rsidP="00FF69E1">
      <w:pPr>
        <w:rPr>
          <w:rFonts w:asciiTheme="minorHAnsi" w:hAnsiTheme="minorHAnsi" w:cstheme="minorHAnsi"/>
          <w:color w:val="auto"/>
          <w:sz w:val="21"/>
          <w:szCs w:val="21"/>
        </w:rPr>
      </w:pPr>
    </w:p>
    <w:p w14:paraId="6BD4759D" w14:textId="77777777" w:rsidR="00FF69E1" w:rsidRPr="00E0204F" w:rsidRDefault="00FF69E1" w:rsidP="00FF69E1">
      <w:pPr>
        <w:tabs>
          <w:tab w:val="left" w:pos="2570"/>
        </w:tabs>
        <w:rPr>
          <w:rFonts w:asciiTheme="minorHAnsi" w:hAnsiTheme="minorHAnsi" w:cstheme="minorHAnsi"/>
          <w:color w:val="auto"/>
          <w:sz w:val="21"/>
          <w:szCs w:val="21"/>
        </w:rPr>
      </w:pPr>
    </w:p>
    <w:p w14:paraId="50B10072" w14:textId="77777777" w:rsidR="00FF69E1" w:rsidRPr="00E0204F" w:rsidRDefault="00FF69E1" w:rsidP="00FF69E1">
      <w:pPr>
        <w:rPr>
          <w:rFonts w:asciiTheme="minorHAnsi" w:hAnsiTheme="minorHAnsi" w:cstheme="minorHAnsi"/>
          <w:color w:val="auto"/>
          <w:sz w:val="21"/>
          <w:szCs w:val="21"/>
        </w:rPr>
      </w:pPr>
    </w:p>
    <w:p w14:paraId="316AEB5C" w14:textId="77777777" w:rsidR="00FF69E1" w:rsidRPr="00E0204F" w:rsidRDefault="00FF69E1" w:rsidP="00FF69E1">
      <w:pPr>
        <w:rPr>
          <w:rFonts w:asciiTheme="minorHAnsi" w:hAnsiTheme="minorHAnsi" w:cstheme="minorHAnsi"/>
          <w:color w:val="auto"/>
          <w:sz w:val="21"/>
          <w:szCs w:val="21"/>
        </w:rPr>
      </w:pPr>
    </w:p>
    <w:p w14:paraId="6DD3E902" w14:textId="77777777" w:rsidR="00FF69E1" w:rsidRPr="00E0204F" w:rsidRDefault="00FF69E1" w:rsidP="00FF69E1">
      <w:pPr>
        <w:tabs>
          <w:tab w:val="left" w:pos="1057"/>
        </w:tabs>
        <w:rPr>
          <w:rFonts w:asciiTheme="minorHAnsi" w:hAnsiTheme="minorHAnsi" w:cstheme="minorHAnsi"/>
          <w:color w:val="auto"/>
          <w:sz w:val="21"/>
          <w:szCs w:val="21"/>
        </w:rPr>
      </w:pPr>
    </w:p>
    <w:p w14:paraId="759EE197" w14:textId="77777777" w:rsidR="00FF69E1" w:rsidRPr="00E0204F" w:rsidRDefault="00FF69E1" w:rsidP="00FF69E1">
      <w:pPr>
        <w:rPr>
          <w:rFonts w:asciiTheme="minorHAnsi" w:hAnsiTheme="minorHAnsi" w:cstheme="minorHAnsi"/>
          <w:color w:val="auto"/>
          <w:sz w:val="21"/>
          <w:szCs w:val="21"/>
        </w:rPr>
      </w:pPr>
    </w:p>
    <w:p w14:paraId="6B416566" w14:textId="77777777" w:rsidR="00FB2B0D" w:rsidRPr="00E0204F" w:rsidRDefault="00FB2B0D" w:rsidP="00FF69E1">
      <w:pPr>
        <w:rPr>
          <w:rFonts w:asciiTheme="minorHAnsi" w:hAnsiTheme="minorHAnsi" w:cstheme="minorHAnsi"/>
          <w:color w:val="auto"/>
          <w:sz w:val="21"/>
          <w:szCs w:val="21"/>
        </w:rPr>
      </w:pPr>
    </w:p>
    <w:p w14:paraId="46DBEA86" w14:textId="77777777" w:rsidR="00FB2B0D" w:rsidRPr="00E0204F" w:rsidRDefault="00FB2B0D" w:rsidP="00FB2B0D">
      <w:pPr>
        <w:rPr>
          <w:rFonts w:asciiTheme="minorHAnsi" w:hAnsiTheme="minorHAnsi" w:cstheme="minorHAnsi"/>
          <w:color w:val="auto"/>
          <w:sz w:val="21"/>
          <w:szCs w:val="21"/>
        </w:rPr>
      </w:pPr>
    </w:p>
    <w:p w14:paraId="7DC0E2E1" w14:textId="77777777" w:rsidR="00FB2B0D" w:rsidRPr="00E0204F" w:rsidRDefault="00FB2B0D" w:rsidP="00FB2B0D">
      <w:pPr>
        <w:rPr>
          <w:rFonts w:asciiTheme="minorHAnsi" w:hAnsiTheme="minorHAnsi" w:cstheme="minorHAnsi"/>
          <w:color w:val="auto"/>
          <w:sz w:val="21"/>
          <w:szCs w:val="21"/>
        </w:rPr>
      </w:pPr>
    </w:p>
    <w:p w14:paraId="6BCCC786" w14:textId="77777777" w:rsidR="00FB2B0D" w:rsidRPr="00E0204F" w:rsidRDefault="00FB2B0D" w:rsidP="00FB2B0D">
      <w:pPr>
        <w:rPr>
          <w:rFonts w:asciiTheme="minorHAnsi" w:hAnsiTheme="minorHAnsi" w:cstheme="minorHAnsi"/>
          <w:color w:val="auto"/>
          <w:sz w:val="21"/>
          <w:szCs w:val="21"/>
        </w:rPr>
      </w:pPr>
    </w:p>
    <w:p w14:paraId="2A0F4E33" w14:textId="77777777" w:rsidR="00FB2B0D" w:rsidRPr="00E0204F" w:rsidRDefault="00FB2B0D" w:rsidP="00FB2B0D">
      <w:pPr>
        <w:rPr>
          <w:rFonts w:asciiTheme="minorHAnsi" w:hAnsiTheme="minorHAnsi" w:cstheme="minorHAnsi"/>
          <w:color w:val="auto"/>
          <w:sz w:val="21"/>
          <w:szCs w:val="21"/>
        </w:rPr>
      </w:pPr>
    </w:p>
    <w:p w14:paraId="2837D15F" w14:textId="77777777" w:rsidR="00FB2B0D" w:rsidRPr="00E0204F" w:rsidRDefault="00FB2B0D" w:rsidP="00FB2B0D">
      <w:pPr>
        <w:rPr>
          <w:rFonts w:asciiTheme="minorHAnsi" w:hAnsiTheme="minorHAnsi" w:cstheme="minorHAnsi"/>
          <w:color w:val="auto"/>
          <w:sz w:val="21"/>
          <w:szCs w:val="21"/>
        </w:rPr>
      </w:pPr>
    </w:p>
    <w:p w14:paraId="0067F0FF" w14:textId="77777777" w:rsidR="00FB2B0D" w:rsidRPr="00E0204F" w:rsidRDefault="00FB2B0D" w:rsidP="00FB2B0D">
      <w:pPr>
        <w:rPr>
          <w:rFonts w:asciiTheme="minorHAnsi" w:hAnsiTheme="minorHAnsi" w:cstheme="minorHAnsi"/>
          <w:color w:val="auto"/>
          <w:sz w:val="21"/>
          <w:szCs w:val="21"/>
        </w:rPr>
      </w:pPr>
    </w:p>
    <w:p w14:paraId="2E95250E" w14:textId="77777777" w:rsidR="00FB2B0D" w:rsidRPr="00E0204F" w:rsidRDefault="00FB2B0D" w:rsidP="00FB2B0D">
      <w:pPr>
        <w:rPr>
          <w:rFonts w:asciiTheme="minorHAnsi" w:hAnsiTheme="minorHAnsi" w:cstheme="minorHAnsi"/>
          <w:color w:val="auto"/>
          <w:sz w:val="21"/>
          <w:szCs w:val="21"/>
        </w:rPr>
      </w:pPr>
    </w:p>
    <w:p w14:paraId="2ABB4954" w14:textId="77777777" w:rsidR="00FB2B0D" w:rsidRPr="00E0204F" w:rsidRDefault="00FB2B0D" w:rsidP="00FB2B0D">
      <w:pPr>
        <w:rPr>
          <w:rFonts w:asciiTheme="minorHAnsi" w:hAnsiTheme="minorHAnsi" w:cstheme="minorHAnsi"/>
          <w:color w:val="auto"/>
          <w:sz w:val="21"/>
          <w:szCs w:val="21"/>
        </w:rPr>
      </w:pPr>
    </w:p>
    <w:p w14:paraId="6DF8E910" w14:textId="77777777" w:rsidR="00FB2B0D" w:rsidRPr="00E0204F" w:rsidRDefault="00FB2B0D" w:rsidP="00FB2B0D">
      <w:pPr>
        <w:tabs>
          <w:tab w:val="left" w:pos="8730"/>
        </w:tabs>
        <w:rPr>
          <w:rFonts w:asciiTheme="minorHAnsi" w:hAnsiTheme="minorHAnsi" w:cstheme="minorHAnsi"/>
          <w:color w:val="auto"/>
          <w:sz w:val="21"/>
          <w:szCs w:val="21"/>
        </w:rPr>
      </w:pPr>
      <w:r w:rsidRPr="00E0204F">
        <w:rPr>
          <w:rFonts w:asciiTheme="minorHAnsi" w:hAnsiTheme="minorHAnsi" w:cstheme="minorHAnsi"/>
          <w:color w:val="auto"/>
          <w:sz w:val="21"/>
          <w:szCs w:val="21"/>
        </w:rPr>
        <w:tab/>
      </w:r>
    </w:p>
    <w:p w14:paraId="01120AF2" w14:textId="77777777" w:rsidR="00057F62" w:rsidRPr="00E0204F" w:rsidRDefault="00FB2B0D" w:rsidP="00FB2B0D">
      <w:pPr>
        <w:tabs>
          <w:tab w:val="left" w:pos="8730"/>
        </w:tabs>
        <w:rPr>
          <w:rFonts w:asciiTheme="minorHAnsi" w:hAnsiTheme="minorHAnsi" w:cstheme="minorHAnsi"/>
          <w:color w:val="auto"/>
          <w:sz w:val="21"/>
          <w:szCs w:val="21"/>
        </w:rPr>
        <w:sectPr w:rsidR="00057F62" w:rsidRPr="00E0204F" w:rsidSect="00041493">
          <w:headerReference w:type="default" r:id="rId13"/>
          <w:headerReference w:type="first" r:id="rId14"/>
          <w:pgSz w:w="11907" w:h="16840" w:code="9"/>
          <w:pgMar w:top="1418" w:right="1077" w:bottom="851" w:left="1077" w:header="851" w:footer="720" w:gutter="0"/>
          <w:cols w:space="720"/>
          <w:docGrid w:linePitch="360"/>
        </w:sectPr>
      </w:pPr>
      <w:r w:rsidRPr="00E0204F">
        <w:rPr>
          <w:rFonts w:asciiTheme="minorHAnsi" w:hAnsiTheme="minorHAnsi" w:cstheme="minorHAnsi"/>
          <w:color w:val="auto"/>
          <w:sz w:val="21"/>
          <w:szCs w:val="21"/>
        </w:rPr>
        <w:tab/>
      </w:r>
    </w:p>
    <w:p w14:paraId="2C3A8A68" w14:textId="77777777" w:rsidR="00D40946" w:rsidRDefault="00D40946" w:rsidP="00D37FB6">
      <w:pPr>
        <w:pStyle w:val="BodyText"/>
        <w:rPr>
          <w:rFonts w:asciiTheme="minorHAnsi" w:hAnsiTheme="minorHAnsi" w:cstheme="minorHAnsi"/>
          <w:color w:val="auto"/>
        </w:rPr>
      </w:pPr>
    </w:p>
    <w:p w14:paraId="5CDC7CDD" w14:textId="77777777" w:rsidR="00D40946" w:rsidRDefault="00D40946" w:rsidP="00D37FB6">
      <w:pPr>
        <w:pStyle w:val="BodyText"/>
        <w:rPr>
          <w:rFonts w:asciiTheme="minorHAnsi" w:hAnsiTheme="minorHAnsi" w:cstheme="minorHAnsi"/>
          <w:color w:val="auto"/>
        </w:rPr>
      </w:pPr>
    </w:p>
    <w:p w14:paraId="11AF21C3" w14:textId="77777777" w:rsidR="00D40946" w:rsidRDefault="00D40946" w:rsidP="00D37FB6">
      <w:pPr>
        <w:pStyle w:val="BodyText"/>
        <w:rPr>
          <w:rFonts w:asciiTheme="minorHAnsi" w:hAnsiTheme="minorHAnsi" w:cstheme="minorHAnsi"/>
          <w:color w:val="auto"/>
        </w:rPr>
      </w:pPr>
    </w:p>
    <w:p w14:paraId="06AEEE31" w14:textId="77777777" w:rsidR="00D40946" w:rsidRDefault="00D40946" w:rsidP="00D37FB6">
      <w:pPr>
        <w:pStyle w:val="BodyText"/>
        <w:rPr>
          <w:rFonts w:asciiTheme="minorHAnsi" w:hAnsiTheme="minorHAnsi" w:cstheme="minorHAnsi"/>
          <w:color w:val="auto"/>
        </w:rPr>
      </w:pPr>
    </w:p>
    <w:p w14:paraId="7FF471B0" w14:textId="77777777" w:rsidR="00D40946" w:rsidRDefault="00D40946" w:rsidP="00D37FB6">
      <w:pPr>
        <w:pStyle w:val="BodyText"/>
        <w:rPr>
          <w:rFonts w:asciiTheme="minorHAnsi" w:hAnsiTheme="minorHAnsi" w:cstheme="minorHAnsi"/>
          <w:color w:val="auto"/>
        </w:rPr>
      </w:pPr>
    </w:p>
    <w:p w14:paraId="5FBA6D5D" w14:textId="77777777" w:rsidR="00D40946" w:rsidRDefault="00D40946" w:rsidP="00D37FB6">
      <w:pPr>
        <w:pStyle w:val="BodyText"/>
        <w:rPr>
          <w:rFonts w:asciiTheme="minorHAnsi" w:hAnsiTheme="minorHAnsi" w:cstheme="minorHAnsi"/>
          <w:color w:val="auto"/>
        </w:rPr>
      </w:pPr>
    </w:p>
    <w:p w14:paraId="0E026F84" w14:textId="77777777" w:rsidR="00D40946" w:rsidRDefault="00D40946" w:rsidP="00D37FB6">
      <w:pPr>
        <w:pStyle w:val="BodyText"/>
        <w:rPr>
          <w:rFonts w:asciiTheme="minorHAnsi" w:hAnsiTheme="minorHAnsi" w:cstheme="minorHAnsi"/>
          <w:color w:val="auto"/>
        </w:rPr>
      </w:pPr>
    </w:p>
    <w:p w14:paraId="0E7CCF8E" w14:textId="77777777" w:rsidR="00D40946" w:rsidRDefault="00D40946" w:rsidP="00D37FB6">
      <w:pPr>
        <w:pStyle w:val="BodyText"/>
        <w:rPr>
          <w:rFonts w:asciiTheme="minorHAnsi" w:hAnsiTheme="minorHAnsi" w:cstheme="minorHAnsi"/>
          <w:color w:val="auto"/>
        </w:rPr>
      </w:pPr>
    </w:p>
    <w:p w14:paraId="653341B1" w14:textId="77777777" w:rsidR="00D40946" w:rsidRDefault="00D40946" w:rsidP="00D37FB6">
      <w:pPr>
        <w:pStyle w:val="BodyText"/>
        <w:rPr>
          <w:rFonts w:asciiTheme="minorHAnsi" w:hAnsiTheme="minorHAnsi" w:cstheme="minorHAnsi"/>
          <w:color w:val="auto"/>
        </w:rPr>
      </w:pPr>
    </w:p>
    <w:p w14:paraId="7A6C0B99" w14:textId="77777777" w:rsidR="00D40946" w:rsidRDefault="00D40946" w:rsidP="00D37FB6">
      <w:pPr>
        <w:pStyle w:val="BodyText"/>
        <w:rPr>
          <w:rFonts w:asciiTheme="minorHAnsi" w:hAnsiTheme="minorHAnsi" w:cstheme="minorHAnsi"/>
          <w:color w:val="auto"/>
        </w:rPr>
      </w:pPr>
    </w:p>
    <w:p w14:paraId="1E05E6CB" w14:textId="77777777" w:rsidR="00D40946" w:rsidRDefault="00D40946" w:rsidP="00D37FB6">
      <w:pPr>
        <w:pStyle w:val="BodyText"/>
        <w:rPr>
          <w:rFonts w:asciiTheme="minorHAnsi" w:hAnsiTheme="minorHAnsi" w:cstheme="minorHAnsi"/>
          <w:color w:val="auto"/>
        </w:rPr>
      </w:pPr>
    </w:p>
    <w:p w14:paraId="6373B71C" w14:textId="77777777" w:rsidR="00D40946" w:rsidRDefault="00D40946" w:rsidP="00D37FB6">
      <w:pPr>
        <w:pStyle w:val="BodyText"/>
        <w:rPr>
          <w:rFonts w:asciiTheme="minorHAnsi" w:hAnsiTheme="minorHAnsi" w:cstheme="minorHAnsi"/>
          <w:color w:val="auto"/>
        </w:rPr>
      </w:pPr>
    </w:p>
    <w:p w14:paraId="6944A44E" w14:textId="77777777" w:rsidR="00D40946" w:rsidRDefault="00D40946" w:rsidP="00D37FB6">
      <w:pPr>
        <w:pStyle w:val="BodyText"/>
        <w:rPr>
          <w:rFonts w:asciiTheme="minorHAnsi" w:hAnsiTheme="minorHAnsi" w:cstheme="minorHAnsi"/>
          <w:color w:val="auto"/>
        </w:rPr>
      </w:pPr>
    </w:p>
    <w:p w14:paraId="09603D33" w14:textId="77777777" w:rsidR="00D40946" w:rsidRDefault="00D40946" w:rsidP="00D37FB6">
      <w:pPr>
        <w:pStyle w:val="BodyText"/>
        <w:rPr>
          <w:rFonts w:asciiTheme="minorHAnsi" w:hAnsiTheme="minorHAnsi" w:cstheme="minorHAnsi"/>
          <w:color w:val="auto"/>
        </w:rPr>
      </w:pPr>
    </w:p>
    <w:p w14:paraId="4C18807A" w14:textId="77777777" w:rsidR="00D40946" w:rsidRDefault="00D40946" w:rsidP="00D37FB6">
      <w:pPr>
        <w:pStyle w:val="BodyText"/>
        <w:rPr>
          <w:rFonts w:asciiTheme="minorHAnsi" w:hAnsiTheme="minorHAnsi" w:cstheme="minorHAnsi"/>
          <w:color w:val="auto"/>
        </w:rPr>
      </w:pPr>
    </w:p>
    <w:p w14:paraId="6305B5F0" w14:textId="77777777" w:rsidR="00D40946" w:rsidRDefault="00D40946" w:rsidP="00D37FB6">
      <w:pPr>
        <w:pStyle w:val="BodyText"/>
        <w:rPr>
          <w:rFonts w:asciiTheme="minorHAnsi" w:hAnsiTheme="minorHAnsi" w:cstheme="minorHAnsi"/>
          <w:color w:val="auto"/>
        </w:rPr>
      </w:pPr>
    </w:p>
    <w:p w14:paraId="6D21AE6C" w14:textId="77777777" w:rsidR="00E44A68" w:rsidRPr="00CD347A" w:rsidRDefault="00E44A68" w:rsidP="00D37FB6">
      <w:pPr>
        <w:pStyle w:val="BodyText"/>
        <w:rPr>
          <w:rFonts w:asciiTheme="minorHAnsi" w:hAnsiTheme="minorHAnsi" w:cstheme="minorHAnsi"/>
          <w:color w:val="auto"/>
          <w:sz w:val="21"/>
        </w:rPr>
      </w:pPr>
      <w:r w:rsidRPr="00CD347A">
        <w:rPr>
          <w:rFonts w:asciiTheme="minorHAnsi" w:hAnsiTheme="minorHAnsi" w:cstheme="minorHAnsi"/>
          <w:color w:val="auto"/>
          <w:sz w:val="21"/>
        </w:rPr>
        <w:t xml:space="preserve">Published </w:t>
      </w:r>
      <w:r w:rsidR="00F31E01" w:rsidRPr="00CD347A">
        <w:rPr>
          <w:rFonts w:asciiTheme="minorHAnsi" w:hAnsiTheme="minorHAnsi" w:cstheme="minorHAnsi"/>
          <w:color w:val="auto"/>
          <w:sz w:val="21"/>
        </w:rPr>
        <w:t>by the Climate Change Authority</w:t>
      </w:r>
      <w:r w:rsidR="009261A7">
        <w:rPr>
          <w:rFonts w:asciiTheme="minorHAnsi" w:hAnsiTheme="minorHAnsi" w:cstheme="minorHAnsi"/>
          <w:color w:val="auto"/>
          <w:sz w:val="21"/>
        </w:rPr>
        <w:t>.</w:t>
      </w:r>
    </w:p>
    <w:p w14:paraId="402D5733" w14:textId="77777777" w:rsidR="00E44A68" w:rsidRPr="00CD347A" w:rsidRDefault="00F01840" w:rsidP="00D37FB6">
      <w:pPr>
        <w:pStyle w:val="BodyText"/>
        <w:rPr>
          <w:rFonts w:asciiTheme="minorHAnsi" w:hAnsiTheme="minorHAnsi" w:cstheme="minorHAnsi"/>
          <w:color w:val="auto"/>
          <w:sz w:val="21"/>
        </w:rPr>
      </w:pPr>
      <w:r w:rsidRPr="00CD347A">
        <w:rPr>
          <w:rFonts w:asciiTheme="minorHAnsi" w:hAnsiTheme="minorHAnsi" w:cstheme="minorHAnsi"/>
          <w:color w:val="auto"/>
          <w:sz w:val="21"/>
        </w:rPr>
        <w:t>www.climatechangeauthority.gov.au</w:t>
      </w:r>
    </w:p>
    <w:p w14:paraId="26772402" w14:textId="77777777" w:rsidR="00E44A68" w:rsidRPr="00CD347A" w:rsidRDefault="00E44A68" w:rsidP="00D37FB6">
      <w:pPr>
        <w:pStyle w:val="BodyText"/>
        <w:rPr>
          <w:rFonts w:asciiTheme="minorHAnsi" w:hAnsiTheme="minorHAnsi" w:cstheme="minorHAnsi"/>
          <w:color w:val="auto"/>
          <w:sz w:val="21"/>
        </w:rPr>
      </w:pPr>
      <w:r w:rsidRPr="00CD347A">
        <w:rPr>
          <w:rFonts w:asciiTheme="minorHAnsi" w:hAnsiTheme="minorHAnsi" w:cstheme="minorHAnsi"/>
          <w:color w:val="auto"/>
          <w:sz w:val="21"/>
        </w:rPr>
        <w:t xml:space="preserve">© Commonwealth of </w:t>
      </w:r>
      <w:r w:rsidR="00043457" w:rsidRPr="00CD347A">
        <w:rPr>
          <w:rFonts w:asciiTheme="minorHAnsi" w:hAnsiTheme="minorHAnsi" w:cstheme="minorHAnsi"/>
          <w:color w:val="auto"/>
          <w:sz w:val="21"/>
        </w:rPr>
        <w:t>Australia</w:t>
      </w:r>
      <w:r w:rsidRPr="00CD347A">
        <w:rPr>
          <w:rFonts w:asciiTheme="minorHAnsi" w:hAnsiTheme="minorHAnsi" w:cstheme="minorHAnsi"/>
          <w:color w:val="auto"/>
          <w:sz w:val="21"/>
        </w:rPr>
        <w:t xml:space="preserve"> </w:t>
      </w:r>
      <w:r w:rsidR="002E3FD4" w:rsidRPr="00CD347A">
        <w:rPr>
          <w:rFonts w:asciiTheme="minorHAnsi" w:hAnsiTheme="minorHAnsi" w:cstheme="minorHAnsi"/>
          <w:noProof/>
          <w:color w:val="auto"/>
          <w:sz w:val="21"/>
        </w:rPr>
        <w:t>201</w:t>
      </w:r>
      <w:r w:rsidR="00796E5D" w:rsidRPr="00CD347A">
        <w:rPr>
          <w:rFonts w:asciiTheme="minorHAnsi" w:hAnsiTheme="minorHAnsi" w:cstheme="minorHAnsi"/>
          <w:color w:val="auto"/>
          <w:sz w:val="21"/>
        </w:rPr>
        <w:t>8</w:t>
      </w:r>
    </w:p>
    <w:p w14:paraId="43AD2A75" w14:textId="77777777" w:rsidR="007351AB" w:rsidRPr="00CD347A" w:rsidRDefault="00E44A68" w:rsidP="00D37FB6">
      <w:pPr>
        <w:pStyle w:val="BodyText"/>
        <w:rPr>
          <w:rFonts w:asciiTheme="minorHAnsi" w:hAnsiTheme="minorHAnsi" w:cstheme="minorHAnsi"/>
          <w:color w:val="auto"/>
          <w:sz w:val="21"/>
        </w:rPr>
      </w:pPr>
      <w:r w:rsidRPr="00CD347A">
        <w:rPr>
          <w:rFonts w:asciiTheme="minorHAnsi" w:hAnsiTheme="minorHAnsi" w:cstheme="minorHAnsi"/>
          <w:color w:val="auto"/>
          <w:sz w:val="21"/>
        </w:rPr>
        <w:t xml:space="preserve">This work is licensed under the Creative Commons Attribution 3.0 </w:t>
      </w:r>
      <w:r w:rsidR="00043457" w:rsidRPr="00CD347A">
        <w:rPr>
          <w:rFonts w:asciiTheme="minorHAnsi" w:hAnsiTheme="minorHAnsi" w:cstheme="minorHAnsi"/>
          <w:color w:val="auto"/>
          <w:sz w:val="21"/>
        </w:rPr>
        <w:t>Australia</w:t>
      </w:r>
      <w:r w:rsidRPr="00CD347A">
        <w:rPr>
          <w:rFonts w:asciiTheme="minorHAnsi" w:hAnsiTheme="minorHAnsi" w:cstheme="minorHAnsi"/>
          <w:color w:val="auto"/>
          <w:sz w:val="21"/>
        </w:rPr>
        <w:t xml:space="preserve"> Licence. To view a copy of this license, visit </w:t>
      </w:r>
      <w:r w:rsidR="007351AB" w:rsidRPr="00CD347A">
        <w:rPr>
          <w:rFonts w:asciiTheme="minorHAnsi" w:hAnsiTheme="minorHAnsi" w:cstheme="minorHAnsi"/>
          <w:color w:val="auto"/>
          <w:sz w:val="21"/>
        </w:rPr>
        <w:t>http://creativecommons.org/licenses/by/3.0/au</w:t>
      </w:r>
    </w:p>
    <w:p w14:paraId="65429A27" w14:textId="77777777" w:rsidR="006C27EF" w:rsidRPr="00CD347A" w:rsidRDefault="006C27EF" w:rsidP="006C27EF">
      <w:pPr>
        <w:pStyle w:val="BodyText"/>
        <w:rPr>
          <w:rFonts w:asciiTheme="minorHAnsi" w:hAnsiTheme="minorHAnsi" w:cstheme="minorHAnsi"/>
          <w:color w:val="auto"/>
          <w:sz w:val="21"/>
        </w:rPr>
      </w:pPr>
      <w:r w:rsidRPr="00CD347A">
        <w:rPr>
          <w:rFonts w:asciiTheme="minorHAnsi" w:hAnsiTheme="minorHAnsi" w:cstheme="minorHAnsi"/>
          <w:color w:val="auto"/>
          <w:sz w:val="21"/>
        </w:rPr>
        <w:t>The Climate Change Authority asserts the right to be recognised as author of the original material in the following manner:</w:t>
      </w:r>
    </w:p>
    <w:p w14:paraId="4720A73B" w14:textId="77777777" w:rsidR="006C27EF" w:rsidRPr="00CD347A" w:rsidRDefault="006C27EF" w:rsidP="00E5191B">
      <w:pPr>
        <w:pStyle w:val="CCAtable0"/>
        <w:rPr>
          <w:rFonts w:asciiTheme="minorHAnsi" w:hAnsiTheme="minorHAnsi" w:cstheme="minorHAnsi"/>
          <w:sz w:val="18"/>
        </w:rPr>
      </w:pPr>
      <w:r w:rsidRPr="00CD347A">
        <w:rPr>
          <w:rFonts w:asciiTheme="minorHAnsi" w:hAnsiTheme="minorHAnsi" w:cstheme="minorHAnsi"/>
          <w:noProof/>
          <w:sz w:val="18"/>
          <w:lang w:eastAsia="en-AU"/>
        </w:rPr>
        <w:drawing>
          <wp:inline distT="0" distB="0" distL="0" distR="0" wp14:anchorId="6F0E371B" wp14:editId="022E7A7F">
            <wp:extent cx="931653" cy="32596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inline>
        </w:drawing>
      </w:r>
      <w:r w:rsidRPr="00CD347A">
        <w:rPr>
          <w:rFonts w:asciiTheme="minorHAnsi" w:hAnsiTheme="minorHAnsi" w:cstheme="minorHAnsi"/>
          <w:sz w:val="18"/>
        </w:rPr>
        <w:t xml:space="preserve"> </w:t>
      </w:r>
      <w:r w:rsidRPr="00CD347A">
        <w:rPr>
          <w:rFonts w:asciiTheme="minorHAnsi" w:hAnsiTheme="minorHAnsi" w:cstheme="minorHAnsi"/>
          <w:noProof/>
          <w:sz w:val="18"/>
          <w:lang w:eastAsia="en-AU"/>
        </w:rPr>
        <w:drawing>
          <wp:inline distT="0" distB="0" distL="0" distR="0" wp14:anchorId="2CF3E781" wp14:editId="4C1DFEED">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14:paraId="4ABC4CD6" w14:textId="77777777" w:rsidR="006C27EF" w:rsidRPr="00CD347A" w:rsidRDefault="006C27EF" w:rsidP="006C27EF">
      <w:pPr>
        <w:pStyle w:val="BodyText"/>
        <w:rPr>
          <w:rFonts w:asciiTheme="minorHAnsi" w:hAnsiTheme="minorHAnsi" w:cstheme="minorHAnsi"/>
          <w:color w:val="auto"/>
          <w:sz w:val="21"/>
        </w:rPr>
      </w:pPr>
      <w:r w:rsidRPr="00CD347A">
        <w:rPr>
          <w:rFonts w:asciiTheme="minorHAnsi" w:hAnsiTheme="minorHAnsi" w:cstheme="minorHAnsi"/>
          <w:color w:val="auto"/>
          <w:sz w:val="21"/>
        </w:rPr>
        <w:t xml:space="preserve">© Commonwealth of </w:t>
      </w:r>
      <w:r w:rsidR="00043457" w:rsidRPr="00CD347A">
        <w:rPr>
          <w:rFonts w:asciiTheme="minorHAnsi" w:hAnsiTheme="minorHAnsi" w:cstheme="minorHAnsi"/>
          <w:color w:val="auto"/>
          <w:sz w:val="21"/>
        </w:rPr>
        <w:t>Australia</w:t>
      </w:r>
      <w:r w:rsidRPr="00CD347A">
        <w:rPr>
          <w:rFonts w:asciiTheme="minorHAnsi" w:hAnsiTheme="minorHAnsi" w:cstheme="minorHAnsi"/>
          <w:color w:val="auto"/>
          <w:sz w:val="21"/>
        </w:rPr>
        <w:t xml:space="preserve"> (Climate Change Authority) </w:t>
      </w:r>
      <w:r w:rsidR="002E3FD4" w:rsidRPr="00CD347A">
        <w:rPr>
          <w:rFonts w:asciiTheme="minorHAnsi" w:hAnsiTheme="minorHAnsi" w:cstheme="minorHAnsi"/>
          <w:noProof/>
          <w:color w:val="auto"/>
          <w:sz w:val="21"/>
        </w:rPr>
        <w:t>201</w:t>
      </w:r>
      <w:r w:rsidR="00796E5D" w:rsidRPr="00CD347A">
        <w:rPr>
          <w:rFonts w:asciiTheme="minorHAnsi" w:hAnsiTheme="minorHAnsi" w:cstheme="minorHAnsi"/>
          <w:color w:val="auto"/>
          <w:sz w:val="21"/>
        </w:rPr>
        <w:t>8</w:t>
      </w:r>
      <w:r w:rsidRPr="00CD347A">
        <w:rPr>
          <w:rFonts w:asciiTheme="minorHAnsi" w:hAnsiTheme="minorHAnsi" w:cstheme="minorHAnsi"/>
          <w:color w:val="auto"/>
          <w:sz w:val="21"/>
        </w:rPr>
        <w:t>.</w:t>
      </w:r>
    </w:p>
    <w:p w14:paraId="34DC95BE" w14:textId="77777777" w:rsidR="007351AB" w:rsidRPr="00CD347A" w:rsidRDefault="00E44A68" w:rsidP="00D37FB6">
      <w:pPr>
        <w:pStyle w:val="BodyText"/>
        <w:rPr>
          <w:rFonts w:asciiTheme="minorHAnsi" w:hAnsiTheme="minorHAnsi" w:cstheme="minorHAnsi"/>
          <w:color w:val="auto"/>
          <w:sz w:val="21"/>
        </w:rPr>
      </w:pPr>
      <w:r w:rsidRPr="00CD347A">
        <w:rPr>
          <w:rFonts w:asciiTheme="minorHAnsi" w:hAnsiTheme="minorHAnsi" w:cstheme="minorHAnsi"/>
          <w:color w:val="auto"/>
          <w:sz w:val="21"/>
        </w:rPr>
        <w:t>IMPORTANT NOTICE – PLEASE READ</w:t>
      </w:r>
    </w:p>
    <w:p w14:paraId="0D69785D" w14:textId="77777777" w:rsidR="00041493" w:rsidRPr="00CD347A" w:rsidRDefault="00E44A68" w:rsidP="00D37FB6">
      <w:pPr>
        <w:pStyle w:val="BodyText"/>
        <w:rPr>
          <w:rFonts w:asciiTheme="minorHAnsi" w:hAnsiTheme="minorHAnsi" w:cstheme="minorHAnsi"/>
          <w:color w:val="auto"/>
          <w:sz w:val="21"/>
        </w:rPr>
      </w:pPr>
      <w:r w:rsidRPr="00CD347A">
        <w:rPr>
          <w:rFonts w:asciiTheme="minorHAnsi" w:hAnsiTheme="minorHAnsi" w:cstheme="minorHAnsi"/>
          <w:color w:val="auto"/>
          <w:sz w:val="21"/>
        </w:rPr>
        <w:lastRenderedPageBreak/>
        <w:t xml:space="preserve">This document is produced for general information only and does not represent a statement of the policy of the Commonwealth of </w:t>
      </w:r>
      <w:r w:rsidR="00043457" w:rsidRPr="00CD347A">
        <w:rPr>
          <w:rFonts w:asciiTheme="minorHAnsi" w:hAnsiTheme="minorHAnsi" w:cstheme="minorHAnsi"/>
          <w:color w:val="auto"/>
          <w:sz w:val="21"/>
        </w:rPr>
        <w:t>Australia</w:t>
      </w:r>
      <w:r w:rsidRPr="00CD347A">
        <w:rPr>
          <w:rFonts w:asciiTheme="minorHAnsi" w:hAnsiTheme="minorHAnsi" w:cstheme="minorHAnsi"/>
          <w:color w:val="auto"/>
          <w:sz w:val="21"/>
        </w:rPr>
        <w:t xml:space="preserve">. The Commonwealth of </w:t>
      </w:r>
      <w:r w:rsidR="00043457" w:rsidRPr="00CD347A">
        <w:rPr>
          <w:rFonts w:asciiTheme="minorHAnsi" w:hAnsiTheme="minorHAnsi" w:cstheme="minorHAnsi"/>
          <w:color w:val="auto"/>
          <w:sz w:val="21"/>
        </w:rPr>
        <w:t>Australia</w:t>
      </w:r>
      <w:r w:rsidRPr="00CD347A">
        <w:rPr>
          <w:rFonts w:asciiTheme="minorHAnsi" w:hAnsiTheme="minorHAnsi" w:cstheme="minorHAnsi"/>
          <w:color w:val="auto"/>
          <w:sz w:val="21"/>
        </w:rPr>
        <w:t xml:space="preserve">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223B2F33" w14:textId="77777777" w:rsidR="00041493" w:rsidRPr="00E0204F" w:rsidRDefault="00041493" w:rsidP="00041493">
      <w:pPr>
        <w:rPr>
          <w:rFonts w:asciiTheme="minorHAnsi" w:hAnsiTheme="minorHAnsi" w:cstheme="minorHAnsi"/>
          <w:sz w:val="21"/>
          <w:szCs w:val="21"/>
        </w:rPr>
      </w:pPr>
    </w:p>
    <w:p w14:paraId="538E7FD5" w14:textId="77777777" w:rsidR="005B4F97" w:rsidRDefault="005B4F97" w:rsidP="008448F1">
      <w:pPr>
        <w:pStyle w:val="CCABodytext"/>
        <w:rPr>
          <w:rFonts w:asciiTheme="minorHAnsi" w:hAnsiTheme="minorHAnsi" w:cstheme="minorHAnsi"/>
        </w:rPr>
      </w:pPr>
      <w:bookmarkStart w:id="2" w:name="_Toc485823767"/>
      <w:bookmarkStart w:id="3" w:name="_Toc486926506"/>
      <w:bookmarkStart w:id="4" w:name="_Toc486926634"/>
    </w:p>
    <w:p w14:paraId="1CCAF316" w14:textId="77777777" w:rsidR="005B4F97" w:rsidRDefault="005B4F97" w:rsidP="008448F1">
      <w:pPr>
        <w:pStyle w:val="CCABodytext"/>
        <w:rPr>
          <w:rFonts w:asciiTheme="minorHAnsi" w:hAnsiTheme="minorHAnsi" w:cstheme="minorHAnsi"/>
        </w:rPr>
      </w:pPr>
    </w:p>
    <w:p w14:paraId="30DC4B44" w14:textId="77777777" w:rsidR="005B4F97" w:rsidRPr="00155241" w:rsidRDefault="005B4F97" w:rsidP="008448F1">
      <w:pPr>
        <w:pStyle w:val="CCABodytext"/>
        <w:rPr>
          <w:rFonts w:asciiTheme="minorHAnsi" w:hAnsiTheme="minorHAnsi" w:cstheme="minorHAnsi"/>
        </w:rPr>
        <w:sectPr w:rsidR="005B4F97" w:rsidRPr="00155241" w:rsidSect="0045707C">
          <w:headerReference w:type="even" r:id="rId17"/>
          <w:headerReference w:type="default" r:id="rId18"/>
          <w:footerReference w:type="default" r:id="rId19"/>
          <w:headerReference w:type="first" r:id="rId20"/>
          <w:pgSz w:w="11907" w:h="16840" w:code="9"/>
          <w:pgMar w:top="1418" w:right="1077" w:bottom="851" w:left="1077" w:header="851" w:footer="720" w:gutter="0"/>
          <w:pgNumType w:fmt="lowerRoman" w:start="2"/>
          <w:cols w:space="720"/>
          <w:docGrid w:linePitch="360"/>
        </w:sectPr>
      </w:pPr>
    </w:p>
    <w:p w14:paraId="0E4032FE" w14:textId="41AE84B9" w:rsidR="00513CCF" w:rsidRDefault="00513CCF" w:rsidP="00FD6D99">
      <w:pPr>
        <w:pStyle w:val="CCAcontentsheading"/>
        <w:rPr>
          <w:rFonts w:asciiTheme="minorHAnsi" w:hAnsiTheme="minorHAnsi" w:cstheme="minorHAnsi"/>
          <w:color w:val="309CC8" w:themeColor="text2"/>
        </w:rPr>
      </w:pPr>
      <w:bookmarkStart w:id="5" w:name="_Toc501546035"/>
      <w:bookmarkStart w:id="6" w:name="_Toc532912079"/>
      <w:r w:rsidRPr="00155241">
        <w:lastRenderedPageBreak/>
        <w:t>Contents</w:t>
      </w:r>
      <w:bookmarkEnd w:id="2"/>
      <w:bookmarkEnd w:id="3"/>
      <w:bookmarkEnd w:id="4"/>
      <w:bookmarkEnd w:id="5"/>
      <w:bookmarkEnd w:id="6"/>
    </w:p>
    <w:p w14:paraId="3B4E9A74" w14:textId="671E2EBB" w:rsidR="000E0DD4" w:rsidRDefault="000E0DD4">
      <w:pPr>
        <w:pStyle w:val="TOC1"/>
        <w:rPr>
          <w:b w:val="0"/>
          <w:caps w:val="0"/>
          <w:color w:val="auto"/>
        </w:rPr>
      </w:pPr>
      <w:r>
        <w:fldChar w:fldCharType="begin"/>
      </w:r>
      <w:r>
        <w:instrText xml:space="preserve"> TOC \h \z \t "CCA heading 1 no number,1,CCA Heading 1,1,CCA Heading 2,2,CCA Appendix Heading,1" </w:instrText>
      </w:r>
      <w:r>
        <w:fldChar w:fldCharType="separate"/>
      </w:r>
      <w:hyperlink w:anchor="_Toc532914922" w:history="1">
        <w:r w:rsidRPr="00052A1C">
          <w:rPr>
            <w:rStyle w:val="Hyperlink"/>
          </w:rPr>
          <w:t>Foreword</w:t>
        </w:r>
        <w:r>
          <w:rPr>
            <w:webHidden/>
          </w:rPr>
          <w:tab/>
        </w:r>
        <w:r>
          <w:rPr>
            <w:webHidden/>
          </w:rPr>
          <w:tab/>
        </w:r>
        <w:r>
          <w:rPr>
            <w:webHidden/>
          </w:rPr>
          <w:fldChar w:fldCharType="begin"/>
        </w:r>
        <w:r>
          <w:rPr>
            <w:webHidden/>
          </w:rPr>
          <w:instrText xml:space="preserve"> PAGEREF _Toc532914922 \h </w:instrText>
        </w:r>
        <w:r>
          <w:rPr>
            <w:webHidden/>
          </w:rPr>
        </w:r>
        <w:r>
          <w:rPr>
            <w:webHidden/>
          </w:rPr>
          <w:fldChar w:fldCharType="separate"/>
        </w:r>
        <w:r w:rsidR="009A203A">
          <w:rPr>
            <w:webHidden/>
          </w:rPr>
          <w:t>6</w:t>
        </w:r>
        <w:r>
          <w:rPr>
            <w:webHidden/>
          </w:rPr>
          <w:fldChar w:fldCharType="end"/>
        </w:r>
      </w:hyperlink>
    </w:p>
    <w:p w14:paraId="51881627" w14:textId="77777777" w:rsidR="000E0DD4" w:rsidRDefault="00F23AB7">
      <w:pPr>
        <w:pStyle w:val="TOC1"/>
        <w:rPr>
          <w:b w:val="0"/>
          <w:caps w:val="0"/>
          <w:color w:val="auto"/>
        </w:rPr>
      </w:pPr>
      <w:hyperlink w:anchor="_Toc532914923" w:history="1">
        <w:r w:rsidR="000E0DD4" w:rsidRPr="00052A1C">
          <w:rPr>
            <w:rStyle w:val="Hyperlink"/>
          </w:rPr>
          <w:t>Executive Summary</w:t>
        </w:r>
        <w:r w:rsidR="000E0DD4">
          <w:rPr>
            <w:webHidden/>
          </w:rPr>
          <w:tab/>
        </w:r>
        <w:r w:rsidR="000E0DD4">
          <w:rPr>
            <w:webHidden/>
          </w:rPr>
          <w:fldChar w:fldCharType="begin"/>
        </w:r>
        <w:r w:rsidR="000E0DD4">
          <w:rPr>
            <w:webHidden/>
          </w:rPr>
          <w:instrText xml:space="preserve"> PAGEREF _Toc532914923 \h </w:instrText>
        </w:r>
        <w:r w:rsidR="000E0DD4">
          <w:rPr>
            <w:webHidden/>
          </w:rPr>
        </w:r>
        <w:r w:rsidR="000E0DD4">
          <w:rPr>
            <w:webHidden/>
          </w:rPr>
          <w:fldChar w:fldCharType="separate"/>
        </w:r>
        <w:r w:rsidR="009A203A">
          <w:rPr>
            <w:webHidden/>
          </w:rPr>
          <w:t>7</w:t>
        </w:r>
        <w:r w:rsidR="000E0DD4">
          <w:rPr>
            <w:webHidden/>
          </w:rPr>
          <w:fldChar w:fldCharType="end"/>
        </w:r>
      </w:hyperlink>
    </w:p>
    <w:p w14:paraId="6CC6B0FB" w14:textId="77777777" w:rsidR="000E0DD4" w:rsidRDefault="00F23AB7">
      <w:pPr>
        <w:pStyle w:val="TOC1"/>
        <w:rPr>
          <w:b w:val="0"/>
          <w:caps w:val="0"/>
          <w:color w:val="auto"/>
        </w:rPr>
      </w:pPr>
      <w:hyperlink w:anchor="_Toc532914924" w:history="1">
        <w:r w:rsidR="000E0DD4" w:rsidRPr="00052A1C">
          <w:rPr>
            <w:rStyle w:val="Hyperlink"/>
          </w:rPr>
          <w:t>What did the Authority find?</w:t>
        </w:r>
        <w:r w:rsidR="000E0DD4">
          <w:rPr>
            <w:webHidden/>
          </w:rPr>
          <w:tab/>
        </w:r>
        <w:r w:rsidR="000E0DD4">
          <w:rPr>
            <w:webHidden/>
          </w:rPr>
          <w:fldChar w:fldCharType="begin"/>
        </w:r>
        <w:r w:rsidR="000E0DD4">
          <w:rPr>
            <w:webHidden/>
          </w:rPr>
          <w:instrText xml:space="preserve"> PAGEREF _Toc532914924 \h </w:instrText>
        </w:r>
        <w:r w:rsidR="000E0DD4">
          <w:rPr>
            <w:webHidden/>
          </w:rPr>
        </w:r>
        <w:r w:rsidR="000E0DD4">
          <w:rPr>
            <w:webHidden/>
          </w:rPr>
          <w:fldChar w:fldCharType="separate"/>
        </w:r>
        <w:r w:rsidR="009A203A">
          <w:rPr>
            <w:webHidden/>
          </w:rPr>
          <w:t>9</w:t>
        </w:r>
        <w:r w:rsidR="000E0DD4">
          <w:rPr>
            <w:webHidden/>
          </w:rPr>
          <w:fldChar w:fldCharType="end"/>
        </w:r>
      </w:hyperlink>
    </w:p>
    <w:p w14:paraId="1D806CB8" w14:textId="77777777" w:rsidR="000E0DD4" w:rsidRDefault="00F23AB7">
      <w:pPr>
        <w:pStyle w:val="TOC1"/>
        <w:rPr>
          <w:b w:val="0"/>
          <w:caps w:val="0"/>
          <w:color w:val="auto"/>
        </w:rPr>
      </w:pPr>
      <w:hyperlink w:anchor="_Toc532914925" w:history="1">
        <w:r w:rsidR="000E0DD4" w:rsidRPr="00052A1C">
          <w:rPr>
            <w:rStyle w:val="Hyperlink"/>
          </w:rPr>
          <w:t>What did The Authority recommend?</w:t>
        </w:r>
        <w:r w:rsidR="000E0DD4">
          <w:rPr>
            <w:webHidden/>
          </w:rPr>
          <w:tab/>
        </w:r>
        <w:r w:rsidR="000E0DD4">
          <w:rPr>
            <w:webHidden/>
          </w:rPr>
          <w:fldChar w:fldCharType="begin"/>
        </w:r>
        <w:r w:rsidR="000E0DD4">
          <w:rPr>
            <w:webHidden/>
          </w:rPr>
          <w:instrText xml:space="preserve"> PAGEREF _Toc532914925 \h </w:instrText>
        </w:r>
        <w:r w:rsidR="000E0DD4">
          <w:rPr>
            <w:webHidden/>
          </w:rPr>
        </w:r>
        <w:r w:rsidR="000E0DD4">
          <w:rPr>
            <w:webHidden/>
          </w:rPr>
          <w:fldChar w:fldCharType="separate"/>
        </w:r>
        <w:r w:rsidR="009A203A">
          <w:rPr>
            <w:webHidden/>
          </w:rPr>
          <w:t>10</w:t>
        </w:r>
        <w:r w:rsidR="000E0DD4">
          <w:rPr>
            <w:webHidden/>
          </w:rPr>
          <w:fldChar w:fldCharType="end"/>
        </w:r>
      </w:hyperlink>
    </w:p>
    <w:p w14:paraId="62D79919" w14:textId="77777777" w:rsidR="000E0DD4" w:rsidRDefault="00F23AB7">
      <w:pPr>
        <w:pStyle w:val="TOC1"/>
        <w:rPr>
          <w:b w:val="0"/>
          <w:caps w:val="0"/>
          <w:color w:val="auto"/>
        </w:rPr>
      </w:pPr>
      <w:hyperlink w:anchor="_Toc532914926" w:history="1">
        <w:r w:rsidR="000E0DD4" w:rsidRPr="00052A1C">
          <w:rPr>
            <w:rStyle w:val="Hyperlink"/>
          </w:rPr>
          <w:t>1</w:t>
        </w:r>
        <w:r w:rsidR="000E0DD4">
          <w:rPr>
            <w:b w:val="0"/>
            <w:caps w:val="0"/>
            <w:color w:val="auto"/>
          </w:rPr>
          <w:tab/>
        </w:r>
        <w:r w:rsidR="000E0DD4" w:rsidRPr="00052A1C">
          <w:rPr>
            <w:rStyle w:val="Hyperlink"/>
          </w:rPr>
          <w:t>Introduction</w:t>
        </w:r>
        <w:r w:rsidR="000E0DD4">
          <w:rPr>
            <w:webHidden/>
          </w:rPr>
          <w:tab/>
        </w:r>
        <w:r w:rsidR="000E0DD4">
          <w:rPr>
            <w:webHidden/>
          </w:rPr>
          <w:fldChar w:fldCharType="begin"/>
        </w:r>
        <w:r w:rsidR="000E0DD4">
          <w:rPr>
            <w:webHidden/>
          </w:rPr>
          <w:instrText xml:space="preserve"> PAGEREF _Toc532914926 \h </w:instrText>
        </w:r>
        <w:r w:rsidR="000E0DD4">
          <w:rPr>
            <w:webHidden/>
          </w:rPr>
        </w:r>
        <w:r w:rsidR="000E0DD4">
          <w:rPr>
            <w:webHidden/>
          </w:rPr>
          <w:fldChar w:fldCharType="separate"/>
        </w:r>
        <w:r w:rsidR="009A203A">
          <w:rPr>
            <w:webHidden/>
          </w:rPr>
          <w:t>13</w:t>
        </w:r>
        <w:r w:rsidR="000E0DD4">
          <w:rPr>
            <w:webHidden/>
          </w:rPr>
          <w:fldChar w:fldCharType="end"/>
        </w:r>
      </w:hyperlink>
    </w:p>
    <w:p w14:paraId="04192E26" w14:textId="77777777" w:rsidR="000E0DD4" w:rsidRDefault="00F23AB7">
      <w:pPr>
        <w:pStyle w:val="TOC2"/>
        <w:rPr>
          <w:sz w:val="22"/>
        </w:rPr>
      </w:pPr>
      <w:hyperlink w:anchor="_Toc532914927" w:history="1">
        <w:r w:rsidR="000E0DD4" w:rsidRPr="00052A1C">
          <w:rPr>
            <w:rStyle w:val="Hyperlink"/>
          </w:rPr>
          <w:t>1.1</w:t>
        </w:r>
        <w:r w:rsidR="000E0DD4">
          <w:rPr>
            <w:sz w:val="22"/>
          </w:rPr>
          <w:tab/>
        </w:r>
        <w:r w:rsidR="000E0DD4" w:rsidRPr="00052A1C">
          <w:rPr>
            <w:rStyle w:val="Hyperlink"/>
          </w:rPr>
          <w:t>About the Climate Change Authority and the review</w:t>
        </w:r>
        <w:r w:rsidR="000E0DD4">
          <w:rPr>
            <w:webHidden/>
          </w:rPr>
          <w:tab/>
        </w:r>
        <w:r w:rsidR="000E0DD4">
          <w:rPr>
            <w:webHidden/>
          </w:rPr>
          <w:fldChar w:fldCharType="begin"/>
        </w:r>
        <w:r w:rsidR="000E0DD4">
          <w:rPr>
            <w:webHidden/>
          </w:rPr>
          <w:instrText xml:space="preserve"> PAGEREF _Toc532914927 \h </w:instrText>
        </w:r>
        <w:r w:rsidR="000E0DD4">
          <w:rPr>
            <w:webHidden/>
          </w:rPr>
        </w:r>
        <w:r w:rsidR="000E0DD4">
          <w:rPr>
            <w:webHidden/>
          </w:rPr>
          <w:fldChar w:fldCharType="separate"/>
        </w:r>
        <w:r w:rsidR="009A203A">
          <w:rPr>
            <w:webHidden/>
          </w:rPr>
          <w:t>13</w:t>
        </w:r>
        <w:r w:rsidR="000E0DD4">
          <w:rPr>
            <w:webHidden/>
          </w:rPr>
          <w:fldChar w:fldCharType="end"/>
        </w:r>
      </w:hyperlink>
    </w:p>
    <w:p w14:paraId="550C2804" w14:textId="77777777" w:rsidR="000E0DD4" w:rsidRDefault="00F23AB7">
      <w:pPr>
        <w:pStyle w:val="TOC2"/>
        <w:rPr>
          <w:sz w:val="22"/>
        </w:rPr>
      </w:pPr>
      <w:hyperlink w:anchor="_Toc532914928" w:history="1">
        <w:r w:rsidR="000E0DD4" w:rsidRPr="00052A1C">
          <w:rPr>
            <w:rStyle w:val="Hyperlink"/>
          </w:rPr>
          <w:t>1.2</w:t>
        </w:r>
        <w:r w:rsidR="000E0DD4">
          <w:rPr>
            <w:sz w:val="22"/>
          </w:rPr>
          <w:tab/>
        </w:r>
        <w:r w:rsidR="000E0DD4" w:rsidRPr="00052A1C">
          <w:rPr>
            <w:rStyle w:val="Hyperlink"/>
          </w:rPr>
          <w:t>Overview of the legislation</w:t>
        </w:r>
        <w:r w:rsidR="000E0DD4">
          <w:rPr>
            <w:webHidden/>
          </w:rPr>
          <w:tab/>
        </w:r>
        <w:r w:rsidR="000E0DD4">
          <w:rPr>
            <w:webHidden/>
          </w:rPr>
          <w:fldChar w:fldCharType="begin"/>
        </w:r>
        <w:r w:rsidR="000E0DD4">
          <w:rPr>
            <w:webHidden/>
          </w:rPr>
          <w:instrText xml:space="preserve"> PAGEREF _Toc532914928 \h </w:instrText>
        </w:r>
        <w:r w:rsidR="000E0DD4">
          <w:rPr>
            <w:webHidden/>
          </w:rPr>
        </w:r>
        <w:r w:rsidR="000E0DD4">
          <w:rPr>
            <w:webHidden/>
          </w:rPr>
          <w:fldChar w:fldCharType="separate"/>
        </w:r>
        <w:r w:rsidR="009A203A">
          <w:rPr>
            <w:webHidden/>
          </w:rPr>
          <w:t>13</w:t>
        </w:r>
        <w:r w:rsidR="000E0DD4">
          <w:rPr>
            <w:webHidden/>
          </w:rPr>
          <w:fldChar w:fldCharType="end"/>
        </w:r>
      </w:hyperlink>
    </w:p>
    <w:p w14:paraId="4E6814D8" w14:textId="77777777" w:rsidR="000E0DD4" w:rsidRDefault="00F23AB7">
      <w:pPr>
        <w:pStyle w:val="TOC2"/>
        <w:rPr>
          <w:sz w:val="22"/>
        </w:rPr>
      </w:pPr>
      <w:hyperlink w:anchor="_Toc532914929" w:history="1">
        <w:r w:rsidR="000E0DD4" w:rsidRPr="00052A1C">
          <w:rPr>
            <w:rStyle w:val="Hyperlink"/>
          </w:rPr>
          <w:t>1.3</w:t>
        </w:r>
        <w:r w:rsidR="000E0DD4">
          <w:rPr>
            <w:sz w:val="22"/>
          </w:rPr>
          <w:tab/>
        </w:r>
        <w:r w:rsidR="000E0DD4" w:rsidRPr="00052A1C">
          <w:rPr>
            <w:rStyle w:val="Hyperlink"/>
          </w:rPr>
          <w:t>Focus of the review</w:t>
        </w:r>
        <w:r w:rsidR="000E0DD4">
          <w:rPr>
            <w:webHidden/>
          </w:rPr>
          <w:tab/>
        </w:r>
        <w:r w:rsidR="000E0DD4">
          <w:rPr>
            <w:webHidden/>
          </w:rPr>
          <w:fldChar w:fldCharType="begin"/>
        </w:r>
        <w:r w:rsidR="000E0DD4">
          <w:rPr>
            <w:webHidden/>
          </w:rPr>
          <w:instrText xml:space="preserve"> PAGEREF _Toc532914929 \h </w:instrText>
        </w:r>
        <w:r w:rsidR="000E0DD4">
          <w:rPr>
            <w:webHidden/>
          </w:rPr>
        </w:r>
        <w:r w:rsidR="000E0DD4">
          <w:rPr>
            <w:webHidden/>
          </w:rPr>
          <w:fldChar w:fldCharType="separate"/>
        </w:r>
        <w:r w:rsidR="009A203A">
          <w:rPr>
            <w:webHidden/>
          </w:rPr>
          <w:t>13</w:t>
        </w:r>
        <w:r w:rsidR="000E0DD4">
          <w:rPr>
            <w:webHidden/>
          </w:rPr>
          <w:fldChar w:fldCharType="end"/>
        </w:r>
      </w:hyperlink>
    </w:p>
    <w:p w14:paraId="09F471D2" w14:textId="77777777" w:rsidR="000E0DD4" w:rsidRDefault="00F23AB7">
      <w:pPr>
        <w:pStyle w:val="TOC2"/>
        <w:rPr>
          <w:sz w:val="22"/>
        </w:rPr>
      </w:pPr>
      <w:hyperlink w:anchor="_Toc532914930" w:history="1">
        <w:r w:rsidR="000E0DD4" w:rsidRPr="00052A1C">
          <w:rPr>
            <w:rStyle w:val="Hyperlink"/>
          </w:rPr>
          <w:t>1.4</w:t>
        </w:r>
        <w:r w:rsidR="000E0DD4">
          <w:rPr>
            <w:sz w:val="22"/>
          </w:rPr>
          <w:tab/>
        </w:r>
        <w:r w:rsidR="000E0DD4" w:rsidRPr="00052A1C">
          <w:rPr>
            <w:rStyle w:val="Hyperlink"/>
          </w:rPr>
          <w:t>Approach to the review</w:t>
        </w:r>
        <w:r w:rsidR="000E0DD4">
          <w:rPr>
            <w:webHidden/>
          </w:rPr>
          <w:tab/>
        </w:r>
        <w:r w:rsidR="000E0DD4">
          <w:rPr>
            <w:webHidden/>
          </w:rPr>
          <w:fldChar w:fldCharType="begin"/>
        </w:r>
        <w:r w:rsidR="000E0DD4">
          <w:rPr>
            <w:webHidden/>
          </w:rPr>
          <w:instrText xml:space="preserve"> PAGEREF _Toc532914930 \h </w:instrText>
        </w:r>
        <w:r w:rsidR="000E0DD4">
          <w:rPr>
            <w:webHidden/>
          </w:rPr>
        </w:r>
        <w:r w:rsidR="000E0DD4">
          <w:rPr>
            <w:webHidden/>
          </w:rPr>
          <w:fldChar w:fldCharType="separate"/>
        </w:r>
        <w:r w:rsidR="009A203A">
          <w:rPr>
            <w:webHidden/>
          </w:rPr>
          <w:t>14</w:t>
        </w:r>
        <w:r w:rsidR="000E0DD4">
          <w:rPr>
            <w:webHidden/>
          </w:rPr>
          <w:fldChar w:fldCharType="end"/>
        </w:r>
      </w:hyperlink>
    </w:p>
    <w:p w14:paraId="01BF467B" w14:textId="0BF3A3A3" w:rsidR="000E0DD4" w:rsidRDefault="00F23AB7">
      <w:pPr>
        <w:pStyle w:val="TOC2"/>
        <w:rPr>
          <w:sz w:val="22"/>
        </w:rPr>
      </w:pPr>
      <w:hyperlink w:anchor="_Toc532914931" w:history="1">
        <w:r w:rsidR="000E0DD4" w:rsidRPr="00052A1C">
          <w:rPr>
            <w:rStyle w:val="Hyperlink"/>
          </w:rPr>
          <w:t>1.5</w:t>
        </w:r>
        <w:r w:rsidR="000E0DD4">
          <w:rPr>
            <w:sz w:val="22"/>
          </w:rPr>
          <w:tab/>
        </w:r>
        <w:r w:rsidR="000E0DD4" w:rsidRPr="00052A1C">
          <w:rPr>
            <w:rStyle w:val="Hyperlink"/>
          </w:rPr>
          <w:t>This report</w:t>
        </w:r>
        <w:r w:rsidR="000E0DD4">
          <w:rPr>
            <w:webHidden/>
          </w:rPr>
          <w:tab/>
        </w:r>
        <w:r w:rsidR="000E0DD4">
          <w:rPr>
            <w:webHidden/>
          </w:rPr>
          <w:tab/>
        </w:r>
        <w:r w:rsidR="000E0DD4">
          <w:rPr>
            <w:webHidden/>
          </w:rPr>
          <w:fldChar w:fldCharType="begin"/>
        </w:r>
        <w:r w:rsidR="000E0DD4">
          <w:rPr>
            <w:webHidden/>
          </w:rPr>
          <w:instrText xml:space="preserve"> PAGEREF _Toc532914931 \h </w:instrText>
        </w:r>
        <w:r w:rsidR="000E0DD4">
          <w:rPr>
            <w:webHidden/>
          </w:rPr>
        </w:r>
        <w:r w:rsidR="000E0DD4">
          <w:rPr>
            <w:webHidden/>
          </w:rPr>
          <w:fldChar w:fldCharType="separate"/>
        </w:r>
        <w:r w:rsidR="009A203A">
          <w:rPr>
            <w:webHidden/>
          </w:rPr>
          <w:t>14</w:t>
        </w:r>
        <w:r w:rsidR="000E0DD4">
          <w:rPr>
            <w:webHidden/>
          </w:rPr>
          <w:fldChar w:fldCharType="end"/>
        </w:r>
      </w:hyperlink>
    </w:p>
    <w:p w14:paraId="21FF9136" w14:textId="77777777" w:rsidR="000E0DD4" w:rsidRDefault="00F23AB7">
      <w:pPr>
        <w:pStyle w:val="TOC1"/>
        <w:rPr>
          <w:b w:val="0"/>
          <w:caps w:val="0"/>
          <w:color w:val="auto"/>
        </w:rPr>
      </w:pPr>
      <w:hyperlink w:anchor="_Toc532914932" w:history="1">
        <w:r w:rsidR="000E0DD4" w:rsidRPr="00052A1C">
          <w:rPr>
            <w:rStyle w:val="Hyperlink"/>
          </w:rPr>
          <w:t>2</w:t>
        </w:r>
        <w:r w:rsidR="000E0DD4">
          <w:rPr>
            <w:b w:val="0"/>
            <w:caps w:val="0"/>
            <w:color w:val="auto"/>
          </w:rPr>
          <w:tab/>
        </w:r>
        <w:r w:rsidR="000E0DD4" w:rsidRPr="00052A1C">
          <w:rPr>
            <w:rStyle w:val="Hyperlink"/>
          </w:rPr>
          <w:t>Overview of the legislation and its operation</w:t>
        </w:r>
        <w:r w:rsidR="000E0DD4">
          <w:rPr>
            <w:webHidden/>
          </w:rPr>
          <w:tab/>
        </w:r>
        <w:r w:rsidR="000E0DD4">
          <w:rPr>
            <w:webHidden/>
          </w:rPr>
          <w:fldChar w:fldCharType="begin"/>
        </w:r>
        <w:r w:rsidR="000E0DD4">
          <w:rPr>
            <w:webHidden/>
          </w:rPr>
          <w:instrText xml:space="preserve"> PAGEREF _Toc532914932 \h </w:instrText>
        </w:r>
        <w:r w:rsidR="000E0DD4">
          <w:rPr>
            <w:webHidden/>
          </w:rPr>
        </w:r>
        <w:r w:rsidR="000E0DD4">
          <w:rPr>
            <w:webHidden/>
          </w:rPr>
          <w:fldChar w:fldCharType="separate"/>
        </w:r>
        <w:r w:rsidR="009A203A">
          <w:rPr>
            <w:webHidden/>
          </w:rPr>
          <w:t>15</w:t>
        </w:r>
        <w:r w:rsidR="000E0DD4">
          <w:rPr>
            <w:webHidden/>
          </w:rPr>
          <w:fldChar w:fldCharType="end"/>
        </w:r>
      </w:hyperlink>
    </w:p>
    <w:p w14:paraId="647284C2" w14:textId="77777777" w:rsidR="000E0DD4" w:rsidRDefault="00F23AB7">
      <w:pPr>
        <w:pStyle w:val="TOC2"/>
        <w:rPr>
          <w:sz w:val="22"/>
        </w:rPr>
      </w:pPr>
      <w:hyperlink w:anchor="_Toc532914933" w:history="1">
        <w:r w:rsidR="000E0DD4" w:rsidRPr="00052A1C">
          <w:rPr>
            <w:rStyle w:val="Hyperlink"/>
          </w:rPr>
          <w:t>2.1</w:t>
        </w:r>
        <w:r w:rsidR="000E0DD4">
          <w:rPr>
            <w:sz w:val="22"/>
          </w:rPr>
          <w:tab/>
        </w:r>
        <w:r w:rsidR="000E0DD4" w:rsidRPr="00052A1C">
          <w:rPr>
            <w:rStyle w:val="Hyperlink"/>
          </w:rPr>
          <w:t>National Greenhouse and Energy Reporting legislation</w:t>
        </w:r>
        <w:r w:rsidR="000E0DD4">
          <w:rPr>
            <w:webHidden/>
          </w:rPr>
          <w:tab/>
        </w:r>
        <w:r w:rsidR="000E0DD4">
          <w:rPr>
            <w:webHidden/>
          </w:rPr>
          <w:fldChar w:fldCharType="begin"/>
        </w:r>
        <w:r w:rsidR="000E0DD4">
          <w:rPr>
            <w:webHidden/>
          </w:rPr>
          <w:instrText xml:space="preserve"> PAGEREF _Toc532914933 \h </w:instrText>
        </w:r>
        <w:r w:rsidR="000E0DD4">
          <w:rPr>
            <w:webHidden/>
          </w:rPr>
        </w:r>
        <w:r w:rsidR="000E0DD4">
          <w:rPr>
            <w:webHidden/>
          </w:rPr>
          <w:fldChar w:fldCharType="separate"/>
        </w:r>
        <w:r w:rsidR="009A203A">
          <w:rPr>
            <w:webHidden/>
          </w:rPr>
          <w:t>15</w:t>
        </w:r>
        <w:r w:rsidR="000E0DD4">
          <w:rPr>
            <w:webHidden/>
          </w:rPr>
          <w:fldChar w:fldCharType="end"/>
        </w:r>
      </w:hyperlink>
    </w:p>
    <w:p w14:paraId="185BE38A" w14:textId="77777777" w:rsidR="000E0DD4" w:rsidRDefault="00F23AB7">
      <w:pPr>
        <w:pStyle w:val="TOC2"/>
        <w:rPr>
          <w:sz w:val="22"/>
        </w:rPr>
      </w:pPr>
      <w:hyperlink w:anchor="_Toc532914934" w:history="1">
        <w:r w:rsidR="000E0DD4" w:rsidRPr="00052A1C">
          <w:rPr>
            <w:rStyle w:val="Hyperlink"/>
          </w:rPr>
          <w:t>2.2</w:t>
        </w:r>
        <w:r w:rsidR="000E0DD4">
          <w:rPr>
            <w:sz w:val="22"/>
          </w:rPr>
          <w:tab/>
        </w:r>
        <w:r w:rsidR="000E0DD4" w:rsidRPr="00052A1C">
          <w:rPr>
            <w:rStyle w:val="Hyperlink"/>
          </w:rPr>
          <w:t>Objectives of the legislation</w:t>
        </w:r>
        <w:r w:rsidR="000E0DD4">
          <w:rPr>
            <w:webHidden/>
          </w:rPr>
          <w:tab/>
        </w:r>
        <w:r w:rsidR="000E0DD4">
          <w:rPr>
            <w:webHidden/>
          </w:rPr>
          <w:fldChar w:fldCharType="begin"/>
        </w:r>
        <w:r w:rsidR="000E0DD4">
          <w:rPr>
            <w:webHidden/>
          </w:rPr>
          <w:instrText xml:space="preserve"> PAGEREF _Toc532914934 \h </w:instrText>
        </w:r>
        <w:r w:rsidR="000E0DD4">
          <w:rPr>
            <w:webHidden/>
          </w:rPr>
        </w:r>
        <w:r w:rsidR="000E0DD4">
          <w:rPr>
            <w:webHidden/>
          </w:rPr>
          <w:fldChar w:fldCharType="separate"/>
        </w:r>
        <w:r w:rsidR="009A203A">
          <w:rPr>
            <w:webHidden/>
          </w:rPr>
          <w:t>15</w:t>
        </w:r>
        <w:r w:rsidR="000E0DD4">
          <w:rPr>
            <w:webHidden/>
          </w:rPr>
          <w:fldChar w:fldCharType="end"/>
        </w:r>
      </w:hyperlink>
    </w:p>
    <w:p w14:paraId="1834EF8A" w14:textId="77777777" w:rsidR="000E0DD4" w:rsidRDefault="00F23AB7">
      <w:pPr>
        <w:pStyle w:val="TOC2"/>
        <w:rPr>
          <w:sz w:val="22"/>
        </w:rPr>
      </w:pPr>
      <w:hyperlink w:anchor="_Toc532914935" w:history="1">
        <w:r w:rsidR="000E0DD4" w:rsidRPr="00052A1C">
          <w:rPr>
            <w:rStyle w:val="Hyperlink"/>
          </w:rPr>
          <w:t>2.3</w:t>
        </w:r>
        <w:r w:rsidR="000E0DD4">
          <w:rPr>
            <w:sz w:val="22"/>
          </w:rPr>
          <w:tab/>
        </w:r>
        <w:r w:rsidR="000E0DD4" w:rsidRPr="00052A1C">
          <w:rPr>
            <w:rStyle w:val="Hyperlink"/>
          </w:rPr>
          <w:t>The reporting scheme</w:t>
        </w:r>
        <w:r w:rsidR="000E0DD4">
          <w:rPr>
            <w:webHidden/>
          </w:rPr>
          <w:tab/>
        </w:r>
        <w:r w:rsidR="000E0DD4">
          <w:rPr>
            <w:webHidden/>
          </w:rPr>
          <w:fldChar w:fldCharType="begin"/>
        </w:r>
        <w:r w:rsidR="000E0DD4">
          <w:rPr>
            <w:webHidden/>
          </w:rPr>
          <w:instrText xml:space="preserve"> PAGEREF _Toc532914935 \h </w:instrText>
        </w:r>
        <w:r w:rsidR="000E0DD4">
          <w:rPr>
            <w:webHidden/>
          </w:rPr>
        </w:r>
        <w:r w:rsidR="000E0DD4">
          <w:rPr>
            <w:webHidden/>
          </w:rPr>
          <w:fldChar w:fldCharType="separate"/>
        </w:r>
        <w:r w:rsidR="009A203A">
          <w:rPr>
            <w:webHidden/>
          </w:rPr>
          <w:t>17</w:t>
        </w:r>
        <w:r w:rsidR="000E0DD4">
          <w:rPr>
            <w:webHidden/>
          </w:rPr>
          <w:fldChar w:fldCharType="end"/>
        </w:r>
      </w:hyperlink>
    </w:p>
    <w:p w14:paraId="41D642C5" w14:textId="77777777" w:rsidR="000E0DD4" w:rsidRDefault="00F23AB7">
      <w:pPr>
        <w:pStyle w:val="TOC2"/>
        <w:rPr>
          <w:sz w:val="22"/>
        </w:rPr>
      </w:pPr>
      <w:hyperlink w:anchor="_Toc532914936" w:history="1">
        <w:r w:rsidR="000E0DD4" w:rsidRPr="00052A1C">
          <w:rPr>
            <w:rStyle w:val="Hyperlink"/>
          </w:rPr>
          <w:t>2.4</w:t>
        </w:r>
        <w:r w:rsidR="000E0DD4">
          <w:rPr>
            <w:sz w:val="22"/>
          </w:rPr>
          <w:tab/>
        </w:r>
        <w:r w:rsidR="000E0DD4" w:rsidRPr="00052A1C">
          <w:rPr>
            <w:rStyle w:val="Hyperlink"/>
          </w:rPr>
          <w:t>The safeguard mechanism</w:t>
        </w:r>
        <w:r w:rsidR="000E0DD4">
          <w:rPr>
            <w:webHidden/>
          </w:rPr>
          <w:tab/>
        </w:r>
        <w:r w:rsidR="000E0DD4">
          <w:rPr>
            <w:webHidden/>
          </w:rPr>
          <w:fldChar w:fldCharType="begin"/>
        </w:r>
        <w:r w:rsidR="000E0DD4">
          <w:rPr>
            <w:webHidden/>
          </w:rPr>
          <w:instrText xml:space="preserve"> PAGEREF _Toc532914936 \h </w:instrText>
        </w:r>
        <w:r w:rsidR="000E0DD4">
          <w:rPr>
            <w:webHidden/>
          </w:rPr>
        </w:r>
        <w:r w:rsidR="000E0DD4">
          <w:rPr>
            <w:webHidden/>
          </w:rPr>
          <w:fldChar w:fldCharType="separate"/>
        </w:r>
        <w:r w:rsidR="009A203A">
          <w:rPr>
            <w:webHidden/>
          </w:rPr>
          <w:t>22</w:t>
        </w:r>
        <w:r w:rsidR="000E0DD4">
          <w:rPr>
            <w:webHidden/>
          </w:rPr>
          <w:fldChar w:fldCharType="end"/>
        </w:r>
      </w:hyperlink>
    </w:p>
    <w:p w14:paraId="53CC5DE6" w14:textId="77777777" w:rsidR="000E0DD4" w:rsidRDefault="00F23AB7">
      <w:pPr>
        <w:pStyle w:val="TOC2"/>
        <w:rPr>
          <w:sz w:val="22"/>
        </w:rPr>
      </w:pPr>
      <w:hyperlink w:anchor="_Toc532914937" w:history="1">
        <w:r w:rsidR="000E0DD4" w:rsidRPr="00052A1C">
          <w:rPr>
            <w:rStyle w:val="Hyperlink"/>
          </w:rPr>
          <w:t>2.5</w:t>
        </w:r>
        <w:r w:rsidR="000E0DD4">
          <w:rPr>
            <w:sz w:val="22"/>
          </w:rPr>
          <w:tab/>
        </w:r>
        <w:r w:rsidR="000E0DD4" w:rsidRPr="00052A1C">
          <w:rPr>
            <w:rStyle w:val="Hyperlink"/>
          </w:rPr>
          <w:t>Key dates under the legislation</w:t>
        </w:r>
        <w:r w:rsidR="000E0DD4">
          <w:rPr>
            <w:webHidden/>
          </w:rPr>
          <w:tab/>
        </w:r>
        <w:r w:rsidR="000E0DD4">
          <w:rPr>
            <w:webHidden/>
          </w:rPr>
          <w:fldChar w:fldCharType="begin"/>
        </w:r>
        <w:r w:rsidR="000E0DD4">
          <w:rPr>
            <w:webHidden/>
          </w:rPr>
          <w:instrText xml:space="preserve"> PAGEREF _Toc532914937 \h </w:instrText>
        </w:r>
        <w:r w:rsidR="000E0DD4">
          <w:rPr>
            <w:webHidden/>
          </w:rPr>
        </w:r>
        <w:r w:rsidR="000E0DD4">
          <w:rPr>
            <w:webHidden/>
          </w:rPr>
          <w:fldChar w:fldCharType="separate"/>
        </w:r>
        <w:r w:rsidR="009A203A">
          <w:rPr>
            <w:webHidden/>
          </w:rPr>
          <w:t>26</w:t>
        </w:r>
        <w:r w:rsidR="000E0DD4">
          <w:rPr>
            <w:webHidden/>
          </w:rPr>
          <w:fldChar w:fldCharType="end"/>
        </w:r>
      </w:hyperlink>
    </w:p>
    <w:p w14:paraId="623B34B1" w14:textId="77777777" w:rsidR="000E0DD4" w:rsidRDefault="00F23AB7">
      <w:pPr>
        <w:pStyle w:val="TOC2"/>
        <w:rPr>
          <w:sz w:val="22"/>
        </w:rPr>
      </w:pPr>
      <w:hyperlink w:anchor="_Toc532914938" w:history="1">
        <w:r w:rsidR="000E0DD4" w:rsidRPr="00052A1C">
          <w:rPr>
            <w:rStyle w:val="Hyperlink"/>
          </w:rPr>
          <w:t>2.6</w:t>
        </w:r>
        <w:r w:rsidR="000E0DD4">
          <w:rPr>
            <w:sz w:val="22"/>
          </w:rPr>
          <w:tab/>
        </w:r>
        <w:r w:rsidR="000E0DD4" w:rsidRPr="00052A1C">
          <w:rPr>
            <w:rStyle w:val="Hyperlink"/>
          </w:rPr>
          <w:t>Administration and compliance</w:t>
        </w:r>
        <w:r w:rsidR="000E0DD4">
          <w:rPr>
            <w:webHidden/>
          </w:rPr>
          <w:tab/>
        </w:r>
        <w:r w:rsidR="000E0DD4">
          <w:rPr>
            <w:webHidden/>
          </w:rPr>
          <w:fldChar w:fldCharType="begin"/>
        </w:r>
        <w:r w:rsidR="000E0DD4">
          <w:rPr>
            <w:webHidden/>
          </w:rPr>
          <w:instrText xml:space="preserve"> PAGEREF _Toc532914938 \h </w:instrText>
        </w:r>
        <w:r w:rsidR="000E0DD4">
          <w:rPr>
            <w:webHidden/>
          </w:rPr>
        </w:r>
        <w:r w:rsidR="000E0DD4">
          <w:rPr>
            <w:webHidden/>
          </w:rPr>
          <w:fldChar w:fldCharType="separate"/>
        </w:r>
        <w:r w:rsidR="009A203A">
          <w:rPr>
            <w:webHidden/>
          </w:rPr>
          <w:t>26</w:t>
        </w:r>
        <w:r w:rsidR="000E0DD4">
          <w:rPr>
            <w:webHidden/>
          </w:rPr>
          <w:fldChar w:fldCharType="end"/>
        </w:r>
      </w:hyperlink>
    </w:p>
    <w:p w14:paraId="146158F9" w14:textId="77777777" w:rsidR="000E0DD4" w:rsidRDefault="00F23AB7">
      <w:pPr>
        <w:pStyle w:val="TOC1"/>
        <w:rPr>
          <w:b w:val="0"/>
          <w:caps w:val="0"/>
          <w:color w:val="auto"/>
        </w:rPr>
      </w:pPr>
      <w:hyperlink w:anchor="_Toc532914939" w:history="1">
        <w:r w:rsidR="000E0DD4" w:rsidRPr="00052A1C">
          <w:rPr>
            <w:rStyle w:val="Hyperlink"/>
          </w:rPr>
          <w:t>3</w:t>
        </w:r>
        <w:r w:rsidR="000E0DD4">
          <w:rPr>
            <w:b w:val="0"/>
            <w:caps w:val="0"/>
            <w:color w:val="auto"/>
          </w:rPr>
          <w:tab/>
        </w:r>
        <w:r w:rsidR="000E0DD4" w:rsidRPr="00052A1C">
          <w:rPr>
            <w:rStyle w:val="Hyperlink"/>
          </w:rPr>
          <w:t>The reporting scheme: what is working well</w:t>
        </w:r>
        <w:r w:rsidR="000E0DD4">
          <w:rPr>
            <w:webHidden/>
          </w:rPr>
          <w:tab/>
        </w:r>
        <w:r w:rsidR="000E0DD4">
          <w:rPr>
            <w:webHidden/>
          </w:rPr>
          <w:fldChar w:fldCharType="begin"/>
        </w:r>
        <w:r w:rsidR="000E0DD4">
          <w:rPr>
            <w:webHidden/>
          </w:rPr>
          <w:instrText xml:space="preserve"> PAGEREF _Toc532914939 \h </w:instrText>
        </w:r>
        <w:r w:rsidR="000E0DD4">
          <w:rPr>
            <w:webHidden/>
          </w:rPr>
        </w:r>
        <w:r w:rsidR="000E0DD4">
          <w:rPr>
            <w:webHidden/>
          </w:rPr>
          <w:fldChar w:fldCharType="separate"/>
        </w:r>
        <w:r w:rsidR="009A203A">
          <w:rPr>
            <w:webHidden/>
          </w:rPr>
          <w:t>28</w:t>
        </w:r>
        <w:r w:rsidR="000E0DD4">
          <w:rPr>
            <w:webHidden/>
          </w:rPr>
          <w:fldChar w:fldCharType="end"/>
        </w:r>
      </w:hyperlink>
    </w:p>
    <w:p w14:paraId="759F06CB" w14:textId="77777777" w:rsidR="000E0DD4" w:rsidRDefault="00F23AB7">
      <w:pPr>
        <w:pStyle w:val="TOC2"/>
        <w:rPr>
          <w:sz w:val="22"/>
        </w:rPr>
      </w:pPr>
      <w:hyperlink w:anchor="_Toc532914940" w:history="1">
        <w:r w:rsidR="000E0DD4" w:rsidRPr="00052A1C">
          <w:rPr>
            <w:rStyle w:val="Hyperlink"/>
          </w:rPr>
          <w:t>3.1</w:t>
        </w:r>
        <w:r w:rsidR="000E0DD4">
          <w:rPr>
            <w:sz w:val="22"/>
          </w:rPr>
          <w:tab/>
        </w:r>
        <w:r w:rsidR="000E0DD4" w:rsidRPr="00052A1C">
          <w:rPr>
            <w:rStyle w:val="Hyperlink"/>
          </w:rPr>
          <w:t>Works well, meets its objectives and enjoys broad support</w:t>
        </w:r>
        <w:r w:rsidR="000E0DD4">
          <w:rPr>
            <w:webHidden/>
          </w:rPr>
          <w:tab/>
        </w:r>
        <w:r w:rsidR="000E0DD4">
          <w:rPr>
            <w:webHidden/>
          </w:rPr>
          <w:fldChar w:fldCharType="begin"/>
        </w:r>
        <w:r w:rsidR="000E0DD4">
          <w:rPr>
            <w:webHidden/>
          </w:rPr>
          <w:instrText xml:space="preserve"> PAGEREF _Toc532914940 \h </w:instrText>
        </w:r>
        <w:r w:rsidR="000E0DD4">
          <w:rPr>
            <w:webHidden/>
          </w:rPr>
        </w:r>
        <w:r w:rsidR="000E0DD4">
          <w:rPr>
            <w:webHidden/>
          </w:rPr>
          <w:fldChar w:fldCharType="separate"/>
        </w:r>
        <w:r w:rsidR="009A203A">
          <w:rPr>
            <w:webHidden/>
          </w:rPr>
          <w:t>28</w:t>
        </w:r>
        <w:r w:rsidR="000E0DD4">
          <w:rPr>
            <w:webHidden/>
          </w:rPr>
          <w:fldChar w:fldCharType="end"/>
        </w:r>
      </w:hyperlink>
    </w:p>
    <w:p w14:paraId="70D49EBE" w14:textId="77777777" w:rsidR="000E0DD4" w:rsidRDefault="00F23AB7">
      <w:pPr>
        <w:pStyle w:val="TOC2"/>
        <w:rPr>
          <w:sz w:val="22"/>
        </w:rPr>
      </w:pPr>
      <w:hyperlink w:anchor="_Toc532914941" w:history="1">
        <w:r w:rsidR="000E0DD4" w:rsidRPr="00052A1C">
          <w:rPr>
            <w:rStyle w:val="Hyperlink"/>
          </w:rPr>
          <w:t>3.2</w:t>
        </w:r>
        <w:r w:rsidR="000E0DD4">
          <w:rPr>
            <w:sz w:val="22"/>
          </w:rPr>
          <w:tab/>
        </w:r>
        <w:r w:rsidR="000E0DD4" w:rsidRPr="00052A1C">
          <w:rPr>
            <w:rStyle w:val="Hyperlink"/>
          </w:rPr>
          <w:t>Reduced duplicative reporting</w:t>
        </w:r>
        <w:r w:rsidR="000E0DD4">
          <w:rPr>
            <w:webHidden/>
          </w:rPr>
          <w:tab/>
        </w:r>
        <w:r w:rsidR="000E0DD4">
          <w:rPr>
            <w:webHidden/>
          </w:rPr>
          <w:fldChar w:fldCharType="begin"/>
        </w:r>
        <w:r w:rsidR="000E0DD4">
          <w:rPr>
            <w:webHidden/>
          </w:rPr>
          <w:instrText xml:space="preserve"> PAGEREF _Toc532914941 \h </w:instrText>
        </w:r>
        <w:r w:rsidR="000E0DD4">
          <w:rPr>
            <w:webHidden/>
          </w:rPr>
        </w:r>
        <w:r w:rsidR="000E0DD4">
          <w:rPr>
            <w:webHidden/>
          </w:rPr>
          <w:fldChar w:fldCharType="separate"/>
        </w:r>
        <w:r w:rsidR="009A203A">
          <w:rPr>
            <w:webHidden/>
          </w:rPr>
          <w:t>28</w:t>
        </w:r>
        <w:r w:rsidR="000E0DD4">
          <w:rPr>
            <w:webHidden/>
          </w:rPr>
          <w:fldChar w:fldCharType="end"/>
        </w:r>
      </w:hyperlink>
    </w:p>
    <w:p w14:paraId="27DAC8C0" w14:textId="77777777" w:rsidR="000E0DD4" w:rsidRDefault="00F23AB7">
      <w:pPr>
        <w:pStyle w:val="TOC2"/>
        <w:rPr>
          <w:sz w:val="22"/>
        </w:rPr>
      </w:pPr>
      <w:hyperlink w:anchor="_Toc532914942" w:history="1">
        <w:r w:rsidR="000E0DD4" w:rsidRPr="00052A1C">
          <w:rPr>
            <w:rStyle w:val="Hyperlink"/>
          </w:rPr>
          <w:t>3.3</w:t>
        </w:r>
        <w:r w:rsidR="000E0DD4">
          <w:rPr>
            <w:sz w:val="22"/>
          </w:rPr>
          <w:tab/>
        </w:r>
        <w:r w:rsidR="000E0DD4" w:rsidRPr="00052A1C">
          <w:rPr>
            <w:rStyle w:val="Hyperlink"/>
          </w:rPr>
          <w:t>High quality dataset compares favourably to international schemes</w:t>
        </w:r>
        <w:r w:rsidR="000E0DD4">
          <w:rPr>
            <w:webHidden/>
          </w:rPr>
          <w:tab/>
        </w:r>
        <w:r w:rsidR="000E0DD4">
          <w:rPr>
            <w:webHidden/>
          </w:rPr>
          <w:fldChar w:fldCharType="begin"/>
        </w:r>
        <w:r w:rsidR="000E0DD4">
          <w:rPr>
            <w:webHidden/>
          </w:rPr>
          <w:instrText xml:space="preserve"> PAGEREF _Toc532914942 \h </w:instrText>
        </w:r>
        <w:r w:rsidR="000E0DD4">
          <w:rPr>
            <w:webHidden/>
          </w:rPr>
        </w:r>
        <w:r w:rsidR="000E0DD4">
          <w:rPr>
            <w:webHidden/>
          </w:rPr>
          <w:fldChar w:fldCharType="separate"/>
        </w:r>
        <w:r w:rsidR="009A203A">
          <w:rPr>
            <w:webHidden/>
          </w:rPr>
          <w:t>28</w:t>
        </w:r>
        <w:r w:rsidR="000E0DD4">
          <w:rPr>
            <w:webHidden/>
          </w:rPr>
          <w:fldChar w:fldCharType="end"/>
        </w:r>
      </w:hyperlink>
    </w:p>
    <w:p w14:paraId="0F542C9E" w14:textId="77777777" w:rsidR="000E0DD4" w:rsidRDefault="00F23AB7">
      <w:pPr>
        <w:pStyle w:val="TOC2"/>
        <w:rPr>
          <w:sz w:val="22"/>
        </w:rPr>
      </w:pPr>
      <w:hyperlink w:anchor="_Toc532914943" w:history="1">
        <w:r w:rsidR="000E0DD4" w:rsidRPr="00052A1C">
          <w:rPr>
            <w:rStyle w:val="Hyperlink"/>
          </w:rPr>
          <w:t>3.4</w:t>
        </w:r>
        <w:r w:rsidR="000E0DD4">
          <w:rPr>
            <w:sz w:val="22"/>
          </w:rPr>
          <w:tab/>
        </w:r>
        <w:r w:rsidR="000E0DD4" w:rsidRPr="00052A1C">
          <w:rPr>
            <w:rStyle w:val="Hyperlink"/>
          </w:rPr>
          <w:t>Fit-for-purpose approaches to measuring emissions and energy</w:t>
        </w:r>
        <w:r w:rsidR="000E0DD4">
          <w:rPr>
            <w:webHidden/>
          </w:rPr>
          <w:tab/>
        </w:r>
        <w:r w:rsidR="000E0DD4">
          <w:rPr>
            <w:webHidden/>
          </w:rPr>
          <w:fldChar w:fldCharType="begin"/>
        </w:r>
        <w:r w:rsidR="000E0DD4">
          <w:rPr>
            <w:webHidden/>
          </w:rPr>
          <w:instrText xml:space="preserve"> PAGEREF _Toc532914943 \h </w:instrText>
        </w:r>
        <w:r w:rsidR="000E0DD4">
          <w:rPr>
            <w:webHidden/>
          </w:rPr>
        </w:r>
        <w:r w:rsidR="000E0DD4">
          <w:rPr>
            <w:webHidden/>
          </w:rPr>
          <w:fldChar w:fldCharType="separate"/>
        </w:r>
        <w:r w:rsidR="009A203A">
          <w:rPr>
            <w:webHidden/>
          </w:rPr>
          <w:t>29</w:t>
        </w:r>
        <w:r w:rsidR="000E0DD4">
          <w:rPr>
            <w:webHidden/>
          </w:rPr>
          <w:fldChar w:fldCharType="end"/>
        </w:r>
      </w:hyperlink>
    </w:p>
    <w:p w14:paraId="2B406C16" w14:textId="77777777" w:rsidR="000E0DD4" w:rsidRDefault="00F23AB7">
      <w:pPr>
        <w:pStyle w:val="TOC2"/>
        <w:rPr>
          <w:sz w:val="22"/>
        </w:rPr>
      </w:pPr>
      <w:hyperlink w:anchor="_Toc532914944" w:history="1">
        <w:r w:rsidR="000E0DD4" w:rsidRPr="00052A1C">
          <w:rPr>
            <w:rStyle w:val="Hyperlink"/>
          </w:rPr>
          <w:t>3.5</w:t>
        </w:r>
        <w:r w:rsidR="000E0DD4">
          <w:rPr>
            <w:sz w:val="22"/>
          </w:rPr>
          <w:tab/>
        </w:r>
        <w:r w:rsidR="000E0DD4" w:rsidRPr="00052A1C">
          <w:rPr>
            <w:rStyle w:val="Hyperlink"/>
          </w:rPr>
          <w:t>Essential for meeting Australia’s international reporting obligations</w:t>
        </w:r>
        <w:r w:rsidR="000E0DD4">
          <w:rPr>
            <w:webHidden/>
          </w:rPr>
          <w:tab/>
        </w:r>
        <w:r w:rsidR="000E0DD4">
          <w:rPr>
            <w:webHidden/>
          </w:rPr>
          <w:fldChar w:fldCharType="begin"/>
        </w:r>
        <w:r w:rsidR="000E0DD4">
          <w:rPr>
            <w:webHidden/>
          </w:rPr>
          <w:instrText xml:space="preserve"> PAGEREF _Toc532914944 \h </w:instrText>
        </w:r>
        <w:r w:rsidR="000E0DD4">
          <w:rPr>
            <w:webHidden/>
          </w:rPr>
        </w:r>
        <w:r w:rsidR="000E0DD4">
          <w:rPr>
            <w:webHidden/>
          </w:rPr>
          <w:fldChar w:fldCharType="separate"/>
        </w:r>
        <w:r w:rsidR="009A203A">
          <w:rPr>
            <w:webHidden/>
          </w:rPr>
          <w:t>29</w:t>
        </w:r>
        <w:r w:rsidR="000E0DD4">
          <w:rPr>
            <w:webHidden/>
          </w:rPr>
          <w:fldChar w:fldCharType="end"/>
        </w:r>
      </w:hyperlink>
    </w:p>
    <w:p w14:paraId="617F54CB" w14:textId="77777777" w:rsidR="000E0DD4" w:rsidRDefault="00F23AB7">
      <w:pPr>
        <w:pStyle w:val="TOC2"/>
        <w:rPr>
          <w:sz w:val="22"/>
        </w:rPr>
      </w:pPr>
      <w:hyperlink w:anchor="_Toc532914945" w:history="1">
        <w:r w:rsidR="000E0DD4" w:rsidRPr="00052A1C">
          <w:rPr>
            <w:rStyle w:val="Hyperlink"/>
          </w:rPr>
          <w:t>3.6</w:t>
        </w:r>
        <w:r w:rsidR="000E0DD4">
          <w:rPr>
            <w:sz w:val="22"/>
          </w:rPr>
          <w:tab/>
        </w:r>
        <w:r w:rsidR="000E0DD4" w:rsidRPr="00052A1C">
          <w:rPr>
            <w:rStyle w:val="Hyperlink"/>
          </w:rPr>
          <w:t>Informs government policies, programs and activities</w:t>
        </w:r>
        <w:r w:rsidR="000E0DD4">
          <w:rPr>
            <w:webHidden/>
          </w:rPr>
          <w:tab/>
        </w:r>
        <w:r w:rsidR="000E0DD4">
          <w:rPr>
            <w:webHidden/>
          </w:rPr>
          <w:fldChar w:fldCharType="begin"/>
        </w:r>
        <w:r w:rsidR="000E0DD4">
          <w:rPr>
            <w:webHidden/>
          </w:rPr>
          <w:instrText xml:space="preserve"> PAGEREF _Toc532914945 \h </w:instrText>
        </w:r>
        <w:r w:rsidR="000E0DD4">
          <w:rPr>
            <w:webHidden/>
          </w:rPr>
        </w:r>
        <w:r w:rsidR="000E0DD4">
          <w:rPr>
            <w:webHidden/>
          </w:rPr>
          <w:fldChar w:fldCharType="separate"/>
        </w:r>
        <w:r w:rsidR="009A203A">
          <w:rPr>
            <w:webHidden/>
          </w:rPr>
          <w:t>31</w:t>
        </w:r>
        <w:r w:rsidR="000E0DD4">
          <w:rPr>
            <w:webHidden/>
          </w:rPr>
          <w:fldChar w:fldCharType="end"/>
        </w:r>
      </w:hyperlink>
    </w:p>
    <w:p w14:paraId="6CE4D08D" w14:textId="77777777" w:rsidR="000E0DD4" w:rsidRDefault="00F23AB7">
      <w:pPr>
        <w:pStyle w:val="TOC2"/>
        <w:rPr>
          <w:sz w:val="22"/>
        </w:rPr>
      </w:pPr>
      <w:hyperlink w:anchor="_Toc532914946" w:history="1">
        <w:r w:rsidR="000E0DD4" w:rsidRPr="00052A1C">
          <w:rPr>
            <w:rStyle w:val="Hyperlink"/>
          </w:rPr>
          <w:t>3.7</w:t>
        </w:r>
        <w:r w:rsidR="000E0DD4">
          <w:rPr>
            <w:sz w:val="22"/>
          </w:rPr>
          <w:tab/>
        </w:r>
        <w:r w:rsidR="000E0DD4" w:rsidRPr="00052A1C">
          <w:rPr>
            <w:rStyle w:val="Hyperlink"/>
          </w:rPr>
          <w:t>The Emissions and Energy Reporting System is easy to use and effective</w:t>
        </w:r>
        <w:r w:rsidR="000E0DD4">
          <w:rPr>
            <w:webHidden/>
          </w:rPr>
          <w:tab/>
        </w:r>
        <w:r w:rsidR="000E0DD4">
          <w:rPr>
            <w:webHidden/>
          </w:rPr>
          <w:fldChar w:fldCharType="begin"/>
        </w:r>
        <w:r w:rsidR="000E0DD4">
          <w:rPr>
            <w:webHidden/>
          </w:rPr>
          <w:instrText xml:space="preserve"> PAGEREF _Toc532914946 \h </w:instrText>
        </w:r>
        <w:r w:rsidR="000E0DD4">
          <w:rPr>
            <w:webHidden/>
          </w:rPr>
        </w:r>
        <w:r w:rsidR="000E0DD4">
          <w:rPr>
            <w:webHidden/>
          </w:rPr>
          <w:fldChar w:fldCharType="separate"/>
        </w:r>
        <w:r w:rsidR="009A203A">
          <w:rPr>
            <w:webHidden/>
          </w:rPr>
          <w:t>32</w:t>
        </w:r>
        <w:r w:rsidR="000E0DD4">
          <w:rPr>
            <w:webHidden/>
          </w:rPr>
          <w:fldChar w:fldCharType="end"/>
        </w:r>
      </w:hyperlink>
    </w:p>
    <w:p w14:paraId="2121A524" w14:textId="77777777" w:rsidR="000E0DD4" w:rsidRDefault="00F23AB7" w:rsidP="000E0DD4">
      <w:pPr>
        <w:pStyle w:val="TOC2"/>
        <w:ind w:left="567" w:hanging="567"/>
        <w:rPr>
          <w:sz w:val="22"/>
        </w:rPr>
      </w:pPr>
      <w:hyperlink w:anchor="_Toc532914947" w:history="1">
        <w:r w:rsidR="000E0DD4" w:rsidRPr="00052A1C">
          <w:rPr>
            <w:rStyle w:val="Hyperlink"/>
          </w:rPr>
          <w:t>3.8</w:t>
        </w:r>
        <w:r w:rsidR="000E0DD4">
          <w:rPr>
            <w:sz w:val="22"/>
          </w:rPr>
          <w:tab/>
        </w:r>
        <w:r w:rsidR="000E0DD4" w:rsidRPr="00052A1C">
          <w:rPr>
            <w:rStyle w:val="Hyperlink"/>
          </w:rPr>
          <w:t>Helps companies better understand their own energy and emissions and meet other reporting requirements</w:t>
        </w:r>
        <w:r w:rsidR="000E0DD4">
          <w:rPr>
            <w:webHidden/>
          </w:rPr>
          <w:tab/>
        </w:r>
        <w:r w:rsidR="000E0DD4">
          <w:rPr>
            <w:webHidden/>
          </w:rPr>
          <w:fldChar w:fldCharType="begin"/>
        </w:r>
        <w:r w:rsidR="000E0DD4">
          <w:rPr>
            <w:webHidden/>
          </w:rPr>
          <w:instrText xml:space="preserve"> PAGEREF _Toc532914947 \h </w:instrText>
        </w:r>
        <w:r w:rsidR="000E0DD4">
          <w:rPr>
            <w:webHidden/>
          </w:rPr>
        </w:r>
        <w:r w:rsidR="000E0DD4">
          <w:rPr>
            <w:webHidden/>
          </w:rPr>
          <w:fldChar w:fldCharType="separate"/>
        </w:r>
        <w:r w:rsidR="009A203A">
          <w:rPr>
            <w:webHidden/>
          </w:rPr>
          <w:t>32</w:t>
        </w:r>
        <w:r w:rsidR="000E0DD4">
          <w:rPr>
            <w:webHidden/>
          </w:rPr>
          <w:fldChar w:fldCharType="end"/>
        </w:r>
      </w:hyperlink>
    </w:p>
    <w:p w14:paraId="22C9098E" w14:textId="77777777" w:rsidR="000E0DD4" w:rsidRDefault="00F23AB7">
      <w:pPr>
        <w:pStyle w:val="TOC2"/>
        <w:rPr>
          <w:sz w:val="22"/>
        </w:rPr>
      </w:pPr>
      <w:hyperlink w:anchor="_Toc532914948" w:history="1">
        <w:r w:rsidR="000E0DD4" w:rsidRPr="00052A1C">
          <w:rPr>
            <w:rStyle w:val="Hyperlink"/>
          </w:rPr>
          <w:t>3.9</w:t>
        </w:r>
        <w:r w:rsidR="000E0DD4">
          <w:rPr>
            <w:sz w:val="22"/>
          </w:rPr>
          <w:tab/>
        </w:r>
        <w:r w:rsidR="000E0DD4" w:rsidRPr="00052A1C">
          <w:rPr>
            <w:rStyle w:val="Hyperlink"/>
          </w:rPr>
          <w:t>Informs investors and other decision-makers</w:t>
        </w:r>
        <w:r w:rsidR="000E0DD4">
          <w:rPr>
            <w:webHidden/>
          </w:rPr>
          <w:tab/>
        </w:r>
        <w:r w:rsidR="000E0DD4">
          <w:rPr>
            <w:webHidden/>
          </w:rPr>
          <w:fldChar w:fldCharType="begin"/>
        </w:r>
        <w:r w:rsidR="000E0DD4">
          <w:rPr>
            <w:webHidden/>
          </w:rPr>
          <w:instrText xml:space="preserve"> PAGEREF _Toc532914948 \h </w:instrText>
        </w:r>
        <w:r w:rsidR="000E0DD4">
          <w:rPr>
            <w:webHidden/>
          </w:rPr>
        </w:r>
        <w:r w:rsidR="000E0DD4">
          <w:rPr>
            <w:webHidden/>
          </w:rPr>
          <w:fldChar w:fldCharType="separate"/>
        </w:r>
        <w:r w:rsidR="009A203A">
          <w:rPr>
            <w:webHidden/>
          </w:rPr>
          <w:t>33</w:t>
        </w:r>
        <w:r w:rsidR="000E0DD4">
          <w:rPr>
            <w:webHidden/>
          </w:rPr>
          <w:fldChar w:fldCharType="end"/>
        </w:r>
      </w:hyperlink>
    </w:p>
    <w:p w14:paraId="15805E43" w14:textId="77777777" w:rsidR="000E0DD4" w:rsidRDefault="00F23AB7">
      <w:pPr>
        <w:pStyle w:val="TOC1"/>
        <w:rPr>
          <w:b w:val="0"/>
          <w:caps w:val="0"/>
          <w:color w:val="auto"/>
        </w:rPr>
      </w:pPr>
      <w:hyperlink w:anchor="_Toc532914949" w:history="1">
        <w:r w:rsidR="000E0DD4" w:rsidRPr="00052A1C">
          <w:rPr>
            <w:rStyle w:val="Hyperlink"/>
          </w:rPr>
          <w:t>4</w:t>
        </w:r>
        <w:r w:rsidR="000E0DD4">
          <w:rPr>
            <w:b w:val="0"/>
            <w:caps w:val="0"/>
            <w:color w:val="auto"/>
          </w:rPr>
          <w:tab/>
        </w:r>
        <w:r w:rsidR="000E0DD4" w:rsidRPr="00052A1C">
          <w:rPr>
            <w:rStyle w:val="Hyperlink"/>
          </w:rPr>
          <w:t>The reporting scheme: What could be improved?</w:t>
        </w:r>
        <w:r w:rsidR="000E0DD4">
          <w:rPr>
            <w:webHidden/>
          </w:rPr>
          <w:tab/>
        </w:r>
        <w:r w:rsidR="000E0DD4">
          <w:rPr>
            <w:webHidden/>
          </w:rPr>
          <w:fldChar w:fldCharType="begin"/>
        </w:r>
        <w:r w:rsidR="000E0DD4">
          <w:rPr>
            <w:webHidden/>
          </w:rPr>
          <w:instrText xml:space="preserve"> PAGEREF _Toc532914949 \h </w:instrText>
        </w:r>
        <w:r w:rsidR="000E0DD4">
          <w:rPr>
            <w:webHidden/>
          </w:rPr>
        </w:r>
        <w:r w:rsidR="000E0DD4">
          <w:rPr>
            <w:webHidden/>
          </w:rPr>
          <w:fldChar w:fldCharType="separate"/>
        </w:r>
        <w:r w:rsidR="009A203A">
          <w:rPr>
            <w:webHidden/>
          </w:rPr>
          <w:t>35</w:t>
        </w:r>
        <w:r w:rsidR="000E0DD4">
          <w:rPr>
            <w:webHidden/>
          </w:rPr>
          <w:fldChar w:fldCharType="end"/>
        </w:r>
      </w:hyperlink>
    </w:p>
    <w:p w14:paraId="78ACE35D" w14:textId="77777777" w:rsidR="000E0DD4" w:rsidRDefault="00F23AB7">
      <w:pPr>
        <w:pStyle w:val="TOC2"/>
        <w:rPr>
          <w:sz w:val="22"/>
        </w:rPr>
      </w:pPr>
      <w:hyperlink w:anchor="_Toc532914950" w:history="1">
        <w:r w:rsidR="000E0DD4" w:rsidRPr="00052A1C">
          <w:rPr>
            <w:rStyle w:val="Hyperlink"/>
          </w:rPr>
          <w:t>4.1</w:t>
        </w:r>
        <w:r w:rsidR="000E0DD4">
          <w:rPr>
            <w:sz w:val="22"/>
          </w:rPr>
          <w:tab/>
        </w:r>
        <w:r w:rsidR="000E0DD4" w:rsidRPr="00052A1C">
          <w:rPr>
            <w:rStyle w:val="Hyperlink"/>
          </w:rPr>
          <w:t>Streamlining government requirements for emissions and energy data</w:t>
        </w:r>
        <w:r w:rsidR="000E0DD4">
          <w:rPr>
            <w:webHidden/>
          </w:rPr>
          <w:tab/>
        </w:r>
        <w:r w:rsidR="000E0DD4">
          <w:rPr>
            <w:webHidden/>
          </w:rPr>
          <w:fldChar w:fldCharType="begin"/>
        </w:r>
        <w:r w:rsidR="000E0DD4">
          <w:rPr>
            <w:webHidden/>
          </w:rPr>
          <w:instrText xml:space="preserve"> PAGEREF _Toc532914950 \h </w:instrText>
        </w:r>
        <w:r w:rsidR="000E0DD4">
          <w:rPr>
            <w:webHidden/>
          </w:rPr>
        </w:r>
        <w:r w:rsidR="000E0DD4">
          <w:rPr>
            <w:webHidden/>
          </w:rPr>
          <w:fldChar w:fldCharType="separate"/>
        </w:r>
        <w:r w:rsidR="009A203A">
          <w:rPr>
            <w:webHidden/>
          </w:rPr>
          <w:t>35</w:t>
        </w:r>
        <w:r w:rsidR="000E0DD4">
          <w:rPr>
            <w:webHidden/>
          </w:rPr>
          <w:fldChar w:fldCharType="end"/>
        </w:r>
      </w:hyperlink>
    </w:p>
    <w:p w14:paraId="1B9B5B60" w14:textId="77777777" w:rsidR="000E0DD4" w:rsidRDefault="00F23AB7">
      <w:pPr>
        <w:pStyle w:val="TOC2"/>
        <w:rPr>
          <w:sz w:val="22"/>
        </w:rPr>
      </w:pPr>
      <w:hyperlink w:anchor="_Toc532914951" w:history="1">
        <w:r w:rsidR="000E0DD4" w:rsidRPr="00052A1C">
          <w:rPr>
            <w:rStyle w:val="Hyperlink"/>
          </w:rPr>
          <w:t>4.2</w:t>
        </w:r>
        <w:r w:rsidR="000E0DD4">
          <w:rPr>
            <w:sz w:val="22"/>
          </w:rPr>
          <w:tab/>
        </w:r>
        <w:r w:rsidR="000E0DD4" w:rsidRPr="00052A1C">
          <w:rPr>
            <w:rStyle w:val="Hyperlink"/>
          </w:rPr>
          <w:t>Make the Emissions and Energy Reporting System more efficient</w:t>
        </w:r>
        <w:r w:rsidR="000E0DD4">
          <w:rPr>
            <w:webHidden/>
          </w:rPr>
          <w:tab/>
        </w:r>
        <w:r w:rsidR="000E0DD4">
          <w:rPr>
            <w:webHidden/>
          </w:rPr>
          <w:fldChar w:fldCharType="begin"/>
        </w:r>
        <w:r w:rsidR="000E0DD4">
          <w:rPr>
            <w:webHidden/>
          </w:rPr>
          <w:instrText xml:space="preserve"> PAGEREF _Toc532914951 \h </w:instrText>
        </w:r>
        <w:r w:rsidR="000E0DD4">
          <w:rPr>
            <w:webHidden/>
          </w:rPr>
        </w:r>
        <w:r w:rsidR="000E0DD4">
          <w:rPr>
            <w:webHidden/>
          </w:rPr>
          <w:fldChar w:fldCharType="separate"/>
        </w:r>
        <w:r w:rsidR="009A203A">
          <w:rPr>
            <w:webHidden/>
          </w:rPr>
          <w:t>39</w:t>
        </w:r>
        <w:r w:rsidR="000E0DD4">
          <w:rPr>
            <w:webHidden/>
          </w:rPr>
          <w:fldChar w:fldCharType="end"/>
        </w:r>
      </w:hyperlink>
    </w:p>
    <w:p w14:paraId="320D3DA1" w14:textId="77777777" w:rsidR="000E0DD4" w:rsidRDefault="00F23AB7">
      <w:pPr>
        <w:pStyle w:val="TOC2"/>
        <w:rPr>
          <w:sz w:val="22"/>
        </w:rPr>
      </w:pPr>
      <w:hyperlink w:anchor="_Toc532914952" w:history="1">
        <w:r w:rsidR="000E0DD4" w:rsidRPr="00052A1C">
          <w:rPr>
            <w:rStyle w:val="Hyperlink"/>
          </w:rPr>
          <w:t>4.3</w:t>
        </w:r>
        <w:r w:rsidR="000E0DD4">
          <w:rPr>
            <w:sz w:val="22"/>
          </w:rPr>
          <w:tab/>
        </w:r>
        <w:r w:rsidR="000E0DD4" w:rsidRPr="00052A1C">
          <w:rPr>
            <w:rStyle w:val="Hyperlink"/>
          </w:rPr>
          <w:t>Improve the measurement determination update process</w:t>
        </w:r>
        <w:r w:rsidR="000E0DD4">
          <w:rPr>
            <w:webHidden/>
          </w:rPr>
          <w:tab/>
        </w:r>
        <w:r w:rsidR="000E0DD4">
          <w:rPr>
            <w:webHidden/>
          </w:rPr>
          <w:fldChar w:fldCharType="begin"/>
        </w:r>
        <w:r w:rsidR="000E0DD4">
          <w:rPr>
            <w:webHidden/>
          </w:rPr>
          <w:instrText xml:space="preserve"> PAGEREF _Toc532914952 \h </w:instrText>
        </w:r>
        <w:r w:rsidR="000E0DD4">
          <w:rPr>
            <w:webHidden/>
          </w:rPr>
        </w:r>
        <w:r w:rsidR="000E0DD4">
          <w:rPr>
            <w:webHidden/>
          </w:rPr>
          <w:fldChar w:fldCharType="separate"/>
        </w:r>
        <w:r w:rsidR="009A203A">
          <w:rPr>
            <w:webHidden/>
          </w:rPr>
          <w:t>41</w:t>
        </w:r>
        <w:r w:rsidR="000E0DD4">
          <w:rPr>
            <w:webHidden/>
          </w:rPr>
          <w:fldChar w:fldCharType="end"/>
        </w:r>
      </w:hyperlink>
    </w:p>
    <w:p w14:paraId="41021577" w14:textId="5B44D91B" w:rsidR="000E0DD4" w:rsidRDefault="00F23AB7" w:rsidP="000E0DD4">
      <w:pPr>
        <w:pStyle w:val="TOC2"/>
        <w:ind w:left="567" w:hanging="567"/>
        <w:rPr>
          <w:sz w:val="22"/>
        </w:rPr>
      </w:pPr>
      <w:hyperlink w:anchor="_Toc532914953" w:history="1">
        <w:r w:rsidR="000E0DD4" w:rsidRPr="00052A1C">
          <w:rPr>
            <w:rStyle w:val="Hyperlink"/>
          </w:rPr>
          <w:t>4.4</w:t>
        </w:r>
        <w:r w:rsidR="000E0DD4">
          <w:rPr>
            <w:sz w:val="22"/>
          </w:rPr>
          <w:tab/>
        </w:r>
        <w:r w:rsidR="000E0DD4" w:rsidRPr="00052A1C">
          <w:rPr>
            <w:rStyle w:val="Hyperlink"/>
          </w:rPr>
          <w:t xml:space="preserve">Reducing costs associated with reporting emissions and energy from small sources—materiality </w:t>
        </w:r>
        <w:r w:rsidR="000E0DD4">
          <w:rPr>
            <w:rStyle w:val="Hyperlink"/>
          </w:rPr>
          <w:br/>
        </w:r>
        <w:r w:rsidR="000E0DD4" w:rsidRPr="00052A1C">
          <w:rPr>
            <w:rStyle w:val="Hyperlink"/>
          </w:rPr>
          <w:t>issues</w:t>
        </w:r>
        <w:r w:rsidR="000E0DD4">
          <w:rPr>
            <w:webHidden/>
          </w:rPr>
          <w:tab/>
        </w:r>
        <w:r w:rsidR="000E0DD4">
          <w:rPr>
            <w:webHidden/>
          </w:rPr>
          <w:tab/>
        </w:r>
        <w:r w:rsidR="000E0DD4">
          <w:rPr>
            <w:webHidden/>
          </w:rPr>
          <w:fldChar w:fldCharType="begin"/>
        </w:r>
        <w:r w:rsidR="000E0DD4">
          <w:rPr>
            <w:webHidden/>
          </w:rPr>
          <w:instrText xml:space="preserve"> PAGEREF _Toc532914953 \h </w:instrText>
        </w:r>
        <w:r w:rsidR="000E0DD4">
          <w:rPr>
            <w:webHidden/>
          </w:rPr>
        </w:r>
        <w:r w:rsidR="000E0DD4">
          <w:rPr>
            <w:webHidden/>
          </w:rPr>
          <w:fldChar w:fldCharType="separate"/>
        </w:r>
        <w:r w:rsidR="009A203A">
          <w:rPr>
            <w:webHidden/>
          </w:rPr>
          <w:t>42</w:t>
        </w:r>
        <w:r w:rsidR="000E0DD4">
          <w:rPr>
            <w:webHidden/>
          </w:rPr>
          <w:fldChar w:fldCharType="end"/>
        </w:r>
      </w:hyperlink>
    </w:p>
    <w:p w14:paraId="07FE571E" w14:textId="77777777" w:rsidR="000E0DD4" w:rsidRDefault="00F23AB7">
      <w:pPr>
        <w:pStyle w:val="TOC2"/>
        <w:rPr>
          <w:sz w:val="22"/>
        </w:rPr>
      </w:pPr>
      <w:hyperlink w:anchor="_Toc532914954" w:history="1">
        <w:r w:rsidR="000E0DD4" w:rsidRPr="00052A1C">
          <w:rPr>
            <w:rStyle w:val="Hyperlink"/>
          </w:rPr>
          <w:t>4.5</w:t>
        </w:r>
        <w:r w:rsidR="000E0DD4">
          <w:rPr>
            <w:sz w:val="22"/>
          </w:rPr>
          <w:tab/>
        </w:r>
        <w:r w:rsidR="000E0DD4" w:rsidRPr="00052A1C">
          <w:rPr>
            <w:rStyle w:val="Hyperlink"/>
          </w:rPr>
          <w:t>Enhance communication on energy data use</w:t>
        </w:r>
        <w:r w:rsidR="000E0DD4">
          <w:rPr>
            <w:webHidden/>
          </w:rPr>
          <w:tab/>
        </w:r>
        <w:r w:rsidR="000E0DD4">
          <w:rPr>
            <w:webHidden/>
          </w:rPr>
          <w:fldChar w:fldCharType="begin"/>
        </w:r>
        <w:r w:rsidR="000E0DD4">
          <w:rPr>
            <w:webHidden/>
          </w:rPr>
          <w:instrText xml:space="preserve"> PAGEREF _Toc532914954 \h </w:instrText>
        </w:r>
        <w:r w:rsidR="000E0DD4">
          <w:rPr>
            <w:webHidden/>
          </w:rPr>
        </w:r>
        <w:r w:rsidR="000E0DD4">
          <w:rPr>
            <w:webHidden/>
          </w:rPr>
          <w:fldChar w:fldCharType="separate"/>
        </w:r>
        <w:r w:rsidR="009A203A">
          <w:rPr>
            <w:webHidden/>
          </w:rPr>
          <w:t>45</w:t>
        </w:r>
        <w:r w:rsidR="000E0DD4">
          <w:rPr>
            <w:webHidden/>
          </w:rPr>
          <w:fldChar w:fldCharType="end"/>
        </w:r>
      </w:hyperlink>
    </w:p>
    <w:p w14:paraId="4360C80E" w14:textId="77777777" w:rsidR="000E0DD4" w:rsidRDefault="00F23AB7">
      <w:pPr>
        <w:pStyle w:val="TOC2"/>
        <w:rPr>
          <w:sz w:val="22"/>
        </w:rPr>
      </w:pPr>
      <w:hyperlink w:anchor="_Toc532914955" w:history="1">
        <w:r w:rsidR="000E0DD4" w:rsidRPr="00052A1C">
          <w:rPr>
            <w:rStyle w:val="Hyperlink"/>
          </w:rPr>
          <w:t>4.6</w:t>
        </w:r>
        <w:r w:rsidR="000E0DD4">
          <w:rPr>
            <w:sz w:val="22"/>
          </w:rPr>
          <w:tab/>
        </w:r>
        <w:r w:rsidR="000E0DD4" w:rsidRPr="00052A1C">
          <w:rPr>
            <w:rStyle w:val="Hyperlink"/>
          </w:rPr>
          <w:t>Expanding what is reported</w:t>
        </w:r>
        <w:r w:rsidR="000E0DD4">
          <w:rPr>
            <w:webHidden/>
          </w:rPr>
          <w:tab/>
        </w:r>
        <w:r w:rsidR="000E0DD4">
          <w:rPr>
            <w:webHidden/>
          </w:rPr>
          <w:fldChar w:fldCharType="begin"/>
        </w:r>
        <w:r w:rsidR="000E0DD4">
          <w:rPr>
            <w:webHidden/>
          </w:rPr>
          <w:instrText xml:space="preserve"> PAGEREF _Toc532914955 \h </w:instrText>
        </w:r>
        <w:r w:rsidR="000E0DD4">
          <w:rPr>
            <w:webHidden/>
          </w:rPr>
        </w:r>
        <w:r w:rsidR="000E0DD4">
          <w:rPr>
            <w:webHidden/>
          </w:rPr>
          <w:fldChar w:fldCharType="separate"/>
        </w:r>
        <w:r w:rsidR="009A203A">
          <w:rPr>
            <w:webHidden/>
          </w:rPr>
          <w:t>46</w:t>
        </w:r>
        <w:r w:rsidR="000E0DD4">
          <w:rPr>
            <w:webHidden/>
          </w:rPr>
          <w:fldChar w:fldCharType="end"/>
        </w:r>
      </w:hyperlink>
    </w:p>
    <w:p w14:paraId="72E796BA" w14:textId="77777777" w:rsidR="000E0DD4" w:rsidRDefault="00F23AB7">
      <w:pPr>
        <w:pStyle w:val="TOC2"/>
        <w:rPr>
          <w:sz w:val="22"/>
        </w:rPr>
      </w:pPr>
      <w:hyperlink w:anchor="_Toc532914956" w:history="1">
        <w:r w:rsidR="000E0DD4" w:rsidRPr="00052A1C">
          <w:rPr>
            <w:rStyle w:val="Hyperlink"/>
          </w:rPr>
          <w:t>4.7</w:t>
        </w:r>
        <w:r w:rsidR="000E0DD4">
          <w:rPr>
            <w:sz w:val="22"/>
          </w:rPr>
          <w:tab/>
        </w:r>
        <w:r w:rsidR="000E0DD4" w:rsidRPr="00052A1C">
          <w:rPr>
            <w:rStyle w:val="Hyperlink"/>
          </w:rPr>
          <w:t>Enabling voluntary reporting</w:t>
        </w:r>
        <w:r w:rsidR="000E0DD4">
          <w:rPr>
            <w:webHidden/>
          </w:rPr>
          <w:tab/>
        </w:r>
        <w:r w:rsidR="000E0DD4">
          <w:rPr>
            <w:webHidden/>
          </w:rPr>
          <w:fldChar w:fldCharType="begin"/>
        </w:r>
        <w:r w:rsidR="000E0DD4">
          <w:rPr>
            <w:webHidden/>
          </w:rPr>
          <w:instrText xml:space="preserve"> PAGEREF _Toc532914956 \h </w:instrText>
        </w:r>
        <w:r w:rsidR="000E0DD4">
          <w:rPr>
            <w:webHidden/>
          </w:rPr>
        </w:r>
        <w:r w:rsidR="000E0DD4">
          <w:rPr>
            <w:webHidden/>
          </w:rPr>
          <w:fldChar w:fldCharType="separate"/>
        </w:r>
        <w:r w:rsidR="009A203A">
          <w:rPr>
            <w:webHidden/>
          </w:rPr>
          <w:t>55</w:t>
        </w:r>
        <w:r w:rsidR="000E0DD4">
          <w:rPr>
            <w:webHidden/>
          </w:rPr>
          <w:fldChar w:fldCharType="end"/>
        </w:r>
      </w:hyperlink>
    </w:p>
    <w:p w14:paraId="398E4F03" w14:textId="77777777" w:rsidR="000E0DD4" w:rsidRDefault="00F23AB7">
      <w:pPr>
        <w:pStyle w:val="TOC2"/>
        <w:rPr>
          <w:sz w:val="22"/>
        </w:rPr>
      </w:pPr>
      <w:hyperlink w:anchor="_Toc532914957" w:history="1">
        <w:r w:rsidR="000E0DD4" w:rsidRPr="00052A1C">
          <w:rPr>
            <w:rStyle w:val="Hyperlink"/>
          </w:rPr>
          <w:t>4.8</w:t>
        </w:r>
        <w:r w:rsidR="000E0DD4">
          <w:rPr>
            <w:sz w:val="22"/>
          </w:rPr>
          <w:tab/>
        </w:r>
        <w:r w:rsidR="000E0DD4" w:rsidRPr="00052A1C">
          <w:rPr>
            <w:rStyle w:val="Hyperlink"/>
          </w:rPr>
          <w:t>Improve the usefulness of the data for governments</w:t>
        </w:r>
        <w:r w:rsidR="000E0DD4">
          <w:rPr>
            <w:webHidden/>
          </w:rPr>
          <w:tab/>
        </w:r>
        <w:r w:rsidR="000E0DD4">
          <w:rPr>
            <w:webHidden/>
          </w:rPr>
          <w:fldChar w:fldCharType="begin"/>
        </w:r>
        <w:r w:rsidR="000E0DD4">
          <w:rPr>
            <w:webHidden/>
          </w:rPr>
          <w:instrText xml:space="preserve"> PAGEREF _Toc532914957 \h </w:instrText>
        </w:r>
        <w:r w:rsidR="000E0DD4">
          <w:rPr>
            <w:webHidden/>
          </w:rPr>
        </w:r>
        <w:r w:rsidR="000E0DD4">
          <w:rPr>
            <w:webHidden/>
          </w:rPr>
          <w:fldChar w:fldCharType="separate"/>
        </w:r>
        <w:r w:rsidR="009A203A">
          <w:rPr>
            <w:webHidden/>
          </w:rPr>
          <w:t>56</w:t>
        </w:r>
        <w:r w:rsidR="000E0DD4">
          <w:rPr>
            <w:webHidden/>
          </w:rPr>
          <w:fldChar w:fldCharType="end"/>
        </w:r>
      </w:hyperlink>
    </w:p>
    <w:p w14:paraId="237A003B" w14:textId="7B49CDFA" w:rsidR="000E0DD4" w:rsidRDefault="00F23AB7">
      <w:pPr>
        <w:pStyle w:val="TOC2"/>
        <w:rPr>
          <w:sz w:val="22"/>
        </w:rPr>
      </w:pPr>
      <w:hyperlink w:anchor="_Toc532914958" w:history="1">
        <w:r w:rsidR="000E0DD4" w:rsidRPr="00052A1C">
          <w:rPr>
            <w:rStyle w:val="Hyperlink"/>
          </w:rPr>
          <w:t>4.9</w:t>
        </w:r>
        <w:r w:rsidR="000E0DD4">
          <w:rPr>
            <w:sz w:val="22"/>
          </w:rPr>
          <w:tab/>
        </w:r>
        <w:r w:rsidR="000E0DD4" w:rsidRPr="00052A1C">
          <w:rPr>
            <w:rStyle w:val="Hyperlink"/>
          </w:rPr>
          <w:t>Improve public access to the data</w:t>
        </w:r>
        <w:r w:rsidR="000E0DD4">
          <w:rPr>
            <w:webHidden/>
          </w:rPr>
          <w:tab/>
        </w:r>
        <w:r w:rsidR="000E0DD4">
          <w:rPr>
            <w:webHidden/>
          </w:rPr>
          <w:fldChar w:fldCharType="begin"/>
        </w:r>
        <w:r w:rsidR="000E0DD4">
          <w:rPr>
            <w:webHidden/>
          </w:rPr>
          <w:instrText xml:space="preserve"> PAGEREF _Toc532914958 \h </w:instrText>
        </w:r>
        <w:r w:rsidR="000E0DD4">
          <w:rPr>
            <w:webHidden/>
          </w:rPr>
        </w:r>
        <w:r w:rsidR="000E0DD4">
          <w:rPr>
            <w:webHidden/>
          </w:rPr>
          <w:fldChar w:fldCharType="separate"/>
        </w:r>
        <w:r w:rsidR="009A203A">
          <w:rPr>
            <w:webHidden/>
          </w:rPr>
          <w:t>57</w:t>
        </w:r>
        <w:r w:rsidR="000E0DD4">
          <w:rPr>
            <w:webHidden/>
          </w:rPr>
          <w:fldChar w:fldCharType="end"/>
        </w:r>
      </w:hyperlink>
      <w:r w:rsidR="000E0DD4">
        <w:rPr>
          <w:rStyle w:val="Hyperlink"/>
        </w:rPr>
        <w:br/>
      </w:r>
    </w:p>
    <w:p w14:paraId="1A679E9E" w14:textId="77777777" w:rsidR="000E0DD4" w:rsidRDefault="00F23AB7">
      <w:pPr>
        <w:pStyle w:val="TOC1"/>
        <w:rPr>
          <w:b w:val="0"/>
          <w:caps w:val="0"/>
          <w:color w:val="auto"/>
        </w:rPr>
      </w:pPr>
      <w:hyperlink w:anchor="_Toc532914959" w:history="1">
        <w:r w:rsidR="000E0DD4" w:rsidRPr="00052A1C">
          <w:rPr>
            <w:rStyle w:val="Hyperlink"/>
          </w:rPr>
          <w:t>5</w:t>
        </w:r>
        <w:r w:rsidR="000E0DD4">
          <w:rPr>
            <w:b w:val="0"/>
            <w:caps w:val="0"/>
            <w:color w:val="auto"/>
          </w:rPr>
          <w:tab/>
        </w:r>
        <w:r w:rsidR="000E0DD4" w:rsidRPr="00052A1C">
          <w:rPr>
            <w:rStyle w:val="Hyperlink"/>
          </w:rPr>
          <w:t>The safeguard mechanism</w:t>
        </w:r>
        <w:r w:rsidR="000E0DD4">
          <w:rPr>
            <w:webHidden/>
          </w:rPr>
          <w:tab/>
        </w:r>
        <w:r w:rsidR="000E0DD4">
          <w:rPr>
            <w:webHidden/>
          </w:rPr>
          <w:fldChar w:fldCharType="begin"/>
        </w:r>
        <w:r w:rsidR="000E0DD4">
          <w:rPr>
            <w:webHidden/>
          </w:rPr>
          <w:instrText xml:space="preserve"> PAGEREF _Toc532914959 \h </w:instrText>
        </w:r>
        <w:r w:rsidR="000E0DD4">
          <w:rPr>
            <w:webHidden/>
          </w:rPr>
        </w:r>
        <w:r w:rsidR="000E0DD4">
          <w:rPr>
            <w:webHidden/>
          </w:rPr>
          <w:fldChar w:fldCharType="separate"/>
        </w:r>
        <w:r w:rsidR="009A203A">
          <w:rPr>
            <w:webHidden/>
          </w:rPr>
          <w:t>59</w:t>
        </w:r>
        <w:r w:rsidR="000E0DD4">
          <w:rPr>
            <w:webHidden/>
          </w:rPr>
          <w:fldChar w:fldCharType="end"/>
        </w:r>
      </w:hyperlink>
    </w:p>
    <w:p w14:paraId="143CDC4F" w14:textId="77777777" w:rsidR="000E0DD4" w:rsidRDefault="00F23AB7">
      <w:pPr>
        <w:pStyle w:val="TOC2"/>
        <w:rPr>
          <w:sz w:val="22"/>
        </w:rPr>
      </w:pPr>
      <w:hyperlink w:anchor="_Toc532914960" w:history="1">
        <w:r w:rsidR="000E0DD4" w:rsidRPr="00052A1C">
          <w:rPr>
            <w:rStyle w:val="Hyperlink"/>
          </w:rPr>
          <w:t>5.1</w:t>
        </w:r>
        <w:r w:rsidR="000E0DD4">
          <w:rPr>
            <w:sz w:val="22"/>
          </w:rPr>
          <w:tab/>
        </w:r>
        <w:r w:rsidR="000E0DD4" w:rsidRPr="00052A1C">
          <w:rPr>
            <w:rStyle w:val="Hyperlink"/>
          </w:rPr>
          <w:t>Working as intended</w:t>
        </w:r>
        <w:r w:rsidR="000E0DD4">
          <w:rPr>
            <w:webHidden/>
          </w:rPr>
          <w:tab/>
        </w:r>
        <w:r w:rsidR="000E0DD4">
          <w:rPr>
            <w:webHidden/>
          </w:rPr>
          <w:fldChar w:fldCharType="begin"/>
        </w:r>
        <w:r w:rsidR="000E0DD4">
          <w:rPr>
            <w:webHidden/>
          </w:rPr>
          <w:instrText xml:space="preserve"> PAGEREF _Toc532914960 \h </w:instrText>
        </w:r>
        <w:r w:rsidR="000E0DD4">
          <w:rPr>
            <w:webHidden/>
          </w:rPr>
        </w:r>
        <w:r w:rsidR="000E0DD4">
          <w:rPr>
            <w:webHidden/>
          </w:rPr>
          <w:fldChar w:fldCharType="separate"/>
        </w:r>
        <w:r w:rsidR="009A203A">
          <w:rPr>
            <w:webHidden/>
          </w:rPr>
          <w:t>59</w:t>
        </w:r>
        <w:r w:rsidR="000E0DD4">
          <w:rPr>
            <w:webHidden/>
          </w:rPr>
          <w:fldChar w:fldCharType="end"/>
        </w:r>
      </w:hyperlink>
    </w:p>
    <w:p w14:paraId="7DDC6C0E" w14:textId="77777777" w:rsidR="000E0DD4" w:rsidRDefault="00F23AB7">
      <w:pPr>
        <w:pStyle w:val="TOC2"/>
        <w:rPr>
          <w:sz w:val="22"/>
        </w:rPr>
      </w:pPr>
      <w:hyperlink w:anchor="_Toc532914961" w:history="1">
        <w:r w:rsidR="000E0DD4" w:rsidRPr="00052A1C">
          <w:rPr>
            <w:rStyle w:val="Hyperlink"/>
          </w:rPr>
          <w:t>5.2</w:t>
        </w:r>
        <w:r w:rsidR="000E0DD4">
          <w:rPr>
            <w:sz w:val="22"/>
          </w:rPr>
          <w:tab/>
        </w:r>
        <w:r w:rsidR="000E0DD4" w:rsidRPr="00052A1C">
          <w:rPr>
            <w:rStyle w:val="Hyperlink"/>
          </w:rPr>
          <w:t>What could be improved?</w:t>
        </w:r>
        <w:r w:rsidR="000E0DD4">
          <w:rPr>
            <w:webHidden/>
          </w:rPr>
          <w:tab/>
        </w:r>
        <w:r w:rsidR="000E0DD4">
          <w:rPr>
            <w:webHidden/>
          </w:rPr>
          <w:fldChar w:fldCharType="begin"/>
        </w:r>
        <w:r w:rsidR="000E0DD4">
          <w:rPr>
            <w:webHidden/>
          </w:rPr>
          <w:instrText xml:space="preserve"> PAGEREF _Toc532914961 \h </w:instrText>
        </w:r>
        <w:r w:rsidR="000E0DD4">
          <w:rPr>
            <w:webHidden/>
          </w:rPr>
        </w:r>
        <w:r w:rsidR="000E0DD4">
          <w:rPr>
            <w:webHidden/>
          </w:rPr>
          <w:fldChar w:fldCharType="separate"/>
        </w:r>
        <w:r w:rsidR="009A203A">
          <w:rPr>
            <w:webHidden/>
          </w:rPr>
          <w:t>60</w:t>
        </w:r>
        <w:r w:rsidR="000E0DD4">
          <w:rPr>
            <w:webHidden/>
          </w:rPr>
          <w:fldChar w:fldCharType="end"/>
        </w:r>
      </w:hyperlink>
    </w:p>
    <w:p w14:paraId="0C2A5F7B" w14:textId="77777777" w:rsidR="000E0DD4" w:rsidRDefault="00F23AB7">
      <w:pPr>
        <w:pStyle w:val="TOC1"/>
        <w:rPr>
          <w:b w:val="0"/>
          <w:caps w:val="0"/>
          <w:color w:val="auto"/>
        </w:rPr>
      </w:pPr>
      <w:hyperlink w:anchor="_Toc532914962" w:history="1">
        <w:r w:rsidR="000E0DD4" w:rsidRPr="00052A1C">
          <w:rPr>
            <w:rStyle w:val="Hyperlink"/>
          </w:rPr>
          <w:t>6</w:t>
        </w:r>
        <w:r w:rsidR="000E0DD4">
          <w:rPr>
            <w:b w:val="0"/>
            <w:caps w:val="0"/>
            <w:color w:val="auto"/>
          </w:rPr>
          <w:tab/>
        </w:r>
        <w:r w:rsidR="000E0DD4" w:rsidRPr="00052A1C">
          <w:rPr>
            <w:rStyle w:val="Hyperlink"/>
          </w:rPr>
          <w:t>Administration and compliance</w:t>
        </w:r>
        <w:r w:rsidR="000E0DD4">
          <w:rPr>
            <w:webHidden/>
          </w:rPr>
          <w:tab/>
        </w:r>
        <w:r w:rsidR="000E0DD4">
          <w:rPr>
            <w:webHidden/>
          </w:rPr>
          <w:fldChar w:fldCharType="begin"/>
        </w:r>
        <w:r w:rsidR="000E0DD4">
          <w:rPr>
            <w:webHidden/>
          </w:rPr>
          <w:instrText xml:space="preserve"> PAGEREF _Toc532914962 \h </w:instrText>
        </w:r>
        <w:r w:rsidR="000E0DD4">
          <w:rPr>
            <w:webHidden/>
          </w:rPr>
        </w:r>
        <w:r w:rsidR="000E0DD4">
          <w:rPr>
            <w:webHidden/>
          </w:rPr>
          <w:fldChar w:fldCharType="separate"/>
        </w:r>
        <w:r w:rsidR="009A203A">
          <w:rPr>
            <w:webHidden/>
          </w:rPr>
          <w:t>65</w:t>
        </w:r>
        <w:r w:rsidR="000E0DD4">
          <w:rPr>
            <w:webHidden/>
          </w:rPr>
          <w:fldChar w:fldCharType="end"/>
        </w:r>
      </w:hyperlink>
    </w:p>
    <w:p w14:paraId="509DB80A" w14:textId="77777777" w:rsidR="000E0DD4" w:rsidRDefault="00F23AB7">
      <w:pPr>
        <w:pStyle w:val="TOC2"/>
        <w:rPr>
          <w:sz w:val="22"/>
        </w:rPr>
      </w:pPr>
      <w:hyperlink w:anchor="_Toc532914963" w:history="1">
        <w:r w:rsidR="000E0DD4" w:rsidRPr="00052A1C">
          <w:rPr>
            <w:rStyle w:val="Hyperlink"/>
          </w:rPr>
          <w:t>6.1</w:t>
        </w:r>
        <w:r w:rsidR="000E0DD4">
          <w:rPr>
            <w:sz w:val="22"/>
          </w:rPr>
          <w:tab/>
        </w:r>
        <w:r w:rsidR="000E0DD4" w:rsidRPr="00052A1C">
          <w:rPr>
            <w:rStyle w:val="Hyperlink"/>
          </w:rPr>
          <w:t>Well-administered schemes</w:t>
        </w:r>
        <w:r w:rsidR="000E0DD4">
          <w:rPr>
            <w:webHidden/>
          </w:rPr>
          <w:tab/>
        </w:r>
        <w:r w:rsidR="000E0DD4">
          <w:rPr>
            <w:webHidden/>
          </w:rPr>
          <w:fldChar w:fldCharType="begin"/>
        </w:r>
        <w:r w:rsidR="000E0DD4">
          <w:rPr>
            <w:webHidden/>
          </w:rPr>
          <w:instrText xml:space="preserve"> PAGEREF _Toc532914963 \h </w:instrText>
        </w:r>
        <w:r w:rsidR="000E0DD4">
          <w:rPr>
            <w:webHidden/>
          </w:rPr>
        </w:r>
        <w:r w:rsidR="000E0DD4">
          <w:rPr>
            <w:webHidden/>
          </w:rPr>
          <w:fldChar w:fldCharType="separate"/>
        </w:r>
        <w:r w:rsidR="009A203A">
          <w:rPr>
            <w:webHidden/>
          </w:rPr>
          <w:t>65</w:t>
        </w:r>
        <w:r w:rsidR="000E0DD4">
          <w:rPr>
            <w:webHidden/>
          </w:rPr>
          <w:fldChar w:fldCharType="end"/>
        </w:r>
      </w:hyperlink>
    </w:p>
    <w:p w14:paraId="4DAA46FA" w14:textId="77777777" w:rsidR="000E0DD4" w:rsidRDefault="00F23AB7">
      <w:pPr>
        <w:pStyle w:val="TOC2"/>
        <w:rPr>
          <w:sz w:val="22"/>
        </w:rPr>
      </w:pPr>
      <w:hyperlink w:anchor="_Toc532914964" w:history="1">
        <w:r w:rsidR="000E0DD4" w:rsidRPr="00052A1C">
          <w:rPr>
            <w:rStyle w:val="Hyperlink"/>
          </w:rPr>
          <w:t>6.2</w:t>
        </w:r>
        <w:r w:rsidR="000E0DD4">
          <w:rPr>
            <w:sz w:val="22"/>
          </w:rPr>
          <w:tab/>
        </w:r>
        <w:r w:rsidR="000E0DD4" w:rsidRPr="00052A1C">
          <w:rPr>
            <w:rStyle w:val="Hyperlink"/>
          </w:rPr>
          <w:t>Compliance and enforcement under the legislation</w:t>
        </w:r>
        <w:r w:rsidR="000E0DD4">
          <w:rPr>
            <w:webHidden/>
          </w:rPr>
          <w:tab/>
        </w:r>
        <w:r w:rsidR="000E0DD4">
          <w:rPr>
            <w:webHidden/>
          </w:rPr>
          <w:fldChar w:fldCharType="begin"/>
        </w:r>
        <w:r w:rsidR="000E0DD4">
          <w:rPr>
            <w:webHidden/>
          </w:rPr>
          <w:instrText xml:space="preserve"> PAGEREF _Toc532914964 \h </w:instrText>
        </w:r>
        <w:r w:rsidR="000E0DD4">
          <w:rPr>
            <w:webHidden/>
          </w:rPr>
        </w:r>
        <w:r w:rsidR="000E0DD4">
          <w:rPr>
            <w:webHidden/>
          </w:rPr>
          <w:fldChar w:fldCharType="separate"/>
        </w:r>
        <w:r w:rsidR="009A203A">
          <w:rPr>
            <w:webHidden/>
          </w:rPr>
          <w:t>66</w:t>
        </w:r>
        <w:r w:rsidR="000E0DD4">
          <w:rPr>
            <w:webHidden/>
          </w:rPr>
          <w:fldChar w:fldCharType="end"/>
        </w:r>
      </w:hyperlink>
    </w:p>
    <w:p w14:paraId="1871BB84" w14:textId="77777777" w:rsidR="000E0DD4" w:rsidRDefault="00F23AB7">
      <w:pPr>
        <w:pStyle w:val="TOC1"/>
        <w:rPr>
          <w:b w:val="0"/>
          <w:caps w:val="0"/>
          <w:color w:val="auto"/>
        </w:rPr>
      </w:pPr>
      <w:hyperlink w:anchor="_Toc532914965" w:history="1">
        <w:r w:rsidR="000E0DD4" w:rsidRPr="00052A1C">
          <w:rPr>
            <w:rStyle w:val="Hyperlink"/>
          </w:rPr>
          <w:t>7</w:t>
        </w:r>
        <w:r w:rsidR="000E0DD4">
          <w:rPr>
            <w:b w:val="0"/>
            <w:caps w:val="0"/>
            <w:color w:val="auto"/>
          </w:rPr>
          <w:tab/>
        </w:r>
        <w:r w:rsidR="000E0DD4" w:rsidRPr="00052A1C">
          <w:rPr>
            <w:rStyle w:val="Hyperlink"/>
          </w:rPr>
          <w:t>The future of the safeguard mechanism</w:t>
        </w:r>
        <w:r w:rsidR="000E0DD4">
          <w:rPr>
            <w:webHidden/>
          </w:rPr>
          <w:tab/>
        </w:r>
        <w:r w:rsidR="000E0DD4">
          <w:rPr>
            <w:webHidden/>
          </w:rPr>
          <w:fldChar w:fldCharType="begin"/>
        </w:r>
        <w:r w:rsidR="000E0DD4">
          <w:rPr>
            <w:webHidden/>
          </w:rPr>
          <w:instrText xml:space="preserve"> PAGEREF _Toc532914965 \h </w:instrText>
        </w:r>
        <w:r w:rsidR="000E0DD4">
          <w:rPr>
            <w:webHidden/>
          </w:rPr>
        </w:r>
        <w:r w:rsidR="000E0DD4">
          <w:rPr>
            <w:webHidden/>
          </w:rPr>
          <w:fldChar w:fldCharType="separate"/>
        </w:r>
        <w:r w:rsidR="009A203A">
          <w:rPr>
            <w:webHidden/>
          </w:rPr>
          <w:t>70</w:t>
        </w:r>
        <w:r w:rsidR="000E0DD4">
          <w:rPr>
            <w:webHidden/>
          </w:rPr>
          <w:fldChar w:fldCharType="end"/>
        </w:r>
      </w:hyperlink>
    </w:p>
    <w:p w14:paraId="5E33707F" w14:textId="77777777" w:rsidR="000E0DD4" w:rsidRDefault="00F23AB7">
      <w:pPr>
        <w:pStyle w:val="TOC2"/>
        <w:rPr>
          <w:sz w:val="22"/>
        </w:rPr>
      </w:pPr>
      <w:hyperlink w:anchor="_Toc532914966" w:history="1">
        <w:r w:rsidR="000E0DD4" w:rsidRPr="00052A1C">
          <w:rPr>
            <w:rStyle w:val="Hyperlink"/>
          </w:rPr>
          <w:t>7.1</w:t>
        </w:r>
        <w:r w:rsidR="000E0DD4">
          <w:rPr>
            <w:sz w:val="22"/>
          </w:rPr>
          <w:tab/>
        </w:r>
        <w:r w:rsidR="000E0DD4" w:rsidRPr="00052A1C">
          <w:rPr>
            <w:rStyle w:val="Hyperlink"/>
          </w:rPr>
          <w:t>The safeguard mechanism’s objective</w:t>
        </w:r>
        <w:r w:rsidR="000E0DD4">
          <w:rPr>
            <w:webHidden/>
          </w:rPr>
          <w:tab/>
        </w:r>
        <w:r w:rsidR="000E0DD4">
          <w:rPr>
            <w:webHidden/>
          </w:rPr>
          <w:fldChar w:fldCharType="begin"/>
        </w:r>
        <w:r w:rsidR="000E0DD4">
          <w:rPr>
            <w:webHidden/>
          </w:rPr>
          <w:instrText xml:space="preserve"> PAGEREF _Toc532914966 \h </w:instrText>
        </w:r>
        <w:r w:rsidR="000E0DD4">
          <w:rPr>
            <w:webHidden/>
          </w:rPr>
        </w:r>
        <w:r w:rsidR="000E0DD4">
          <w:rPr>
            <w:webHidden/>
          </w:rPr>
          <w:fldChar w:fldCharType="separate"/>
        </w:r>
        <w:r w:rsidR="009A203A">
          <w:rPr>
            <w:webHidden/>
          </w:rPr>
          <w:t>70</w:t>
        </w:r>
        <w:r w:rsidR="000E0DD4">
          <w:rPr>
            <w:webHidden/>
          </w:rPr>
          <w:fldChar w:fldCharType="end"/>
        </w:r>
      </w:hyperlink>
    </w:p>
    <w:p w14:paraId="766FA528" w14:textId="77777777" w:rsidR="000E0DD4" w:rsidRDefault="00F23AB7">
      <w:pPr>
        <w:pStyle w:val="TOC2"/>
        <w:rPr>
          <w:sz w:val="22"/>
        </w:rPr>
      </w:pPr>
      <w:hyperlink w:anchor="_Toc532914967" w:history="1">
        <w:r w:rsidR="000E0DD4" w:rsidRPr="00052A1C">
          <w:rPr>
            <w:rStyle w:val="Hyperlink"/>
          </w:rPr>
          <w:t>7.2</w:t>
        </w:r>
        <w:r w:rsidR="000E0DD4">
          <w:rPr>
            <w:sz w:val="22"/>
          </w:rPr>
          <w:tab/>
        </w:r>
        <w:r w:rsidR="000E0DD4" w:rsidRPr="00052A1C">
          <w:rPr>
            <w:rStyle w:val="Hyperlink"/>
          </w:rPr>
          <w:t>The Authority’s previous advice</w:t>
        </w:r>
        <w:r w:rsidR="000E0DD4">
          <w:rPr>
            <w:webHidden/>
          </w:rPr>
          <w:tab/>
        </w:r>
        <w:r w:rsidR="000E0DD4">
          <w:rPr>
            <w:webHidden/>
          </w:rPr>
          <w:fldChar w:fldCharType="begin"/>
        </w:r>
        <w:r w:rsidR="000E0DD4">
          <w:rPr>
            <w:webHidden/>
          </w:rPr>
          <w:instrText xml:space="preserve"> PAGEREF _Toc532914967 \h </w:instrText>
        </w:r>
        <w:r w:rsidR="000E0DD4">
          <w:rPr>
            <w:webHidden/>
          </w:rPr>
        </w:r>
        <w:r w:rsidR="000E0DD4">
          <w:rPr>
            <w:webHidden/>
          </w:rPr>
          <w:fldChar w:fldCharType="separate"/>
        </w:r>
        <w:r w:rsidR="009A203A">
          <w:rPr>
            <w:webHidden/>
          </w:rPr>
          <w:t>70</w:t>
        </w:r>
        <w:r w:rsidR="000E0DD4">
          <w:rPr>
            <w:webHidden/>
          </w:rPr>
          <w:fldChar w:fldCharType="end"/>
        </w:r>
      </w:hyperlink>
    </w:p>
    <w:p w14:paraId="341FD463" w14:textId="77777777" w:rsidR="000E0DD4" w:rsidRDefault="00F23AB7">
      <w:pPr>
        <w:pStyle w:val="TOC2"/>
        <w:rPr>
          <w:sz w:val="22"/>
        </w:rPr>
      </w:pPr>
      <w:hyperlink w:anchor="_Toc532914968" w:history="1">
        <w:r w:rsidR="000E0DD4" w:rsidRPr="00052A1C">
          <w:rPr>
            <w:rStyle w:val="Hyperlink"/>
          </w:rPr>
          <w:t>7.3</w:t>
        </w:r>
        <w:r w:rsidR="000E0DD4">
          <w:rPr>
            <w:sz w:val="22"/>
          </w:rPr>
          <w:tab/>
        </w:r>
        <w:r w:rsidR="000E0DD4" w:rsidRPr="00052A1C">
          <w:rPr>
            <w:rStyle w:val="Hyperlink"/>
          </w:rPr>
          <w:t>Australia’s emissions for safeguard sectors</w:t>
        </w:r>
        <w:r w:rsidR="000E0DD4">
          <w:rPr>
            <w:webHidden/>
          </w:rPr>
          <w:tab/>
        </w:r>
        <w:r w:rsidR="000E0DD4">
          <w:rPr>
            <w:webHidden/>
          </w:rPr>
          <w:fldChar w:fldCharType="begin"/>
        </w:r>
        <w:r w:rsidR="000E0DD4">
          <w:rPr>
            <w:webHidden/>
          </w:rPr>
          <w:instrText xml:space="preserve"> PAGEREF _Toc532914968 \h </w:instrText>
        </w:r>
        <w:r w:rsidR="000E0DD4">
          <w:rPr>
            <w:webHidden/>
          </w:rPr>
        </w:r>
        <w:r w:rsidR="000E0DD4">
          <w:rPr>
            <w:webHidden/>
          </w:rPr>
          <w:fldChar w:fldCharType="separate"/>
        </w:r>
        <w:r w:rsidR="009A203A">
          <w:rPr>
            <w:webHidden/>
          </w:rPr>
          <w:t>71</w:t>
        </w:r>
        <w:r w:rsidR="000E0DD4">
          <w:rPr>
            <w:webHidden/>
          </w:rPr>
          <w:fldChar w:fldCharType="end"/>
        </w:r>
      </w:hyperlink>
    </w:p>
    <w:p w14:paraId="4423A053" w14:textId="77777777" w:rsidR="000E0DD4" w:rsidRDefault="00F23AB7">
      <w:pPr>
        <w:pStyle w:val="TOC2"/>
        <w:rPr>
          <w:sz w:val="22"/>
        </w:rPr>
      </w:pPr>
      <w:hyperlink w:anchor="_Toc532914969" w:history="1">
        <w:r w:rsidR="000E0DD4" w:rsidRPr="00052A1C">
          <w:rPr>
            <w:rStyle w:val="Hyperlink"/>
          </w:rPr>
          <w:t>7.4</w:t>
        </w:r>
        <w:r w:rsidR="000E0DD4">
          <w:rPr>
            <w:sz w:val="22"/>
          </w:rPr>
          <w:tab/>
        </w:r>
        <w:r w:rsidR="000E0DD4" w:rsidRPr="00052A1C">
          <w:rPr>
            <w:rStyle w:val="Hyperlink"/>
          </w:rPr>
          <w:t>The safeguard as a possible mechanism to reduce emissions</w:t>
        </w:r>
        <w:r w:rsidR="000E0DD4">
          <w:rPr>
            <w:webHidden/>
          </w:rPr>
          <w:tab/>
        </w:r>
        <w:r w:rsidR="000E0DD4">
          <w:rPr>
            <w:webHidden/>
          </w:rPr>
          <w:fldChar w:fldCharType="begin"/>
        </w:r>
        <w:r w:rsidR="000E0DD4">
          <w:rPr>
            <w:webHidden/>
          </w:rPr>
          <w:instrText xml:space="preserve"> PAGEREF _Toc532914969 \h </w:instrText>
        </w:r>
        <w:r w:rsidR="000E0DD4">
          <w:rPr>
            <w:webHidden/>
          </w:rPr>
        </w:r>
        <w:r w:rsidR="000E0DD4">
          <w:rPr>
            <w:webHidden/>
          </w:rPr>
          <w:fldChar w:fldCharType="separate"/>
        </w:r>
        <w:r w:rsidR="009A203A">
          <w:rPr>
            <w:webHidden/>
          </w:rPr>
          <w:t>72</w:t>
        </w:r>
        <w:r w:rsidR="000E0DD4">
          <w:rPr>
            <w:webHidden/>
          </w:rPr>
          <w:fldChar w:fldCharType="end"/>
        </w:r>
      </w:hyperlink>
    </w:p>
    <w:p w14:paraId="25CA5922" w14:textId="77777777" w:rsidR="000E0DD4" w:rsidRDefault="00F23AB7">
      <w:pPr>
        <w:pStyle w:val="TOC1"/>
        <w:rPr>
          <w:b w:val="0"/>
          <w:caps w:val="0"/>
          <w:color w:val="auto"/>
        </w:rPr>
      </w:pPr>
      <w:hyperlink w:anchor="_Toc532914970" w:history="1">
        <w:r w:rsidR="000E0DD4" w:rsidRPr="00052A1C">
          <w:rPr>
            <w:rStyle w:val="Hyperlink"/>
          </w:rPr>
          <w:t>8</w:t>
        </w:r>
        <w:r w:rsidR="000E0DD4">
          <w:rPr>
            <w:b w:val="0"/>
            <w:caps w:val="0"/>
            <w:color w:val="auto"/>
          </w:rPr>
          <w:tab/>
        </w:r>
        <w:r w:rsidR="000E0DD4" w:rsidRPr="00052A1C">
          <w:rPr>
            <w:rStyle w:val="Hyperlink"/>
          </w:rPr>
          <w:t>Conclusion</w:t>
        </w:r>
        <w:r w:rsidR="000E0DD4">
          <w:rPr>
            <w:webHidden/>
          </w:rPr>
          <w:tab/>
        </w:r>
        <w:r w:rsidR="000E0DD4">
          <w:rPr>
            <w:webHidden/>
          </w:rPr>
          <w:fldChar w:fldCharType="begin"/>
        </w:r>
        <w:r w:rsidR="000E0DD4">
          <w:rPr>
            <w:webHidden/>
          </w:rPr>
          <w:instrText xml:space="preserve"> PAGEREF _Toc532914970 \h </w:instrText>
        </w:r>
        <w:r w:rsidR="000E0DD4">
          <w:rPr>
            <w:webHidden/>
          </w:rPr>
        </w:r>
        <w:r w:rsidR="000E0DD4">
          <w:rPr>
            <w:webHidden/>
          </w:rPr>
          <w:fldChar w:fldCharType="separate"/>
        </w:r>
        <w:r w:rsidR="009A203A">
          <w:rPr>
            <w:webHidden/>
          </w:rPr>
          <w:t>74</w:t>
        </w:r>
        <w:r w:rsidR="000E0DD4">
          <w:rPr>
            <w:webHidden/>
          </w:rPr>
          <w:fldChar w:fldCharType="end"/>
        </w:r>
      </w:hyperlink>
    </w:p>
    <w:p w14:paraId="5ECA440B" w14:textId="77777777" w:rsidR="000E0DD4" w:rsidRDefault="00F23AB7">
      <w:pPr>
        <w:pStyle w:val="TOC1"/>
        <w:rPr>
          <w:b w:val="0"/>
          <w:caps w:val="0"/>
          <w:color w:val="auto"/>
        </w:rPr>
      </w:pPr>
      <w:hyperlink w:anchor="_Toc532914971" w:history="1">
        <w:r w:rsidR="000E0DD4" w:rsidRPr="00052A1C">
          <w:rPr>
            <w:rStyle w:val="Hyperlink"/>
          </w:rPr>
          <w:t>Appendix A.</w:t>
        </w:r>
        <w:r w:rsidR="000E0DD4">
          <w:rPr>
            <w:b w:val="0"/>
            <w:caps w:val="0"/>
            <w:color w:val="auto"/>
          </w:rPr>
          <w:tab/>
        </w:r>
        <w:r w:rsidR="000E0DD4" w:rsidRPr="00052A1C">
          <w:rPr>
            <w:rStyle w:val="Hyperlink"/>
          </w:rPr>
          <w:t>Guiding principles for this review</w:t>
        </w:r>
        <w:r w:rsidR="000E0DD4">
          <w:rPr>
            <w:webHidden/>
          </w:rPr>
          <w:tab/>
        </w:r>
        <w:r w:rsidR="000E0DD4">
          <w:rPr>
            <w:webHidden/>
          </w:rPr>
          <w:fldChar w:fldCharType="begin"/>
        </w:r>
        <w:r w:rsidR="000E0DD4">
          <w:rPr>
            <w:webHidden/>
          </w:rPr>
          <w:instrText xml:space="preserve"> PAGEREF _Toc532914971 \h </w:instrText>
        </w:r>
        <w:r w:rsidR="000E0DD4">
          <w:rPr>
            <w:webHidden/>
          </w:rPr>
        </w:r>
        <w:r w:rsidR="000E0DD4">
          <w:rPr>
            <w:webHidden/>
          </w:rPr>
          <w:fldChar w:fldCharType="separate"/>
        </w:r>
        <w:r w:rsidR="009A203A">
          <w:rPr>
            <w:webHidden/>
          </w:rPr>
          <w:t>75</w:t>
        </w:r>
        <w:r w:rsidR="000E0DD4">
          <w:rPr>
            <w:webHidden/>
          </w:rPr>
          <w:fldChar w:fldCharType="end"/>
        </w:r>
      </w:hyperlink>
    </w:p>
    <w:p w14:paraId="10A139E8" w14:textId="77777777" w:rsidR="000E0DD4" w:rsidRDefault="00F23AB7" w:rsidP="000E0DD4">
      <w:pPr>
        <w:pStyle w:val="TOC1"/>
        <w:ind w:left="1560" w:hanging="1560"/>
        <w:rPr>
          <w:b w:val="0"/>
          <w:caps w:val="0"/>
          <w:color w:val="auto"/>
        </w:rPr>
      </w:pPr>
      <w:hyperlink w:anchor="_Toc532914972" w:history="1">
        <w:r w:rsidR="000E0DD4" w:rsidRPr="00052A1C">
          <w:rPr>
            <w:rStyle w:val="Hyperlink"/>
          </w:rPr>
          <w:t>Appendix B.</w:t>
        </w:r>
        <w:r w:rsidR="000E0DD4">
          <w:rPr>
            <w:b w:val="0"/>
            <w:caps w:val="0"/>
            <w:color w:val="auto"/>
          </w:rPr>
          <w:tab/>
        </w:r>
        <w:r w:rsidR="000E0DD4" w:rsidRPr="00052A1C">
          <w:rPr>
            <w:rStyle w:val="Hyperlink"/>
          </w:rPr>
          <w:t>Overview of the costs and benefits of the Authority’s recommendations</w:t>
        </w:r>
        <w:r w:rsidR="000E0DD4">
          <w:rPr>
            <w:webHidden/>
          </w:rPr>
          <w:tab/>
        </w:r>
        <w:r w:rsidR="000E0DD4">
          <w:rPr>
            <w:webHidden/>
          </w:rPr>
          <w:fldChar w:fldCharType="begin"/>
        </w:r>
        <w:r w:rsidR="000E0DD4">
          <w:rPr>
            <w:webHidden/>
          </w:rPr>
          <w:instrText xml:space="preserve"> PAGEREF _Toc532914972 \h </w:instrText>
        </w:r>
        <w:r w:rsidR="000E0DD4">
          <w:rPr>
            <w:webHidden/>
          </w:rPr>
        </w:r>
        <w:r w:rsidR="000E0DD4">
          <w:rPr>
            <w:webHidden/>
          </w:rPr>
          <w:fldChar w:fldCharType="separate"/>
        </w:r>
        <w:r w:rsidR="009A203A">
          <w:rPr>
            <w:webHidden/>
          </w:rPr>
          <w:t>76</w:t>
        </w:r>
        <w:r w:rsidR="000E0DD4">
          <w:rPr>
            <w:webHidden/>
          </w:rPr>
          <w:fldChar w:fldCharType="end"/>
        </w:r>
      </w:hyperlink>
    </w:p>
    <w:p w14:paraId="14373FF1" w14:textId="77777777" w:rsidR="000E0DD4" w:rsidRDefault="00F23AB7">
      <w:pPr>
        <w:pStyle w:val="TOC1"/>
        <w:rPr>
          <w:b w:val="0"/>
          <w:caps w:val="0"/>
          <w:color w:val="auto"/>
        </w:rPr>
      </w:pPr>
      <w:hyperlink w:anchor="_Toc532914973" w:history="1">
        <w:r w:rsidR="000E0DD4" w:rsidRPr="00052A1C">
          <w:rPr>
            <w:rStyle w:val="Hyperlink"/>
          </w:rPr>
          <w:t>Appendix C.</w:t>
        </w:r>
        <w:r w:rsidR="000E0DD4">
          <w:rPr>
            <w:b w:val="0"/>
            <w:caps w:val="0"/>
            <w:color w:val="auto"/>
          </w:rPr>
          <w:tab/>
        </w:r>
        <w:r w:rsidR="000E0DD4" w:rsidRPr="00052A1C">
          <w:rPr>
            <w:rStyle w:val="Hyperlink"/>
          </w:rPr>
          <w:t>Public consultations</w:t>
        </w:r>
        <w:r w:rsidR="000E0DD4">
          <w:rPr>
            <w:webHidden/>
          </w:rPr>
          <w:tab/>
        </w:r>
        <w:r w:rsidR="000E0DD4">
          <w:rPr>
            <w:webHidden/>
          </w:rPr>
          <w:fldChar w:fldCharType="begin"/>
        </w:r>
        <w:r w:rsidR="000E0DD4">
          <w:rPr>
            <w:webHidden/>
          </w:rPr>
          <w:instrText xml:space="preserve"> PAGEREF _Toc532914973 \h </w:instrText>
        </w:r>
        <w:r w:rsidR="000E0DD4">
          <w:rPr>
            <w:webHidden/>
          </w:rPr>
        </w:r>
        <w:r w:rsidR="000E0DD4">
          <w:rPr>
            <w:webHidden/>
          </w:rPr>
          <w:fldChar w:fldCharType="separate"/>
        </w:r>
        <w:r w:rsidR="009A203A">
          <w:rPr>
            <w:webHidden/>
          </w:rPr>
          <w:t>83</w:t>
        </w:r>
        <w:r w:rsidR="000E0DD4">
          <w:rPr>
            <w:webHidden/>
          </w:rPr>
          <w:fldChar w:fldCharType="end"/>
        </w:r>
      </w:hyperlink>
    </w:p>
    <w:p w14:paraId="269CBF0B" w14:textId="77777777" w:rsidR="000E0DD4" w:rsidRDefault="00F23AB7">
      <w:pPr>
        <w:pStyle w:val="TOC1"/>
        <w:rPr>
          <w:b w:val="0"/>
          <w:caps w:val="0"/>
          <w:color w:val="auto"/>
        </w:rPr>
      </w:pPr>
      <w:hyperlink w:anchor="_Toc532914974" w:history="1">
        <w:r w:rsidR="000E0DD4" w:rsidRPr="00052A1C">
          <w:rPr>
            <w:rStyle w:val="Hyperlink"/>
          </w:rPr>
          <w:t>Appendix D.</w:t>
        </w:r>
        <w:r w:rsidR="000E0DD4">
          <w:rPr>
            <w:b w:val="0"/>
            <w:caps w:val="0"/>
            <w:color w:val="auto"/>
          </w:rPr>
          <w:tab/>
        </w:r>
        <w:r w:rsidR="000E0DD4" w:rsidRPr="00052A1C">
          <w:rPr>
            <w:rStyle w:val="Hyperlink"/>
          </w:rPr>
          <w:t>International reporting schemes</w:t>
        </w:r>
        <w:r w:rsidR="000E0DD4">
          <w:rPr>
            <w:webHidden/>
          </w:rPr>
          <w:tab/>
        </w:r>
        <w:r w:rsidR="000E0DD4">
          <w:rPr>
            <w:webHidden/>
          </w:rPr>
          <w:fldChar w:fldCharType="begin"/>
        </w:r>
        <w:r w:rsidR="000E0DD4">
          <w:rPr>
            <w:webHidden/>
          </w:rPr>
          <w:instrText xml:space="preserve"> PAGEREF _Toc532914974 \h </w:instrText>
        </w:r>
        <w:r w:rsidR="000E0DD4">
          <w:rPr>
            <w:webHidden/>
          </w:rPr>
        </w:r>
        <w:r w:rsidR="000E0DD4">
          <w:rPr>
            <w:webHidden/>
          </w:rPr>
          <w:fldChar w:fldCharType="separate"/>
        </w:r>
        <w:r w:rsidR="009A203A">
          <w:rPr>
            <w:webHidden/>
          </w:rPr>
          <w:t>84</w:t>
        </w:r>
        <w:r w:rsidR="000E0DD4">
          <w:rPr>
            <w:webHidden/>
          </w:rPr>
          <w:fldChar w:fldCharType="end"/>
        </w:r>
      </w:hyperlink>
    </w:p>
    <w:p w14:paraId="6659CF34" w14:textId="77777777" w:rsidR="000E0DD4" w:rsidRDefault="00F23AB7" w:rsidP="000E0DD4">
      <w:pPr>
        <w:pStyle w:val="TOC1"/>
        <w:ind w:left="1560" w:hanging="1560"/>
        <w:rPr>
          <w:b w:val="0"/>
          <w:caps w:val="0"/>
          <w:color w:val="auto"/>
        </w:rPr>
      </w:pPr>
      <w:hyperlink w:anchor="_Toc532914975" w:history="1">
        <w:r w:rsidR="000E0DD4" w:rsidRPr="00052A1C">
          <w:rPr>
            <w:rStyle w:val="Hyperlink"/>
          </w:rPr>
          <w:t>Appendix E.</w:t>
        </w:r>
        <w:r w:rsidR="000E0DD4">
          <w:rPr>
            <w:b w:val="0"/>
            <w:caps w:val="0"/>
            <w:color w:val="auto"/>
          </w:rPr>
          <w:tab/>
        </w:r>
        <w:r w:rsidR="000E0DD4" w:rsidRPr="00052A1C">
          <w:rPr>
            <w:rStyle w:val="Hyperlink"/>
          </w:rPr>
          <w:t>Use of the reporting scheme in Australian Government policies, programs and activities</w:t>
        </w:r>
        <w:r w:rsidR="000E0DD4">
          <w:rPr>
            <w:webHidden/>
          </w:rPr>
          <w:tab/>
        </w:r>
        <w:r w:rsidR="000E0DD4">
          <w:rPr>
            <w:webHidden/>
          </w:rPr>
          <w:fldChar w:fldCharType="begin"/>
        </w:r>
        <w:r w:rsidR="000E0DD4">
          <w:rPr>
            <w:webHidden/>
          </w:rPr>
          <w:instrText xml:space="preserve"> PAGEREF _Toc532914975 \h </w:instrText>
        </w:r>
        <w:r w:rsidR="000E0DD4">
          <w:rPr>
            <w:webHidden/>
          </w:rPr>
        </w:r>
        <w:r w:rsidR="000E0DD4">
          <w:rPr>
            <w:webHidden/>
          </w:rPr>
          <w:fldChar w:fldCharType="separate"/>
        </w:r>
        <w:r w:rsidR="009A203A">
          <w:rPr>
            <w:webHidden/>
          </w:rPr>
          <w:t>86</w:t>
        </w:r>
        <w:r w:rsidR="000E0DD4">
          <w:rPr>
            <w:webHidden/>
          </w:rPr>
          <w:fldChar w:fldCharType="end"/>
        </w:r>
      </w:hyperlink>
    </w:p>
    <w:p w14:paraId="1E6EDF4D" w14:textId="596FE29C" w:rsidR="000E0DD4" w:rsidRDefault="00F23AB7" w:rsidP="000E0DD4">
      <w:pPr>
        <w:pStyle w:val="TOC1"/>
        <w:ind w:left="1560" w:hanging="1560"/>
        <w:rPr>
          <w:b w:val="0"/>
          <w:caps w:val="0"/>
          <w:color w:val="auto"/>
        </w:rPr>
      </w:pPr>
      <w:hyperlink w:anchor="_Toc532914976" w:history="1">
        <w:r w:rsidR="000E0DD4" w:rsidRPr="00052A1C">
          <w:rPr>
            <w:rStyle w:val="Hyperlink"/>
          </w:rPr>
          <w:t>Appendix F.</w:t>
        </w:r>
        <w:r w:rsidR="000E0DD4">
          <w:rPr>
            <w:b w:val="0"/>
            <w:caps w:val="0"/>
            <w:color w:val="auto"/>
          </w:rPr>
          <w:tab/>
        </w:r>
        <w:r w:rsidR="000E0DD4" w:rsidRPr="00052A1C">
          <w:rPr>
            <w:rStyle w:val="Hyperlink"/>
          </w:rPr>
          <w:t xml:space="preserve">Stakeholder issues with measurement of emissions and </w:t>
        </w:r>
        <w:r w:rsidR="000E0DD4">
          <w:rPr>
            <w:rStyle w:val="Hyperlink"/>
          </w:rPr>
          <w:br/>
        </w:r>
        <w:r w:rsidR="000E0DD4" w:rsidRPr="00052A1C">
          <w:rPr>
            <w:rStyle w:val="Hyperlink"/>
          </w:rPr>
          <w:t>energy</w:t>
        </w:r>
        <w:r w:rsidR="000E0DD4">
          <w:rPr>
            <w:webHidden/>
          </w:rPr>
          <w:tab/>
        </w:r>
        <w:r w:rsidR="000E0DD4">
          <w:rPr>
            <w:webHidden/>
          </w:rPr>
          <w:fldChar w:fldCharType="begin"/>
        </w:r>
        <w:r w:rsidR="000E0DD4">
          <w:rPr>
            <w:webHidden/>
          </w:rPr>
          <w:instrText xml:space="preserve"> PAGEREF _Toc532914976 \h </w:instrText>
        </w:r>
        <w:r w:rsidR="000E0DD4">
          <w:rPr>
            <w:webHidden/>
          </w:rPr>
        </w:r>
        <w:r w:rsidR="000E0DD4">
          <w:rPr>
            <w:webHidden/>
          </w:rPr>
          <w:fldChar w:fldCharType="separate"/>
        </w:r>
        <w:r w:rsidR="009A203A">
          <w:rPr>
            <w:webHidden/>
          </w:rPr>
          <w:t>90</w:t>
        </w:r>
        <w:r w:rsidR="000E0DD4">
          <w:rPr>
            <w:webHidden/>
          </w:rPr>
          <w:fldChar w:fldCharType="end"/>
        </w:r>
      </w:hyperlink>
    </w:p>
    <w:p w14:paraId="1E79458C" w14:textId="77777777" w:rsidR="000E0DD4" w:rsidRDefault="00F23AB7">
      <w:pPr>
        <w:pStyle w:val="TOC1"/>
        <w:rPr>
          <w:b w:val="0"/>
          <w:caps w:val="0"/>
          <w:color w:val="auto"/>
        </w:rPr>
      </w:pPr>
      <w:hyperlink w:anchor="_Toc532914977" w:history="1">
        <w:r w:rsidR="000E0DD4" w:rsidRPr="00052A1C">
          <w:rPr>
            <w:rStyle w:val="Hyperlink"/>
          </w:rPr>
          <w:t>Glossary of terms</w:t>
        </w:r>
        <w:r w:rsidR="000E0DD4">
          <w:rPr>
            <w:webHidden/>
          </w:rPr>
          <w:tab/>
        </w:r>
        <w:r w:rsidR="000E0DD4">
          <w:rPr>
            <w:webHidden/>
          </w:rPr>
          <w:fldChar w:fldCharType="begin"/>
        </w:r>
        <w:r w:rsidR="000E0DD4">
          <w:rPr>
            <w:webHidden/>
          </w:rPr>
          <w:instrText xml:space="preserve"> PAGEREF _Toc532914977 \h </w:instrText>
        </w:r>
        <w:r w:rsidR="000E0DD4">
          <w:rPr>
            <w:webHidden/>
          </w:rPr>
        </w:r>
        <w:r w:rsidR="000E0DD4">
          <w:rPr>
            <w:webHidden/>
          </w:rPr>
          <w:fldChar w:fldCharType="separate"/>
        </w:r>
        <w:r w:rsidR="009A203A">
          <w:rPr>
            <w:webHidden/>
          </w:rPr>
          <w:t>92</w:t>
        </w:r>
        <w:r w:rsidR="000E0DD4">
          <w:rPr>
            <w:webHidden/>
          </w:rPr>
          <w:fldChar w:fldCharType="end"/>
        </w:r>
      </w:hyperlink>
    </w:p>
    <w:p w14:paraId="2D6DC4A8" w14:textId="34555F00" w:rsidR="000E0DD4" w:rsidRDefault="00F23AB7">
      <w:pPr>
        <w:pStyle w:val="TOC1"/>
        <w:rPr>
          <w:b w:val="0"/>
          <w:caps w:val="0"/>
          <w:color w:val="auto"/>
        </w:rPr>
      </w:pPr>
      <w:hyperlink w:anchor="_Toc532914978" w:history="1">
        <w:r w:rsidR="000E0DD4" w:rsidRPr="00052A1C">
          <w:rPr>
            <w:rStyle w:val="Hyperlink"/>
          </w:rPr>
          <w:t>References</w:t>
        </w:r>
        <w:r w:rsidR="000E0DD4">
          <w:rPr>
            <w:webHidden/>
          </w:rPr>
          <w:tab/>
        </w:r>
        <w:r w:rsidR="000E0DD4">
          <w:rPr>
            <w:webHidden/>
          </w:rPr>
          <w:tab/>
        </w:r>
        <w:r w:rsidR="000E0DD4">
          <w:rPr>
            <w:webHidden/>
          </w:rPr>
          <w:fldChar w:fldCharType="begin"/>
        </w:r>
        <w:r w:rsidR="000E0DD4">
          <w:rPr>
            <w:webHidden/>
          </w:rPr>
          <w:instrText xml:space="preserve"> PAGEREF _Toc532914978 \h </w:instrText>
        </w:r>
        <w:r w:rsidR="000E0DD4">
          <w:rPr>
            <w:webHidden/>
          </w:rPr>
        </w:r>
        <w:r w:rsidR="000E0DD4">
          <w:rPr>
            <w:webHidden/>
          </w:rPr>
          <w:fldChar w:fldCharType="separate"/>
        </w:r>
        <w:r w:rsidR="009A203A">
          <w:rPr>
            <w:webHidden/>
          </w:rPr>
          <w:t>94</w:t>
        </w:r>
        <w:r w:rsidR="000E0DD4">
          <w:rPr>
            <w:webHidden/>
          </w:rPr>
          <w:fldChar w:fldCharType="end"/>
        </w:r>
      </w:hyperlink>
    </w:p>
    <w:p w14:paraId="50E484BD" w14:textId="1684D1DE" w:rsidR="001D1BDB" w:rsidRDefault="000E0DD4" w:rsidP="000E0DD4">
      <w:pPr>
        <w:pStyle w:val="TOC1"/>
        <w:rPr>
          <w:rStyle w:val="Hyperlink"/>
        </w:rPr>
      </w:pPr>
      <w:r>
        <w:fldChar w:fldCharType="end"/>
      </w:r>
    </w:p>
    <w:p w14:paraId="69C52D3C" w14:textId="77777777" w:rsidR="00B73640" w:rsidRDefault="00B73640" w:rsidP="00F449BE">
      <w:pPr>
        <w:pStyle w:val="TOC1"/>
        <w:rPr>
          <w:rFonts w:cstheme="minorHAnsi"/>
          <w:color w:val="309CC8" w:themeColor="text2"/>
        </w:rPr>
      </w:pPr>
      <w:r w:rsidRPr="0073419E">
        <w:t>Tables</w:t>
      </w:r>
    </w:p>
    <w:p w14:paraId="334BE87D" w14:textId="77777777" w:rsidR="000E0DD4" w:rsidRDefault="00B73640" w:rsidP="000E0DD4">
      <w:pPr>
        <w:pStyle w:val="TOC2"/>
        <w:rPr>
          <w:b/>
          <w:caps/>
        </w:rPr>
      </w:pPr>
      <w:r>
        <w:rPr>
          <w:rFonts w:cstheme="minorHAnsi"/>
          <w:b/>
          <w:caps/>
          <w:color w:val="309CC8" w:themeColor="accent2"/>
          <w:sz w:val="22"/>
        </w:rPr>
        <w:fldChar w:fldCharType="begin"/>
      </w:r>
      <w:r>
        <w:rPr>
          <w:rFonts w:cstheme="minorHAnsi"/>
        </w:rPr>
        <w:instrText xml:space="preserve"> TOC \h \z \t "Heading 1,1,Heading 2,2,Heading 3,3,CCA Table header,1" </w:instrText>
      </w:r>
      <w:r>
        <w:rPr>
          <w:rFonts w:cstheme="minorHAnsi"/>
          <w:b/>
          <w:caps/>
          <w:color w:val="309CC8" w:themeColor="accent2"/>
          <w:sz w:val="22"/>
        </w:rPr>
        <w:fldChar w:fldCharType="separate"/>
      </w:r>
      <w:hyperlink w:anchor="_Toc532914010" w:history="1">
        <w:r w:rsidR="000E0DD4" w:rsidRPr="00B42027">
          <w:rPr>
            <w:rStyle w:val="Hyperlink"/>
            <w:b/>
            <w:caps/>
          </w:rPr>
          <w:t>Table 1</w:t>
        </w:r>
        <w:r w:rsidR="000E0DD4">
          <w:rPr>
            <w:b/>
            <w:caps/>
          </w:rPr>
          <w:tab/>
        </w:r>
        <w:r w:rsidR="000E0DD4" w:rsidRPr="00B42027">
          <w:rPr>
            <w:rStyle w:val="Hyperlink"/>
          </w:rPr>
          <w:t>Corporate group and facility thresholds</w:t>
        </w:r>
        <w:r w:rsidR="000E0DD4">
          <w:rPr>
            <w:webHidden/>
          </w:rPr>
          <w:tab/>
        </w:r>
        <w:r w:rsidR="000E0DD4">
          <w:rPr>
            <w:webHidden/>
          </w:rPr>
          <w:fldChar w:fldCharType="begin"/>
        </w:r>
        <w:r w:rsidR="000E0DD4">
          <w:rPr>
            <w:webHidden/>
          </w:rPr>
          <w:instrText xml:space="preserve"> PAGEREF _Toc532914010 \h </w:instrText>
        </w:r>
        <w:r w:rsidR="000E0DD4">
          <w:rPr>
            <w:webHidden/>
          </w:rPr>
        </w:r>
        <w:r w:rsidR="000E0DD4">
          <w:rPr>
            <w:webHidden/>
          </w:rPr>
          <w:fldChar w:fldCharType="separate"/>
        </w:r>
        <w:r w:rsidR="009A203A">
          <w:rPr>
            <w:webHidden/>
          </w:rPr>
          <w:t>18</w:t>
        </w:r>
        <w:r w:rsidR="000E0DD4">
          <w:rPr>
            <w:webHidden/>
          </w:rPr>
          <w:fldChar w:fldCharType="end"/>
        </w:r>
      </w:hyperlink>
    </w:p>
    <w:p w14:paraId="0222E3C6" w14:textId="6D784AD0" w:rsidR="000E0DD4" w:rsidRDefault="00F23AB7" w:rsidP="000E0DD4">
      <w:pPr>
        <w:pStyle w:val="TOC2"/>
        <w:ind w:left="1560" w:hanging="1560"/>
        <w:rPr>
          <w:b/>
          <w:caps/>
        </w:rPr>
      </w:pPr>
      <w:hyperlink w:anchor="_Toc532914011" w:history="1">
        <w:r w:rsidR="000E0DD4" w:rsidRPr="00B42027">
          <w:rPr>
            <w:rStyle w:val="Hyperlink"/>
            <w:b/>
            <w:caps/>
          </w:rPr>
          <w:t>Table 2</w:t>
        </w:r>
        <w:r w:rsidR="000E0DD4">
          <w:rPr>
            <w:b/>
            <w:caps/>
          </w:rPr>
          <w:tab/>
        </w:r>
        <w:r w:rsidR="000E0DD4" w:rsidRPr="00B42027">
          <w:rPr>
            <w:rStyle w:val="Hyperlink"/>
          </w:rPr>
          <w:t xml:space="preserve">Proportion of Australia’s emissions captured by the reporting scheme by emissions </w:t>
        </w:r>
        <w:r w:rsidR="000E0DD4">
          <w:rPr>
            <w:rStyle w:val="Hyperlink"/>
          </w:rPr>
          <w:br/>
        </w:r>
        <w:r w:rsidR="000E0DD4" w:rsidRPr="00B42027">
          <w:rPr>
            <w:rStyle w:val="Hyperlink"/>
          </w:rPr>
          <w:t>source category, 2016–17</w:t>
        </w:r>
        <w:r w:rsidR="000E0DD4">
          <w:rPr>
            <w:webHidden/>
          </w:rPr>
          <w:tab/>
        </w:r>
        <w:r w:rsidR="000E0DD4">
          <w:rPr>
            <w:webHidden/>
          </w:rPr>
          <w:fldChar w:fldCharType="begin"/>
        </w:r>
        <w:r w:rsidR="000E0DD4">
          <w:rPr>
            <w:webHidden/>
          </w:rPr>
          <w:instrText xml:space="preserve"> PAGEREF _Toc532914011 \h </w:instrText>
        </w:r>
        <w:r w:rsidR="000E0DD4">
          <w:rPr>
            <w:webHidden/>
          </w:rPr>
        </w:r>
        <w:r w:rsidR="000E0DD4">
          <w:rPr>
            <w:webHidden/>
          </w:rPr>
          <w:fldChar w:fldCharType="separate"/>
        </w:r>
        <w:r w:rsidR="009A203A">
          <w:rPr>
            <w:webHidden/>
          </w:rPr>
          <w:t>21</w:t>
        </w:r>
        <w:r w:rsidR="000E0DD4">
          <w:rPr>
            <w:webHidden/>
          </w:rPr>
          <w:fldChar w:fldCharType="end"/>
        </w:r>
      </w:hyperlink>
    </w:p>
    <w:p w14:paraId="0F88C6AC" w14:textId="77777777" w:rsidR="000E0DD4" w:rsidRDefault="00F23AB7" w:rsidP="000E0DD4">
      <w:pPr>
        <w:pStyle w:val="TOC2"/>
        <w:rPr>
          <w:b/>
          <w:caps/>
        </w:rPr>
      </w:pPr>
      <w:hyperlink w:anchor="_Toc532914012" w:history="1">
        <w:r w:rsidR="000E0DD4" w:rsidRPr="00B42027">
          <w:rPr>
            <w:rStyle w:val="Hyperlink"/>
            <w:b/>
            <w:caps/>
          </w:rPr>
          <w:t>Table 3</w:t>
        </w:r>
        <w:r w:rsidR="000E0DD4">
          <w:rPr>
            <w:b/>
            <w:caps/>
          </w:rPr>
          <w:tab/>
        </w:r>
        <w:r w:rsidR="000E0DD4" w:rsidRPr="00B42027">
          <w:rPr>
            <w:rStyle w:val="Hyperlink"/>
          </w:rPr>
          <w:t>Comparison between current and proposed safeguard baselines</w:t>
        </w:r>
        <w:r w:rsidR="000E0DD4">
          <w:rPr>
            <w:webHidden/>
          </w:rPr>
          <w:tab/>
        </w:r>
        <w:r w:rsidR="000E0DD4">
          <w:rPr>
            <w:webHidden/>
          </w:rPr>
          <w:fldChar w:fldCharType="begin"/>
        </w:r>
        <w:r w:rsidR="000E0DD4">
          <w:rPr>
            <w:webHidden/>
          </w:rPr>
          <w:instrText xml:space="preserve"> PAGEREF _Toc532914012 \h </w:instrText>
        </w:r>
        <w:r w:rsidR="000E0DD4">
          <w:rPr>
            <w:webHidden/>
          </w:rPr>
        </w:r>
        <w:r w:rsidR="000E0DD4">
          <w:rPr>
            <w:webHidden/>
          </w:rPr>
          <w:fldChar w:fldCharType="separate"/>
        </w:r>
        <w:r w:rsidR="009A203A">
          <w:rPr>
            <w:webHidden/>
          </w:rPr>
          <w:t>25</w:t>
        </w:r>
        <w:r w:rsidR="000E0DD4">
          <w:rPr>
            <w:webHidden/>
          </w:rPr>
          <w:fldChar w:fldCharType="end"/>
        </w:r>
      </w:hyperlink>
    </w:p>
    <w:p w14:paraId="0D3A809E" w14:textId="77777777" w:rsidR="000E0DD4" w:rsidRDefault="00F23AB7" w:rsidP="000E0DD4">
      <w:pPr>
        <w:pStyle w:val="TOC2"/>
        <w:rPr>
          <w:b/>
          <w:caps/>
        </w:rPr>
      </w:pPr>
      <w:hyperlink w:anchor="_Toc532914013" w:history="1">
        <w:r w:rsidR="000E0DD4" w:rsidRPr="00B42027">
          <w:rPr>
            <w:rStyle w:val="Hyperlink"/>
            <w:b/>
            <w:caps/>
          </w:rPr>
          <w:t>Table 4</w:t>
        </w:r>
        <w:r w:rsidR="000E0DD4">
          <w:rPr>
            <w:b/>
            <w:caps/>
          </w:rPr>
          <w:tab/>
        </w:r>
        <w:r w:rsidR="000E0DD4" w:rsidRPr="00B42027">
          <w:rPr>
            <w:rStyle w:val="Hyperlink"/>
          </w:rPr>
          <w:t>Data publicly available on the Clean Energy Regulator's website</w:t>
        </w:r>
        <w:r w:rsidR="000E0DD4">
          <w:rPr>
            <w:webHidden/>
          </w:rPr>
          <w:tab/>
        </w:r>
        <w:r w:rsidR="000E0DD4">
          <w:rPr>
            <w:webHidden/>
          </w:rPr>
          <w:fldChar w:fldCharType="begin"/>
        </w:r>
        <w:r w:rsidR="000E0DD4">
          <w:rPr>
            <w:webHidden/>
          </w:rPr>
          <w:instrText xml:space="preserve"> PAGEREF _Toc532914013 \h </w:instrText>
        </w:r>
        <w:r w:rsidR="000E0DD4">
          <w:rPr>
            <w:webHidden/>
          </w:rPr>
        </w:r>
        <w:r w:rsidR="000E0DD4">
          <w:rPr>
            <w:webHidden/>
          </w:rPr>
          <w:fldChar w:fldCharType="separate"/>
        </w:r>
        <w:r w:rsidR="009A203A">
          <w:rPr>
            <w:webHidden/>
          </w:rPr>
          <w:t>33</w:t>
        </w:r>
        <w:r w:rsidR="000E0DD4">
          <w:rPr>
            <w:webHidden/>
          </w:rPr>
          <w:fldChar w:fldCharType="end"/>
        </w:r>
      </w:hyperlink>
    </w:p>
    <w:p w14:paraId="1864E67F" w14:textId="77777777" w:rsidR="000E0DD4" w:rsidRDefault="00F23AB7" w:rsidP="000E0DD4">
      <w:pPr>
        <w:pStyle w:val="TOC2"/>
        <w:rPr>
          <w:b/>
          <w:caps/>
        </w:rPr>
      </w:pPr>
      <w:hyperlink w:anchor="_Toc532914014" w:history="1">
        <w:r w:rsidR="000E0DD4" w:rsidRPr="00B42027">
          <w:rPr>
            <w:rStyle w:val="Hyperlink"/>
            <w:b/>
            <w:caps/>
          </w:rPr>
          <w:t>Table 5</w:t>
        </w:r>
        <w:r w:rsidR="000E0DD4">
          <w:rPr>
            <w:b/>
            <w:caps/>
          </w:rPr>
          <w:tab/>
        </w:r>
        <w:r w:rsidR="000E0DD4" w:rsidRPr="00B42027">
          <w:rPr>
            <w:rStyle w:val="Hyperlink"/>
          </w:rPr>
          <w:t>Examples of thresholds and limits</w:t>
        </w:r>
        <w:r w:rsidR="000E0DD4">
          <w:rPr>
            <w:webHidden/>
          </w:rPr>
          <w:tab/>
        </w:r>
        <w:r w:rsidR="000E0DD4">
          <w:rPr>
            <w:webHidden/>
          </w:rPr>
          <w:fldChar w:fldCharType="begin"/>
        </w:r>
        <w:r w:rsidR="000E0DD4">
          <w:rPr>
            <w:webHidden/>
          </w:rPr>
          <w:instrText xml:space="preserve"> PAGEREF _Toc532914014 \h </w:instrText>
        </w:r>
        <w:r w:rsidR="000E0DD4">
          <w:rPr>
            <w:webHidden/>
          </w:rPr>
        </w:r>
        <w:r w:rsidR="000E0DD4">
          <w:rPr>
            <w:webHidden/>
          </w:rPr>
          <w:fldChar w:fldCharType="separate"/>
        </w:r>
        <w:r w:rsidR="009A203A">
          <w:rPr>
            <w:webHidden/>
          </w:rPr>
          <w:t>43</w:t>
        </w:r>
        <w:r w:rsidR="000E0DD4">
          <w:rPr>
            <w:webHidden/>
          </w:rPr>
          <w:fldChar w:fldCharType="end"/>
        </w:r>
      </w:hyperlink>
    </w:p>
    <w:p w14:paraId="71EB5958" w14:textId="77777777" w:rsidR="000E0DD4" w:rsidRDefault="00F23AB7" w:rsidP="000E0DD4">
      <w:pPr>
        <w:pStyle w:val="TOC2"/>
        <w:rPr>
          <w:b/>
          <w:caps/>
        </w:rPr>
      </w:pPr>
      <w:hyperlink w:anchor="_Toc532914015" w:history="1">
        <w:r w:rsidR="000E0DD4" w:rsidRPr="00B42027">
          <w:rPr>
            <w:rStyle w:val="Hyperlink"/>
            <w:b/>
            <w:caps/>
          </w:rPr>
          <w:t>Table 6</w:t>
        </w:r>
        <w:r w:rsidR="000E0DD4">
          <w:rPr>
            <w:b/>
            <w:caps/>
          </w:rPr>
          <w:tab/>
        </w:r>
        <w:r w:rsidR="000E0DD4" w:rsidRPr="00B42027">
          <w:rPr>
            <w:rStyle w:val="Hyperlink"/>
          </w:rPr>
          <w:t>Emissions reporting threshold and average agricultural emissions, 2013 to 2016</w:t>
        </w:r>
        <w:r w:rsidR="000E0DD4">
          <w:rPr>
            <w:webHidden/>
          </w:rPr>
          <w:tab/>
        </w:r>
        <w:r w:rsidR="000E0DD4">
          <w:rPr>
            <w:webHidden/>
          </w:rPr>
          <w:fldChar w:fldCharType="begin"/>
        </w:r>
        <w:r w:rsidR="000E0DD4">
          <w:rPr>
            <w:webHidden/>
          </w:rPr>
          <w:instrText xml:space="preserve"> PAGEREF _Toc532914015 \h </w:instrText>
        </w:r>
        <w:r w:rsidR="000E0DD4">
          <w:rPr>
            <w:webHidden/>
          </w:rPr>
        </w:r>
        <w:r w:rsidR="000E0DD4">
          <w:rPr>
            <w:webHidden/>
          </w:rPr>
          <w:fldChar w:fldCharType="separate"/>
        </w:r>
        <w:r w:rsidR="009A203A">
          <w:rPr>
            <w:webHidden/>
          </w:rPr>
          <w:t>50</w:t>
        </w:r>
        <w:r w:rsidR="000E0DD4">
          <w:rPr>
            <w:webHidden/>
          </w:rPr>
          <w:fldChar w:fldCharType="end"/>
        </w:r>
      </w:hyperlink>
    </w:p>
    <w:p w14:paraId="6CCF828C" w14:textId="77777777" w:rsidR="000E0DD4" w:rsidRDefault="00F23AB7" w:rsidP="000E0DD4">
      <w:pPr>
        <w:pStyle w:val="TOC2"/>
        <w:rPr>
          <w:b/>
          <w:caps/>
        </w:rPr>
      </w:pPr>
      <w:hyperlink w:anchor="_Toc532914016" w:history="1">
        <w:r w:rsidR="000E0DD4" w:rsidRPr="00B42027">
          <w:rPr>
            <w:rStyle w:val="Hyperlink"/>
            <w:b/>
            <w:caps/>
          </w:rPr>
          <w:t>Table 7</w:t>
        </w:r>
        <w:r w:rsidR="000E0DD4">
          <w:rPr>
            <w:b/>
            <w:caps/>
          </w:rPr>
          <w:tab/>
        </w:r>
        <w:r w:rsidR="000E0DD4" w:rsidRPr="00B42027">
          <w:rPr>
            <w:rStyle w:val="Hyperlink"/>
          </w:rPr>
          <w:t>The number of facilities that used options for meeting baselines in 2016–17</w:t>
        </w:r>
        <w:r w:rsidR="000E0DD4">
          <w:rPr>
            <w:webHidden/>
          </w:rPr>
          <w:tab/>
        </w:r>
        <w:r w:rsidR="000E0DD4">
          <w:rPr>
            <w:webHidden/>
          </w:rPr>
          <w:fldChar w:fldCharType="begin"/>
        </w:r>
        <w:r w:rsidR="000E0DD4">
          <w:rPr>
            <w:webHidden/>
          </w:rPr>
          <w:instrText xml:space="preserve"> PAGEREF _Toc532914016 \h </w:instrText>
        </w:r>
        <w:r w:rsidR="000E0DD4">
          <w:rPr>
            <w:webHidden/>
          </w:rPr>
        </w:r>
        <w:r w:rsidR="000E0DD4">
          <w:rPr>
            <w:webHidden/>
          </w:rPr>
          <w:fldChar w:fldCharType="separate"/>
        </w:r>
        <w:r w:rsidR="009A203A">
          <w:rPr>
            <w:webHidden/>
          </w:rPr>
          <w:t>59</w:t>
        </w:r>
        <w:r w:rsidR="000E0DD4">
          <w:rPr>
            <w:webHidden/>
          </w:rPr>
          <w:fldChar w:fldCharType="end"/>
        </w:r>
      </w:hyperlink>
    </w:p>
    <w:p w14:paraId="6FD01F2E" w14:textId="77777777" w:rsidR="000E0DD4" w:rsidRDefault="00F23AB7" w:rsidP="000E0DD4">
      <w:pPr>
        <w:pStyle w:val="TOC2"/>
        <w:rPr>
          <w:b/>
          <w:caps/>
        </w:rPr>
      </w:pPr>
      <w:hyperlink w:anchor="_Toc532914017" w:history="1">
        <w:r w:rsidR="000E0DD4" w:rsidRPr="00B42027">
          <w:rPr>
            <w:rStyle w:val="Hyperlink"/>
            <w:b/>
            <w:caps/>
          </w:rPr>
          <w:t>Table 8</w:t>
        </w:r>
        <w:r w:rsidR="000E0DD4">
          <w:rPr>
            <w:b/>
            <w:caps/>
          </w:rPr>
          <w:tab/>
        </w:r>
        <w:r w:rsidR="000E0DD4" w:rsidRPr="00B42027">
          <w:rPr>
            <w:rStyle w:val="Hyperlink"/>
          </w:rPr>
          <w:t>Report submissions and resubmissions</w:t>
        </w:r>
        <w:r w:rsidR="000E0DD4">
          <w:rPr>
            <w:webHidden/>
          </w:rPr>
          <w:tab/>
        </w:r>
        <w:r w:rsidR="000E0DD4">
          <w:rPr>
            <w:webHidden/>
          </w:rPr>
          <w:fldChar w:fldCharType="begin"/>
        </w:r>
        <w:r w:rsidR="000E0DD4">
          <w:rPr>
            <w:webHidden/>
          </w:rPr>
          <w:instrText xml:space="preserve"> PAGEREF _Toc532914017 \h </w:instrText>
        </w:r>
        <w:r w:rsidR="000E0DD4">
          <w:rPr>
            <w:webHidden/>
          </w:rPr>
        </w:r>
        <w:r w:rsidR="000E0DD4">
          <w:rPr>
            <w:webHidden/>
          </w:rPr>
          <w:fldChar w:fldCharType="separate"/>
        </w:r>
        <w:r w:rsidR="009A203A">
          <w:rPr>
            <w:webHidden/>
          </w:rPr>
          <w:t>67</w:t>
        </w:r>
        <w:r w:rsidR="000E0DD4">
          <w:rPr>
            <w:webHidden/>
          </w:rPr>
          <w:fldChar w:fldCharType="end"/>
        </w:r>
      </w:hyperlink>
    </w:p>
    <w:p w14:paraId="1E491E53" w14:textId="77777777" w:rsidR="000E0DD4" w:rsidRDefault="00F23AB7" w:rsidP="000E0DD4">
      <w:pPr>
        <w:pStyle w:val="TOC2"/>
        <w:rPr>
          <w:b/>
          <w:caps/>
        </w:rPr>
      </w:pPr>
      <w:hyperlink w:anchor="_Toc532914018" w:history="1">
        <w:r w:rsidR="000E0DD4" w:rsidRPr="00B42027">
          <w:rPr>
            <w:rStyle w:val="Hyperlink"/>
            <w:b/>
            <w:caps/>
          </w:rPr>
          <w:t>Table 9</w:t>
        </w:r>
        <w:r w:rsidR="000E0DD4">
          <w:rPr>
            <w:b/>
            <w:caps/>
          </w:rPr>
          <w:tab/>
        </w:r>
        <w:r w:rsidR="000E0DD4" w:rsidRPr="00B42027">
          <w:rPr>
            <w:rStyle w:val="Hyperlink"/>
          </w:rPr>
          <w:t>Analysing the recommendations’ outcomes</w:t>
        </w:r>
        <w:r w:rsidR="000E0DD4">
          <w:rPr>
            <w:webHidden/>
          </w:rPr>
          <w:tab/>
        </w:r>
        <w:r w:rsidR="000E0DD4">
          <w:rPr>
            <w:webHidden/>
          </w:rPr>
          <w:fldChar w:fldCharType="begin"/>
        </w:r>
        <w:r w:rsidR="000E0DD4">
          <w:rPr>
            <w:webHidden/>
          </w:rPr>
          <w:instrText xml:space="preserve"> PAGEREF _Toc532914018 \h </w:instrText>
        </w:r>
        <w:r w:rsidR="000E0DD4">
          <w:rPr>
            <w:webHidden/>
          </w:rPr>
        </w:r>
        <w:r w:rsidR="000E0DD4">
          <w:rPr>
            <w:webHidden/>
          </w:rPr>
          <w:fldChar w:fldCharType="separate"/>
        </w:r>
        <w:r w:rsidR="009A203A">
          <w:rPr>
            <w:webHidden/>
          </w:rPr>
          <w:t>76</w:t>
        </w:r>
        <w:r w:rsidR="000E0DD4">
          <w:rPr>
            <w:webHidden/>
          </w:rPr>
          <w:fldChar w:fldCharType="end"/>
        </w:r>
      </w:hyperlink>
    </w:p>
    <w:p w14:paraId="761D1E4E" w14:textId="77777777" w:rsidR="000E0DD4" w:rsidRDefault="00F23AB7" w:rsidP="000E0DD4">
      <w:pPr>
        <w:pStyle w:val="TOC2"/>
        <w:rPr>
          <w:b/>
          <w:caps/>
        </w:rPr>
      </w:pPr>
      <w:hyperlink w:anchor="_Toc532914019" w:history="1">
        <w:r w:rsidR="000E0DD4" w:rsidRPr="00B42027">
          <w:rPr>
            <w:rStyle w:val="Hyperlink"/>
            <w:b/>
            <w:caps/>
          </w:rPr>
          <w:t>Table 10</w:t>
        </w:r>
        <w:r w:rsidR="000E0DD4">
          <w:rPr>
            <w:b/>
            <w:caps/>
          </w:rPr>
          <w:tab/>
        </w:r>
        <w:r w:rsidR="000E0DD4" w:rsidRPr="00B42027">
          <w:rPr>
            <w:rStyle w:val="Hyperlink"/>
          </w:rPr>
          <w:t>Summary of international company-level emissions reporting schemes</w:t>
        </w:r>
        <w:r w:rsidR="000E0DD4">
          <w:rPr>
            <w:webHidden/>
          </w:rPr>
          <w:tab/>
        </w:r>
        <w:r w:rsidR="000E0DD4">
          <w:rPr>
            <w:webHidden/>
          </w:rPr>
          <w:fldChar w:fldCharType="begin"/>
        </w:r>
        <w:r w:rsidR="000E0DD4">
          <w:rPr>
            <w:webHidden/>
          </w:rPr>
          <w:instrText xml:space="preserve"> PAGEREF _Toc532914019 \h </w:instrText>
        </w:r>
        <w:r w:rsidR="000E0DD4">
          <w:rPr>
            <w:webHidden/>
          </w:rPr>
        </w:r>
        <w:r w:rsidR="000E0DD4">
          <w:rPr>
            <w:webHidden/>
          </w:rPr>
          <w:fldChar w:fldCharType="separate"/>
        </w:r>
        <w:r w:rsidR="009A203A">
          <w:rPr>
            <w:webHidden/>
          </w:rPr>
          <w:t>84</w:t>
        </w:r>
        <w:r w:rsidR="000E0DD4">
          <w:rPr>
            <w:webHidden/>
          </w:rPr>
          <w:fldChar w:fldCharType="end"/>
        </w:r>
      </w:hyperlink>
    </w:p>
    <w:p w14:paraId="56209377" w14:textId="01AE1BDC" w:rsidR="000E0DD4" w:rsidRDefault="00F23AB7" w:rsidP="000E0DD4">
      <w:pPr>
        <w:pStyle w:val="TOC2"/>
        <w:ind w:left="1560" w:hanging="1560"/>
        <w:rPr>
          <w:b/>
          <w:caps/>
        </w:rPr>
      </w:pPr>
      <w:hyperlink w:anchor="_Toc532914020" w:history="1">
        <w:r w:rsidR="000E0DD4" w:rsidRPr="00B42027">
          <w:rPr>
            <w:rStyle w:val="Hyperlink"/>
            <w:b/>
            <w:caps/>
          </w:rPr>
          <w:t>Table 11</w:t>
        </w:r>
        <w:r w:rsidR="000E0DD4">
          <w:rPr>
            <w:b/>
            <w:caps/>
          </w:rPr>
          <w:tab/>
        </w:r>
        <w:r w:rsidR="000E0DD4" w:rsidRPr="00B42027">
          <w:rPr>
            <w:rStyle w:val="Hyperlink"/>
          </w:rPr>
          <w:t xml:space="preserve">Examples of reporting data, factors and methods informing Australian Government </w:t>
        </w:r>
        <w:r w:rsidR="000E0DD4">
          <w:rPr>
            <w:rStyle w:val="Hyperlink"/>
          </w:rPr>
          <w:br/>
        </w:r>
        <w:r w:rsidR="000E0DD4" w:rsidRPr="00B42027">
          <w:rPr>
            <w:rStyle w:val="Hyperlink"/>
          </w:rPr>
          <w:t>policies, programs and activities</w:t>
        </w:r>
        <w:r w:rsidR="000E0DD4">
          <w:rPr>
            <w:webHidden/>
          </w:rPr>
          <w:tab/>
        </w:r>
        <w:r w:rsidR="000E0DD4">
          <w:rPr>
            <w:webHidden/>
          </w:rPr>
          <w:fldChar w:fldCharType="begin"/>
        </w:r>
        <w:r w:rsidR="000E0DD4">
          <w:rPr>
            <w:webHidden/>
          </w:rPr>
          <w:instrText xml:space="preserve"> PAGEREF _Toc532914020 \h </w:instrText>
        </w:r>
        <w:r w:rsidR="000E0DD4">
          <w:rPr>
            <w:webHidden/>
          </w:rPr>
        </w:r>
        <w:r w:rsidR="000E0DD4">
          <w:rPr>
            <w:webHidden/>
          </w:rPr>
          <w:fldChar w:fldCharType="separate"/>
        </w:r>
        <w:r w:rsidR="009A203A">
          <w:rPr>
            <w:webHidden/>
          </w:rPr>
          <w:t>86</w:t>
        </w:r>
        <w:r w:rsidR="000E0DD4">
          <w:rPr>
            <w:webHidden/>
          </w:rPr>
          <w:fldChar w:fldCharType="end"/>
        </w:r>
      </w:hyperlink>
    </w:p>
    <w:p w14:paraId="3AC62342" w14:textId="77777777" w:rsidR="000E0DD4" w:rsidRDefault="00F23AB7" w:rsidP="000E0DD4">
      <w:pPr>
        <w:pStyle w:val="TOC2"/>
        <w:rPr>
          <w:b/>
          <w:caps/>
        </w:rPr>
      </w:pPr>
      <w:hyperlink w:anchor="_Toc532914021" w:history="1">
        <w:r w:rsidR="000E0DD4" w:rsidRPr="00B42027">
          <w:rPr>
            <w:rStyle w:val="Hyperlink"/>
            <w:b/>
            <w:caps/>
          </w:rPr>
          <w:t>Table 12</w:t>
        </w:r>
        <w:r w:rsidR="000E0DD4">
          <w:rPr>
            <w:b/>
            <w:caps/>
          </w:rPr>
          <w:tab/>
        </w:r>
        <w:r w:rsidR="000E0DD4" w:rsidRPr="00B42027">
          <w:rPr>
            <w:rStyle w:val="Hyperlink"/>
          </w:rPr>
          <w:t>Examples of data informing state and territory government programs, activities and policy</w:t>
        </w:r>
        <w:r w:rsidR="000E0DD4">
          <w:rPr>
            <w:webHidden/>
          </w:rPr>
          <w:tab/>
        </w:r>
        <w:r w:rsidR="000E0DD4">
          <w:rPr>
            <w:webHidden/>
          </w:rPr>
          <w:fldChar w:fldCharType="begin"/>
        </w:r>
        <w:r w:rsidR="000E0DD4">
          <w:rPr>
            <w:webHidden/>
          </w:rPr>
          <w:instrText xml:space="preserve"> PAGEREF _Toc532914021 \h </w:instrText>
        </w:r>
        <w:r w:rsidR="000E0DD4">
          <w:rPr>
            <w:webHidden/>
          </w:rPr>
        </w:r>
        <w:r w:rsidR="000E0DD4">
          <w:rPr>
            <w:webHidden/>
          </w:rPr>
          <w:fldChar w:fldCharType="separate"/>
        </w:r>
        <w:r w:rsidR="009A203A">
          <w:rPr>
            <w:webHidden/>
          </w:rPr>
          <w:t>89</w:t>
        </w:r>
        <w:r w:rsidR="000E0DD4">
          <w:rPr>
            <w:webHidden/>
          </w:rPr>
          <w:fldChar w:fldCharType="end"/>
        </w:r>
      </w:hyperlink>
    </w:p>
    <w:p w14:paraId="5E436B73" w14:textId="77777777" w:rsidR="000E0DD4" w:rsidRDefault="00F23AB7" w:rsidP="000E0DD4">
      <w:pPr>
        <w:pStyle w:val="TOC2"/>
        <w:rPr>
          <w:b/>
          <w:caps/>
        </w:rPr>
      </w:pPr>
      <w:hyperlink w:anchor="_Toc532914022" w:history="1">
        <w:r w:rsidR="000E0DD4" w:rsidRPr="00B42027">
          <w:rPr>
            <w:rStyle w:val="Hyperlink"/>
            <w:b/>
            <w:caps/>
          </w:rPr>
          <w:t>Table 13</w:t>
        </w:r>
        <w:r w:rsidR="000E0DD4">
          <w:rPr>
            <w:b/>
            <w:caps/>
          </w:rPr>
          <w:tab/>
        </w:r>
        <w:r w:rsidR="000E0DD4" w:rsidRPr="00B42027">
          <w:rPr>
            <w:rStyle w:val="Hyperlink"/>
          </w:rPr>
          <w:t>Issues with measurement of emissions and energy in submissions</w:t>
        </w:r>
        <w:r w:rsidR="000E0DD4">
          <w:rPr>
            <w:webHidden/>
          </w:rPr>
          <w:tab/>
        </w:r>
        <w:r w:rsidR="000E0DD4">
          <w:rPr>
            <w:webHidden/>
          </w:rPr>
          <w:fldChar w:fldCharType="begin"/>
        </w:r>
        <w:r w:rsidR="000E0DD4">
          <w:rPr>
            <w:webHidden/>
          </w:rPr>
          <w:instrText xml:space="preserve"> PAGEREF _Toc532914022 \h </w:instrText>
        </w:r>
        <w:r w:rsidR="000E0DD4">
          <w:rPr>
            <w:webHidden/>
          </w:rPr>
        </w:r>
        <w:r w:rsidR="000E0DD4">
          <w:rPr>
            <w:webHidden/>
          </w:rPr>
          <w:fldChar w:fldCharType="separate"/>
        </w:r>
        <w:r w:rsidR="009A203A">
          <w:rPr>
            <w:webHidden/>
          </w:rPr>
          <w:t>90</w:t>
        </w:r>
        <w:r w:rsidR="000E0DD4">
          <w:rPr>
            <w:webHidden/>
          </w:rPr>
          <w:fldChar w:fldCharType="end"/>
        </w:r>
      </w:hyperlink>
    </w:p>
    <w:p w14:paraId="1C33E155" w14:textId="6DECDB8C" w:rsidR="00CC796F" w:rsidRDefault="00B73640" w:rsidP="000E0DD4">
      <w:pPr>
        <w:pStyle w:val="TOC2"/>
      </w:pPr>
      <w:r>
        <w:fldChar w:fldCharType="end"/>
      </w:r>
    </w:p>
    <w:p w14:paraId="2B3D68DE" w14:textId="77777777" w:rsidR="000E0DD4" w:rsidRPr="000E0DD4" w:rsidRDefault="000E0DD4" w:rsidP="000E0DD4">
      <w:pPr>
        <w:rPr>
          <w:lang w:eastAsia="en-AU"/>
        </w:rPr>
      </w:pPr>
    </w:p>
    <w:p w14:paraId="0D584290" w14:textId="77777777" w:rsidR="00B73640" w:rsidRDefault="00B73640" w:rsidP="00F449BE">
      <w:pPr>
        <w:pStyle w:val="TOC1"/>
        <w:rPr>
          <w:rFonts w:cstheme="minorHAnsi"/>
          <w:color w:val="309CC8" w:themeColor="text2"/>
        </w:rPr>
      </w:pPr>
      <w:r w:rsidRPr="0073419E">
        <w:lastRenderedPageBreak/>
        <w:t>Figures</w:t>
      </w:r>
    </w:p>
    <w:p w14:paraId="5B8D9AD2" w14:textId="77777777" w:rsidR="000E0DD4" w:rsidRDefault="00B73640" w:rsidP="000E0DD4">
      <w:pPr>
        <w:pStyle w:val="TOC2"/>
        <w:rPr>
          <w:b/>
          <w:caps/>
        </w:rPr>
      </w:pPr>
      <w:r>
        <w:rPr>
          <w:b/>
          <w:caps/>
          <w:color w:val="309CC8" w:themeColor="accent2"/>
          <w:sz w:val="22"/>
        </w:rPr>
        <w:fldChar w:fldCharType="begin"/>
      </w:r>
      <w:r>
        <w:instrText xml:space="preserve"> TOC \h \z \t "Heading 1,1,Heading 2,2,Heading 3,3,CCA Figure Header,1" </w:instrText>
      </w:r>
      <w:r>
        <w:rPr>
          <w:b/>
          <w:caps/>
          <w:color w:val="309CC8" w:themeColor="accent2"/>
          <w:sz w:val="22"/>
        </w:rPr>
        <w:fldChar w:fldCharType="separate"/>
      </w:r>
      <w:hyperlink w:anchor="_Toc532914023" w:history="1">
        <w:r w:rsidR="000E0DD4" w:rsidRPr="00C0177D">
          <w:rPr>
            <w:rStyle w:val="Hyperlink"/>
            <w:rFonts w:ascii="Arial Bold" w:eastAsia="Calibri" w:hAnsi="Arial Bold" w:cs="Times New Roman"/>
            <w:b/>
            <w:iCs/>
            <w:caps/>
          </w:rPr>
          <w:t>Figure 1</w:t>
        </w:r>
        <w:r w:rsidR="000E0DD4">
          <w:rPr>
            <w:b/>
            <w:caps/>
          </w:rPr>
          <w:tab/>
        </w:r>
        <w:r w:rsidR="000E0DD4" w:rsidRPr="00C0177D">
          <w:rPr>
            <w:rStyle w:val="Hyperlink"/>
          </w:rPr>
          <w:t>Focus of the review</w:t>
        </w:r>
        <w:r w:rsidR="000E0DD4">
          <w:rPr>
            <w:webHidden/>
          </w:rPr>
          <w:tab/>
        </w:r>
        <w:r w:rsidR="000E0DD4">
          <w:rPr>
            <w:webHidden/>
          </w:rPr>
          <w:fldChar w:fldCharType="begin"/>
        </w:r>
        <w:r w:rsidR="000E0DD4">
          <w:rPr>
            <w:webHidden/>
          </w:rPr>
          <w:instrText xml:space="preserve"> PAGEREF _Toc532914023 \h </w:instrText>
        </w:r>
        <w:r w:rsidR="000E0DD4">
          <w:rPr>
            <w:webHidden/>
          </w:rPr>
        </w:r>
        <w:r w:rsidR="000E0DD4">
          <w:rPr>
            <w:webHidden/>
          </w:rPr>
          <w:fldChar w:fldCharType="separate"/>
        </w:r>
        <w:r w:rsidR="009A203A">
          <w:rPr>
            <w:webHidden/>
          </w:rPr>
          <w:t>13</w:t>
        </w:r>
        <w:r w:rsidR="000E0DD4">
          <w:rPr>
            <w:webHidden/>
          </w:rPr>
          <w:fldChar w:fldCharType="end"/>
        </w:r>
      </w:hyperlink>
    </w:p>
    <w:p w14:paraId="62796026" w14:textId="2DDDF1E0" w:rsidR="000E0DD4" w:rsidRDefault="00F23AB7" w:rsidP="000E0DD4">
      <w:pPr>
        <w:pStyle w:val="TOC2"/>
        <w:ind w:left="1560" w:hanging="1560"/>
        <w:rPr>
          <w:b/>
          <w:caps/>
        </w:rPr>
      </w:pPr>
      <w:hyperlink w:anchor="_Toc532914024" w:history="1">
        <w:r w:rsidR="000E0DD4" w:rsidRPr="00C0177D">
          <w:rPr>
            <w:rStyle w:val="Hyperlink"/>
            <w:rFonts w:ascii="Arial Bold" w:hAnsi="Arial Bold"/>
            <w:b/>
            <w:caps/>
          </w:rPr>
          <w:t>Figure 2</w:t>
        </w:r>
        <w:r w:rsidR="000E0DD4">
          <w:rPr>
            <w:b/>
            <w:caps/>
          </w:rPr>
          <w:tab/>
        </w:r>
        <w:r w:rsidR="000E0DD4" w:rsidRPr="00C0177D">
          <w:rPr>
            <w:rStyle w:val="Hyperlink"/>
          </w:rPr>
          <w:t xml:space="preserve">The National Greenhouse and Energy Reporting Act 2007 and its supporting </w:t>
        </w:r>
        <w:r w:rsidR="000E0DD4">
          <w:rPr>
            <w:rStyle w:val="Hyperlink"/>
          </w:rPr>
          <w:br/>
        </w:r>
        <w:r w:rsidR="000E0DD4" w:rsidRPr="00C0177D">
          <w:rPr>
            <w:rStyle w:val="Hyperlink"/>
          </w:rPr>
          <w:t>legislative instruments</w:t>
        </w:r>
        <w:r w:rsidR="000E0DD4">
          <w:rPr>
            <w:webHidden/>
          </w:rPr>
          <w:tab/>
        </w:r>
        <w:r w:rsidR="000E0DD4">
          <w:rPr>
            <w:webHidden/>
          </w:rPr>
          <w:fldChar w:fldCharType="begin"/>
        </w:r>
        <w:r w:rsidR="000E0DD4">
          <w:rPr>
            <w:webHidden/>
          </w:rPr>
          <w:instrText xml:space="preserve"> PAGEREF _Toc532914024 \h </w:instrText>
        </w:r>
        <w:r w:rsidR="000E0DD4">
          <w:rPr>
            <w:webHidden/>
          </w:rPr>
        </w:r>
        <w:r w:rsidR="000E0DD4">
          <w:rPr>
            <w:webHidden/>
          </w:rPr>
          <w:fldChar w:fldCharType="separate"/>
        </w:r>
        <w:r w:rsidR="009A203A">
          <w:rPr>
            <w:webHidden/>
          </w:rPr>
          <w:t>15</w:t>
        </w:r>
        <w:r w:rsidR="000E0DD4">
          <w:rPr>
            <w:webHidden/>
          </w:rPr>
          <w:fldChar w:fldCharType="end"/>
        </w:r>
      </w:hyperlink>
    </w:p>
    <w:p w14:paraId="656A874A" w14:textId="77777777" w:rsidR="000E0DD4" w:rsidRDefault="00F23AB7" w:rsidP="000E0DD4">
      <w:pPr>
        <w:pStyle w:val="TOC2"/>
        <w:rPr>
          <w:b/>
          <w:caps/>
        </w:rPr>
      </w:pPr>
      <w:hyperlink w:anchor="_Toc532914025" w:history="1">
        <w:r w:rsidR="000E0DD4" w:rsidRPr="00C0177D">
          <w:rPr>
            <w:rStyle w:val="Hyperlink"/>
            <w:rFonts w:ascii="Arial Bold" w:hAnsi="Arial Bold"/>
            <w:b/>
            <w:caps/>
          </w:rPr>
          <w:t>Figure 3</w:t>
        </w:r>
        <w:r w:rsidR="000E0DD4">
          <w:rPr>
            <w:b/>
            <w:caps/>
          </w:rPr>
          <w:tab/>
        </w:r>
        <w:r w:rsidR="000E0DD4" w:rsidRPr="00C0177D">
          <w:rPr>
            <w:rStyle w:val="Hyperlink"/>
          </w:rPr>
          <w:t>Key elements of the legislation</w:t>
        </w:r>
        <w:r w:rsidR="000E0DD4">
          <w:rPr>
            <w:webHidden/>
          </w:rPr>
          <w:tab/>
        </w:r>
        <w:r w:rsidR="000E0DD4">
          <w:rPr>
            <w:webHidden/>
          </w:rPr>
          <w:fldChar w:fldCharType="begin"/>
        </w:r>
        <w:r w:rsidR="000E0DD4">
          <w:rPr>
            <w:webHidden/>
          </w:rPr>
          <w:instrText xml:space="preserve"> PAGEREF _Toc532914025 \h </w:instrText>
        </w:r>
        <w:r w:rsidR="000E0DD4">
          <w:rPr>
            <w:webHidden/>
          </w:rPr>
        </w:r>
        <w:r w:rsidR="000E0DD4">
          <w:rPr>
            <w:webHidden/>
          </w:rPr>
          <w:fldChar w:fldCharType="separate"/>
        </w:r>
        <w:r w:rsidR="009A203A">
          <w:rPr>
            <w:webHidden/>
          </w:rPr>
          <w:t>16</w:t>
        </w:r>
        <w:r w:rsidR="000E0DD4">
          <w:rPr>
            <w:webHidden/>
          </w:rPr>
          <w:fldChar w:fldCharType="end"/>
        </w:r>
      </w:hyperlink>
    </w:p>
    <w:p w14:paraId="42D51AE4" w14:textId="77777777" w:rsidR="000E0DD4" w:rsidRDefault="00F23AB7" w:rsidP="000E0DD4">
      <w:pPr>
        <w:pStyle w:val="TOC2"/>
        <w:rPr>
          <w:b/>
          <w:caps/>
        </w:rPr>
      </w:pPr>
      <w:hyperlink w:anchor="_Toc532914026" w:history="1">
        <w:r w:rsidR="000E0DD4" w:rsidRPr="00C0177D">
          <w:rPr>
            <w:rStyle w:val="Hyperlink"/>
            <w:rFonts w:ascii="Arial Bold" w:hAnsi="Arial Bold"/>
            <w:b/>
            <w:caps/>
          </w:rPr>
          <w:t>Figure 4</w:t>
        </w:r>
        <w:r w:rsidR="000E0DD4">
          <w:rPr>
            <w:b/>
            <w:caps/>
          </w:rPr>
          <w:tab/>
        </w:r>
        <w:r w:rsidR="000E0DD4" w:rsidRPr="00C0177D">
          <w:rPr>
            <w:rStyle w:val="Hyperlink"/>
          </w:rPr>
          <w:t>Reported net energy consumption by sector, 2016–17</w:t>
        </w:r>
        <w:r w:rsidR="000E0DD4">
          <w:rPr>
            <w:webHidden/>
          </w:rPr>
          <w:tab/>
        </w:r>
        <w:r w:rsidR="000E0DD4">
          <w:rPr>
            <w:webHidden/>
          </w:rPr>
          <w:fldChar w:fldCharType="begin"/>
        </w:r>
        <w:r w:rsidR="000E0DD4">
          <w:rPr>
            <w:webHidden/>
          </w:rPr>
          <w:instrText xml:space="preserve"> PAGEREF _Toc532914026 \h </w:instrText>
        </w:r>
        <w:r w:rsidR="000E0DD4">
          <w:rPr>
            <w:webHidden/>
          </w:rPr>
        </w:r>
        <w:r w:rsidR="000E0DD4">
          <w:rPr>
            <w:webHidden/>
          </w:rPr>
          <w:fldChar w:fldCharType="separate"/>
        </w:r>
        <w:r w:rsidR="009A203A">
          <w:rPr>
            <w:webHidden/>
          </w:rPr>
          <w:t>19</w:t>
        </w:r>
        <w:r w:rsidR="000E0DD4">
          <w:rPr>
            <w:webHidden/>
          </w:rPr>
          <w:fldChar w:fldCharType="end"/>
        </w:r>
      </w:hyperlink>
    </w:p>
    <w:p w14:paraId="04758415" w14:textId="77777777" w:rsidR="000E0DD4" w:rsidRDefault="00F23AB7" w:rsidP="000E0DD4">
      <w:pPr>
        <w:pStyle w:val="TOC2"/>
        <w:rPr>
          <w:b/>
          <w:caps/>
        </w:rPr>
      </w:pPr>
      <w:hyperlink w:anchor="_Toc532914027" w:history="1">
        <w:r w:rsidR="000E0DD4" w:rsidRPr="00C0177D">
          <w:rPr>
            <w:rStyle w:val="Hyperlink"/>
            <w:rFonts w:ascii="Arial Bold" w:hAnsi="Arial Bold"/>
            <w:b/>
            <w:caps/>
          </w:rPr>
          <w:t>Figure 5</w:t>
        </w:r>
        <w:r w:rsidR="000E0DD4">
          <w:rPr>
            <w:b/>
            <w:caps/>
          </w:rPr>
          <w:tab/>
        </w:r>
        <w:r w:rsidR="000E0DD4" w:rsidRPr="00C0177D">
          <w:rPr>
            <w:rStyle w:val="Hyperlink"/>
          </w:rPr>
          <w:t>Scope 1 and 2 emissions</w:t>
        </w:r>
        <w:r w:rsidR="000E0DD4">
          <w:rPr>
            <w:webHidden/>
          </w:rPr>
          <w:tab/>
        </w:r>
        <w:r w:rsidR="000E0DD4">
          <w:rPr>
            <w:webHidden/>
          </w:rPr>
          <w:fldChar w:fldCharType="begin"/>
        </w:r>
        <w:r w:rsidR="000E0DD4">
          <w:rPr>
            <w:webHidden/>
          </w:rPr>
          <w:instrText xml:space="preserve"> PAGEREF _Toc532914027 \h </w:instrText>
        </w:r>
        <w:r w:rsidR="000E0DD4">
          <w:rPr>
            <w:webHidden/>
          </w:rPr>
        </w:r>
        <w:r w:rsidR="000E0DD4">
          <w:rPr>
            <w:webHidden/>
          </w:rPr>
          <w:fldChar w:fldCharType="separate"/>
        </w:r>
        <w:r w:rsidR="009A203A">
          <w:rPr>
            <w:webHidden/>
          </w:rPr>
          <w:t>20</w:t>
        </w:r>
        <w:r w:rsidR="000E0DD4">
          <w:rPr>
            <w:webHidden/>
          </w:rPr>
          <w:fldChar w:fldCharType="end"/>
        </w:r>
      </w:hyperlink>
    </w:p>
    <w:p w14:paraId="2B58D8A5" w14:textId="6E0F09E2" w:rsidR="000E0DD4" w:rsidRDefault="00F23AB7" w:rsidP="000E0DD4">
      <w:pPr>
        <w:pStyle w:val="TOC2"/>
        <w:ind w:left="1560" w:hanging="1560"/>
        <w:rPr>
          <w:b/>
          <w:caps/>
        </w:rPr>
      </w:pPr>
      <w:hyperlink w:anchor="_Toc532914028" w:history="1">
        <w:r w:rsidR="000E0DD4" w:rsidRPr="00C0177D">
          <w:rPr>
            <w:rStyle w:val="Hyperlink"/>
            <w:rFonts w:ascii="Arial Bold" w:hAnsi="Arial Bold"/>
            <w:b/>
            <w:caps/>
          </w:rPr>
          <w:t>Figure 6</w:t>
        </w:r>
        <w:r w:rsidR="000E0DD4">
          <w:rPr>
            <w:b/>
            <w:caps/>
          </w:rPr>
          <w:tab/>
        </w:r>
        <w:r w:rsidR="000E0DD4" w:rsidRPr="00C0177D">
          <w:rPr>
            <w:rStyle w:val="Hyperlink"/>
          </w:rPr>
          <w:t xml:space="preserve">Number of safeguard facilities by sector, excluding grid-connected electricity </w:t>
        </w:r>
        <w:r w:rsidR="000E0DD4">
          <w:rPr>
            <w:rStyle w:val="Hyperlink"/>
          </w:rPr>
          <w:br/>
        </w:r>
        <w:r w:rsidR="000E0DD4" w:rsidRPr="00C0177D">
          <w:rPr>
            <w:rStyle w:val="Hyperlink"/>
          </w:rPr>
          <w:t>generators</w:t>
        </w:r>
        <w:r w:rsidR="000E0DD4">
          <w:rPr>
            <w:webHidden/>
          </w:rPr>
          <w:tab/>
        </w:r>
        <w:r w:rsidR="000E0DD4">
          <w:rPr>
            <w:webHidden/>
          </w:rPr>
          <w:fldChar w:fldCharType="begin"/>
        </w:r>
        <w:r w:rsidR="000E0DD4">
          <w:rPr>
            <w:webHidden/>
          </w:rPr>
          <w:instrText xml:space="preserve"> PAGEREF _Toc532914028 \h </w:instrText>
        </w:r>
        <w:r w:rsidR="000E0DD4">
          <w:rPr>
            <w:webHidden/>
          </w:rPr>
        </w:r>
        <w:r w:rsidR="000E0DD4">
          <w:rPr>
            <w:webHidden/>
          </w:rPr>
          <w:fldChar w:fldCharType="separate"/>
        </w:r>
        <w:r w:rsidR="009A203A">
          <w:rPr>
            <w:webHidden/>
          </w:rPr>
          <w:t>23</w:t>
        </w:r>
        <w:r w:rsidR="000E0DD4">
          <w:rPr>
            <w:webHidden/>
          </w:rPr>
          <w:fldChar w:fldCharType="end"/>
        </w:r>
      </w:hyperlink>
    </w:p>
    <w:p w14:paraId="0A7C0291" w14:textId="77777777" w:rsidR="000E0DD4" w:rsidRDefault="00F23AB7" w:rsidP="000E0DD4">
      <w:pPr>
        <w:pStyle w:val="TOC2"/>
        <w:rPr>
          <w:b/>
          <w:caps/>
        </w:rPr>
      </w:pPr>
      <w:hyperlink w:anchor="_Toc532914029" w:history="1">
        <w:r w:rsidR="000E0DD4" w:rsidRPr="00C0177D">
          <w:rPr>
            <w:rStyle w:val="Hyperlink"/>
            <w:rFonts w:ascii="Arial Bold" w:hAnsi="Arial Bold"/>
            <w:b/>
            <w:caps/>
          </w:rPr>
          <w:t>Figure 7</w:t>
        </w:r>
        <w:r w:rsidR="000E0DD4">
          <w:rPr>
            <w:b/>
            <w:caps/>
          </w:rPr>
          <w:tab/>
        </w:r>
        <w:r w:rsidR="000E0DD4" w:rsidRPr="00C0177D">
          <w:rPr>
            <w:rStyle w:val="Hyperlink"/>
          </w:rPr>
          <w:t>Timeline for the reporting scheme and the safeguard</w:t>
        </w:r>
        <w:r w:rsidR="000E0DD4">
          <w:rPr>
            <w:webHidden/>
          </w:rPr>
          <w:tab/>
        </w:r>
        <w:r w:rsidR="000E0DD4">
          <w:rPr>
            <w:webHidden/>
          </w:rPr>
          <w:fldChar w:fldCharType="begin"/>
        </w:r>
        <w:r w:rsidR="000E0DD4">
          <w:rPr>
            <w:webHidden/>
          </w:rPr>
          <w:instrText xml:space="preserve"> PAGEREF _Toc532914029 \h </w:instrText>
        </w:r>
        <w:r w:rsidR="000E0DD4">
          <w:rPr>
            <w:webHidden/>
          </w:rPr>
        </w:r>
        <w:r w:rsidR="000E0DD4">
          <w:rPr>
            <w:webHidden/>
          </w:rPr>
          <w:fldChar w:fldCharType="separate"/>
        </w:r>
        <w:r w:rsidR="009A203A">
          <w:rPr>
            <w:webHidden/>
          </w:rPr>
          <w:t>26</w:t>
        </w:r>
        <w:r w:rsidR="000E0DD4">
          <w:rPr>
            <w:webHidden/>
          </w:rPr>
          <w:fldChar w:fldCharType="end"/>
        </w:r>
      </w:hyperlink>
    </w:p>
    <w:p w14:paraId="527B393C" w14:textId="77777777" w:rsidR="000E0DD4" w:rsidRDefault="00F23AB7" w:rsidP="000E0DD4">
      <w:pPr>
        <w:pStyle w:val="TOC2"/>
        <w:rPr>
          <w:b/>
          <w:caps/>
        </w:rPr>
      </w:pPr>
      <w:hyperlink w:anchor="_Toc532914030" w:history="1">
        <w:r w:rsidR="000E0DD4" w:rsidRPr="00C0177D">
          <w:rPr>
            <w:rStyle w:val="Hyperlink"/>
            <w:rFonts w:ascii="Arial Bold" w:hAnsi="Arial Bold"/>
            <w:b/>
            <w:caps/>
          </w:rPr>
          <w:t>Figure 8</w:t>
        </w:r>
        <w:r w:rsidR="000E0DD4">
          <w:rPr>
            <w:b/>
            <w:caps/>
          </w:rPr>
          <w:tab/>
        </w:r>
        <w:r w:rsidR="000E0DD4" w:rsidRPr="00C0177D">
          <w:rPr>
            <w:rStyle w:val="Hyperlink"/>
          </w:rPr>
          <w:t>The Clean Energy Regulator’s tiered approach to compliance</w:t>
        </w:r>
        <w:r w:rsidR="000E0DD4">
          <w:rPr>
            <w:webHidden/>
          </w:rPr>
          <w:tab/>
        </w:r>
        <w:r w:rsidR="000E0DD4">
          <w:rPr>
            <w:webHidden/>
          </w:rPr>
          <w:fldChar w:fldCharType="begin"/>
        </w:r>
        <w:r w:rsidR="000E0DD4">
          <w:rPr>
            <w:webHidden/>
          </w:rPr>
          <w:instrText xml:space="preserve"> PAGEREF _Toc532914030 \h </w:instrText>
        </w:r>
        <w:r w:rsidR="000E0DD4">
          <w:rPr>
            <w:webHidden/>
          </w:rPr>
        </w:r>
        <w:r w:rsidR="000E0DD4">
          <w:rPr>
            <w:webHidden/>
          </w:rPr>
          <w:fldChar w:fldCharType="separate"/>
        </w:r>
        <w:r w:rsidR="009A203A">
          <w:rPr>
            <w:webHidden/>
          </w:rPr>
          <w:t>27</w:t>
        </w:r>
        <w:r w:rsidR="000E0DD4">
          <w:rPr>
            <w:webHidden/>
          </w:rPr>
          <w:fldChar w:fldCharType="end"/>
        </w:r>
      </w:hyperlink>
    </w:p>
    <w:p w14:paraId="5C4F945A" w14:textId="2A697A61" w:rsidR="000E0DD4" w:rsidRDefault="00F23AB7" w:rsidP="000E0DD4">
      <w:pPr>
        <w:pStyle w:val="TOC2"/>
        <w:ind w:left="1560" w:hanging="1560"/>
        <w:rPr>
          <w:b/>
          <w:caps/>
        </w:rPr>
      </w:pPr>
      <w:hyperlink w:anchor="_Toc532914031" w:history="1">
        <w:r w:rsidR="000E0DD4" w:rsidRPr="00C0177D">
          <w:rPr>
            <w:rStyle w:val="Hyperlink"/>
            <w:rFonts w:ascii="Arial Bold" w:hAnsi="Arial Bold"/>
            <w:b/>
            <w:caps/>
          </w:rPr>
          <w:t>Figure 9</w:t>
        </w:r>
        <w:r w:rsidR="000E0DD4">
          <w:rPr>
            <w:b/>
            <w:caps/>
          </w:rPr>
          <w:tab/>
        </w:r>
        <w:r w:rsidR="000E0DD4" w:rsidRPr="00C0177D">
          <w:rPr>
            <w:rStyle w:val="Hyperlink"/>
          </w:rPr>
          <w:t>Emissions source categories in the National Greenhouse Gas Inventory informed by</w:t>
        </w:r>
        <w:r w:rsidR="000E0DD4">
          <w:rPr>
            <w:rStyle w:val="Hyperlink"/>
          </w:rPr>
          <w:br/>
        </w:r>
        <w:r w:rsidR="000E0DD4" w:rsidRPr="00C0177D">
          <w:rPr>
            <w:rStyle w:val="Hyperlink"/>
          </w:rPr>
          <w:t>data from the reporting scheme</w:t>
        </w:r>
        <w:r w:rsidR="000E0DD4">
          <w:rPr>
            <w:webHidden/>
          </w:rPr>
          <w:tab/>
        </w:r>
        <w:r w:rsidR="000E0DD4">
          <w:rPr>
            <w:webHidden/>
          </w:rPr>
          <w:fldChar w:fldCharType="begin"/>
        </w:r>
        <w:r w:rsidR="000E0DD4">
          <w:rPr>
            <w:webHidden/>
          </w:rPr>
          <w:instrText xml:space="preserve"> PAGEREF _Toc532914031 \h </w:instrText>
        </w:r>
        <w:r w:rsidR="000E0DD4">
          <w:rPr>
            <w:webHidden/>
          </w:rPr>
        </w:r>
        <w:r w:rsidR="000E0DD4">
          <w:rPr>
            <w:webHidden/>
          </w:rPr>
          <w:fldChar w:fldCharType="separate"/>
        </w:r>
        <w:r w:rsidR="009A203A">
          <w:rPr>
            <w:webHidden/>
          </w:rPr>
          <w:t>30</w:t>
        </w:r>
        <w:r w:rsidR="000E0DD4">
          <w:rPr>
            <w:webHidden/>
          </w:rPr>
          <w:fldChar w:fldCharType="end"/>
        </w:r>
      </w:hyperlink>
    </w:p>
    <w:p w14:paraId="73FB2D90" w14:textId="77777777" w:rsidR="000E0DD4" w:rsidRDefault="00F23AB7" w:rsidP="000E0DD4">
      <w:pPr>
        <w:pStyle w:val="TOC2"/>
        <w:rPr>
          <w:b/>
          <w:caps/>
        </w:rPr>
      </w:pPr>
      <w:hyperlink w:anchor="_Toc532914032" w:history="1">
        <w:r w:rsidR="000E0DD4" w:rsidRPr="00C0177D">
          <w:rPr>
            <w:rStyle w:val="Hyperlink"/>
            <w:rFonts w:ascii="Arial Bold" w:hAnsi="Arial Bold"/>
            <w:b/>
            <w:caps/>
          </w:rPr>
          <w:t>Figure 10</w:t>
        </w:r>
        <w:r w:rsidR="000E0DD4">
          <w:rPr>
            <w:b/>
            <w:caps/>
          </w:rPr>
          <w:tab/>
        </w:r>
        <w:r w:rsidR="000E0DD4" w:rsidRPr="00C0177D">
          <w:rPr>
            <w:rStyle w:val="Hyperlink"/>
          </w:rPr>
          <w:t>Emissions thresholds and scheme coverage – international comparison</w:t>
        </w:r>
        <w:r w:rsidR="000E0DD4">
          <w:rPr>
            <w:webHidden/>
          </w:rPr>
          <w:tab/>
        </w:r>
        <w:r w:rsidR="000E0DD4">
          <w:rPr>
            <w:webHidden/>
          </w:rPr>
          <w:fldChar w:fldCharType="begin"/>
        </w:r>
        <w:r w:rsidR="000E0DD4">
          <w:rPr>
            <w:webHidden/>
          </w:rPr>
          <w:instrText xml:space="preserve"> PAGEREF _Toc532914032 \h </w:instrText>
        </w:r>
        <w:r w:rsidR="000E0DD4">
          <w:rPr>
            <w:webHidden/>
          </w:rPr>
        </w:r>
        <w:r w:rsidR="000E0DD4">
          <w:rPr>
            <w:webHidden/>
          </w:rPr>
          <w:fldChar w:fldCharType="separate"/>
        </w:r>
        <w:r w:rsidR="009A203A">
          <w:rPr>
            <w:webHidden/>
          </w:rPr>
          <w:t>47</w:t>
        </w:r>
        <w:r w:rsidR="000E0DD4">
          <w:rPr>
            <w:webHidden/>
          </w:rPr>
          <w:fldChar w:fldCharType="end"/>
        </w:r>
      </w:hyperlink>
    </w:p>
    <w:p w14:paraId="060FEA99" w14:textId="77777777" w:rsidR="000E0DD4" w:rsidRDefault="00F23AB7" w:rsidP="000E0DD4">
      <w:pPr>
        <w:pStyle w:val="TOC2"/>
        <w:rPr>
          <w:b/>
          <w:caps/>
        </w:rPr>
      </w:pPr>
      <w:hyperlink w:anchor="_Toc532914033" w:history="1">
        <w:r w:rsidR="000E0DD4" w:rsidRPr="00C0177D">
          <w:rPr>
            <w:rStyle w:val="Hyperlink"/>
            <w:rFonts w:ascii="Arial Bold" w:hAnsi="Arial Bold"/>
            <w:b/>
            <w:caps/>
          </w:rPr>
          <w:t>Figure 11</w:t>
        </w:r>
        <w:r w:rsidR="000E0DD4">
          <w:rPr>
            <w:b/>
            <w:caps/>
          </w:rPr>
          <w:tab/>
        </w:r>
        <w:r w:rsidR="000E0DD4" w:rsidRPr="00C0177D">
          <w:rPr>
            <w:rStyle w:val="Hyperlink"/>
          </w:rPr>
          <w:t>Number of reporters meeting each reporting threshold, 2016–17</w:t>
        </w:r>
        <w:r w:rsidR="000E0DD4">
          <w:rPr>
            <w:webHidden/>
          </w:rPr>
          <w:tab/>
        </w:r>
        <w:r w:rsidR="000E0DD4">
          <w:rPr>
            <w:webHidden/>
          </w:rPr>
          <w:fldChar w:fldCharType="begin"/>
        </w:r>
        <w:r w:rsidR="000E0DD4">
          <w:rPr>
            <w:webHidden/>
          </w:rPr>
          <w:instrText xml:space="preserve"> PAGEREF _Toc532914033 \h </w:instrText>
        </w:r>
        <w:r w:rsidR="000E0DD4">
          <w:rPr>
            <w:webHidden/>
          </w:rPr>
        </w:r>
        <w:r w:rsidR="000E0DD4">
          <w:rPr>
            <w:webHidden/>
          </w:rPr>
          <w:fldChar w:fldCharType="separate"/>
        </w:r>
        <w:r w:rsidR="009A203A">
          <w:rPr>
            <w:webHidden/>
          </w:rPr>
          <w:t>48</w:t>
        </w:r>
        <w:r w:rsidR="000E0DD4">
          <w:rPr>
            <w:webHidden/>
          </w:rPr>
          <w:fldChar w:fldCharType="end"/>
        </w:r>
      </w:hyperlink>
    </w:p>
    <w:p w14:paraId="2BA797AC" w14:textId="77777777" w:rsidR="000E0DD4" w:rsidRDefault="00F23AB7" w:rsidP="000E0DD4">
      <w:pPr>
        <w:pStyle w:val="TOC2"/>
        <w:rPr>
          <w:b/>
          <w:caps/>
        </w:rPr>
      </w:pPr>
      <w:hyperlink w:anchor="_Toc532914034" w:history="1">
        <w:r w:rsidR="000E0DD4" w:rsidRPr="00C0177D">
          <w:rPr>
            <w:rStyle w:val="Hyperlink"/>
            <w:rFonts w:ascii="Arial Bold" w:hAnsi="Arial Bold"/>
            <w:b/>
            <w:caps/>
          </w:rPr>
          <w:t>Figure 12</w:t>
        </w:r>
        <w:r w:rsidR="000E0DD4">
          <w:rPr>
            <w:b/>
            <w:caps/>
          </w:rPr>
          <w:tab/>
        </w:r>
        <w:r w:rsidR="000E0DD4" w:rsidRPr="00C0177D">
          <w:rPr>
            <w:rStyle w:val="Hyperlink"/>
          </w:rPr>
          <w:t>Australian Carbon Credit Unit supply-demand balance</w:t>
        </w:r>
        <w:r w:rsidR="000E0DD4">
          <w:rPr>
            <w:webHidden/>
          </w:rPr>
          <w:tab/>
        </w:r>
        <w:r w:rsidR="000E0DD4">
          <w:rPr>
            <w:webHidden/>
          </w:rPr>
          <w:fldChar w:fldCharType="begin"/>
        </w:r>
        <w:r w:rsidR="000E0DD4">
          <w:rPr>
            <w:webHidden/>
          </w:rPr>
          <w:instrText xml:space="preserve"> PAGEREF _Toc532914034 \h </w:instrText>
        </w:r>
        <w:r w:rsidR="000E0DD4">
          <w:rPr>
            <w:webHidden/>
          </w:rPr>
        </w:r>
        <w:r w:rsidR="000E0DD4">
          <w:rPr>
            <w:webHidden/>
          </w:rPr>
          <w:fldChar w:fldCharType="separate"/>
        </w:r>
        <w:r w:rsidR="009A203A">
          <w:rPr>
            <w:webHidden/>
          </w:rPr>
          <w:t>62</w:t>
        </w:r>
        <w:r w:rsidR="000E0DD4">
          <w:rPr>
            <w:webHidden/>
          </w:rPr>
          <w:fldChar w:fldCharType="end"/>
        </w:r>
      </w:hyperlink>
    </w:p>
    <w:p w14:paraId="6C09B752" w14:textId="77777777" w:rsidR="007F71DA" w:rsidRDefault="00B73640" w:rsidP="0065438E">
      <w:pPr>
        <w:pStyle w:val="TOC2"/>
      </w:pPr>
      <w:r>
        <w:fldChar w:fldCharType="end"/>
      </w:r>
    </w:p>
    <w:p w14:paraId="4BCAAC6A" w14:textId="77777777" w:rsidR="00B73640" w:rsidRDefault="00B73640" w:rsidP="00F449BE">
      <w:pPr>
        <w:pStyle w:val="TOC1"/>
        <w:rPr>
          <w:rFonts w:cstheme="minorHAnsi"/>
          <w:color w:val="309CC8" w:themeColor="text2"/>
        </w:rPr>
      </w:pPr>
      <w:r w:rsidRPr="0073419E">
        <w:t>Boxes</w:t>
      </w:r>
    </w:p>
    <w:p w14:paraId="13CEA4C8" w14:textId="77777777" w:rsidR="000E0DD4" w:rsidRDefault="00B73640" w:rsidP="000E0DD4">
      <w:pPr>
        <w:pStyle w:val="TOC2"/>
        <w:rPr>
          <w:b/>
          <w:caps/>
        </w:rPr>
      </w:pPr>
      <w:r>
        <w:rPr>
          <w:rFonts w:cstheme="minorHAnsi"/>
          <w:b/>
          <w:caps/>
          <w:color w:val="309CC8" w:themeColor="text2"/>
          <w:sz w:val="22"/>
        </w:rPr>
        <w:fldChar w:fldCharType="begin"/>
      </w:r>
      <w:r>
        <w:rPr>
          <w:rFonts w:cstheme="minorHAnsi"/>
          <w:color w:val="309CC8" w:themeColor="text2"/>
        </w:rPr>
        <w:instrText xml:space="preserve"> TOC \h \z \t "CCA Box heading,1" </w:instrText>
      </w:r>
      <w:r>
        <w:rPr>
          <w:rFonts w:cstheme="minorHAnsi"/>
          <w:b/>
          <w:caps/>
          <w:color w:val="309CC8" w:themeColor="text2"/>
          <w:sz w:val="22"/>
        </w:rPr>
        <w:fldChar w:fldCharType="separate"/>
      </w:r>
      <w:hyperlink w:anchor="_Toc532914035" w:history="1">
        <w:r w:rsidR="000E0DD4" w:rsidRPr="00E318AB">
          <w:rPr>
            <w:rStyle w:val="Hyperlink"/>
            <w:rFonts w:ascii="Arial Bold" w:hAnsi="Arial Bold"/>
            <w:b/>
            <w:caps/>
          </w:rPr>
          <w:t>Box 1</w:t>
        </w:r>
        <w:r w:rsidR="000E0DD4">
          <w:rPr>
            <w:b/>
            <w:caps/>
          </w:rPr>
          <w:tab/>
        </w:r>
        <w:r w:rsidR="000E0DD4" w:rsidRPr="00E318AB">
          <w:rPr>
            <w:rStyle w:val="Hyperlink"/>
          </w:rPr>
          <w:t>Evolution of the National Greenhouse and Energy Reporting legislation</w:t>
        </w:r>
        <w:r w:rsidR="000E0DD4">
          <w:rPr>
            <w:webHidden/>
          </w:rPr>
          <w:tab/>
        </w:r>
        <w:r w:rsidR="000E0DD4">
          <w:rPr>
            <w:webHidden/>
          </w:rPr>
          <w:fldChar w:fldCharType="begin"/>
        </w:r>
        <w:r w:rsidR="000E0DD4">
          <w:rPr>
            <w:webHidden/>
          </w:rPr>
          <w:instrText xml:space="preserve"> PAGEREF _Toc532914035 \h </w:instrText>
        </w:r>
        <w:r w:rsidR="000E0DD4">
          <w:rPr>
            <w:webHidden/>
          </w:rPr>
        </w:r>
        <w:r w:rsidR="000E0DD4">
          <w:rPr>
            <w:webHidden/>
          </w:rPr>
          <w:fldChar w:fldCharType="separate"/>
        </w:r>
        <w:r w:rsidR="009A203A">
          <w:rPr>
            <w:webHidden/>
          </w:rPr>
          <w:t>17</w:t>
        </w:r>
        <w:r w:rsidR="000E0DD4">
          <w:rPr>
            <w:webHidden/>
          </w:rPr>
          <w:fldChar w:fldCharType="end"/>
        </w:r>
      </w:hyperlink>
    </w:p>
    <w:p w14:paraId="79943ABC" w14:textId="77777777" w:rsidR="000E0DD4" w:rsidRDefault="00F23AB7" w:rsidP="000E0DD4">
      <w:pPr>
        <w:pStyle w:val="TOC2"/>
        <w:rPr>
          <w:b/>
          <w:caps/>
        </w:rPr>
      </w:pPr>
      <w:hyperlink w:anchor="_Toc532914036" w:history="1">
        <w:r w:rsidR="000E0DD4" w:rsidRPr="00E318AB">
          <w:rPr>
            <w:rStyle w:val="Hyperlink"/>
            <w:rFonts w:ascii="Arial Bold" w:hAnsi="Arial Bold"/>
            <w:b/>
            <w:caps/>
          </w:rPr>
          <w:t>Box 2</w:t>
        </w:r>
        <w:r w:rsidR="000E0DD4">
          <w:rPr>
            <w:b/>
            <w:caps/>
          </w:rPr>
          <w:tab/>
        </w:r>
        <w:r w:rsidR="000E0DD4" w:rsidRPr="00E318AB">
          <w:rPr>
            <w:rStyle w:val="Hyperlink"/>
          </w:rPr>
          <w:t>Climate-related financial risk disclosure</w:t>
        </w:r>
        <w:r w:rsidR="000E0DD4">
          <w:rPr>
            <w:webHidden/>
          </w:rPr>
          <w:tab/>
        </w:r>
        <w:r w:rsidR="000E0DD4">
          <w:rPr>
            <w:webHidden/>
          </w:rPr>
          <w:fldChar w:fldCharType="begin"/>
        </w:r>
        <w:r w:rsidR="000E0DD4">
          <w:rPr>
            <w:webHidden/>
          </w:rPr>
          <w:instrText xml:space="preserve"> PAGEREF _Toc532914036 \h </w:instrText>
        </w:r>
        <w:r w:rsidR="000E0DD4">
          <w:rPr>
            <w:webHidden/>
          </w:rPr>
        </w:r>
        <w:r w:rsidR="000E0DD4">
          <w:rPr>
            <w:webHidden/>
          </w:rPr>
          <w:fldChar w:fldCharType="separate"/>
        </w:r>
        <w:r w:rsidR="009A203A">
          <w:rPr>
            <w:webHidden/>
          </w:rPr>
          <w:t>34</w:t>
        </w:r>
        <w:r w:rsidR="000E0DD4">
          <w:rPr>
            <w:webHidden/>
          </w:rPr>
          <w:fldChar w:fldCharType="end"/>
        </w:r>
      </w:hyperlink>
    </w:p>
    <w:p w14:paraId="469E3356" w14:textId="77777777" w:rsidR="000E0DD4" w:rsidRDefault="00F23AB7" w:rsidP="000E0DD4">
      <w:pPr>
        <w:pStyle w:val="TOC2"/>
        <w:rPr>
          <w:b/>
          <w:caps/>
        </w:rPr>
      </w:pPr>
      <w:hyperlink w:anchor="_Toc532914037" w:history="1">
        <w:r w:rsidR="000E0DD4" w:rsidRPr="00E318AB">
          <w:rPr>
            <w:rStyle w:val="Hyperlink"/>
            <w:rFonts w:ascii="Arial Bold" w:hAnsi="Arial Bold"/>
            <w:b/>
            <w:caps/>
          </w:rPr>
          <w:t>Box 3</w:t>
        </w:r>
        <w:r w:rsidR="000E0DD4">
          <w:rPr>
            <w:b/>
            <w:caps/>
          </w:rPr>
          <w:tab/>
        </w:r>
        <w:r w:rsidR="000E0DD4" w:rsidRPr="00E318AB">
          <w:rPr>
            <w:rStyle w:val="Hyperlink"/>
          </w:rPr>
          <w:t>Existing provisions for simplified reporting in the legislation</w:t>
        </w:r>
        <w:r w:rsidR="000E0DD4">
          <w:rPr>
            <w:webHidden/>
          </w:rPr>
          <w:tab/>
        </w:r>
        <w:r w:rsidR="000E0DD4">
          <w:rPr>
            <w:webHidden/>
          </w:rPr>
          <w:fldChar w:fldCharType="begin"/>
        </w:r>
        <w:r w:rsidR="000E0DD4">
          <w:rPr>
            <w:webHidden/>
          </w:rPr>
          <w:instrText xml:space="preserve"> PAGEREF _Toc532914037 \h </w:instrText>
        </w:r>
        <w:r w:rsidR="000E0DD4">
          <w:rPr>
            <w:webHidden/>
          </w:rPr>
        </w:r>
        <w:r w:rsidR="000E0DD4">
          <w:rPr>
            <w:webHidden/>
          </w:rPr>
          <w:fldChar w:fldCharType="separate"/>
        </w:r>
        <w:r w:rsidR="009A203A">
          <w:rPr>
            <w:webHidden/>
          </w:rPr>
          <w:t>43</w:t>
        </w:r>
        <w:r w:rsidR="000E0DD4">
          <w:rPr>
            <w:webHidden/>
          </w:rPr>
          <w:fldChar w:fldCharType="end"/>
        </w:r>
      </w:hyperlink>
    </w:p>
    <w:p w14:paraId="3E243997" w14:textId="77777777" w:rsidR="000E0DD4" w:rsidRDefault="00F23AB7" w:rsidP="000E0DD4">
      <w:pPr>
        <w:pStyle w:val="TOC2"/>
        <w:rPr>
          <w:b/>
          <w:caps/>
        </w:rPr>
      </w:pPr>
      <w:hyperlink w:anchor="_Toc532914038" w:history="1">
        <w:r w:rsidR="000E0DD4" w:rsidRPr="00E318AB">
          <w:rPr>
            <w:rStyle w:val="Hyperlink"/>
            <w:rFonts w:ascii="Arial Bold" w:hAnsi="Arial Bold"/>
            <w:b/>
            <w:caps/>
          </w:rPr>
          <w:t>Box 4</w:t>
        </w:r>
        <w:r w:rsidR="000E0DD4">
          <w:rPr>
            <w:b/>
            <w:caps/>
          </w:rPr>
          <w:tab/>
        </w:r>
        <w:r w:rsidR="000E0DD4" w:rsidRPr="00E318AB">
          <w:rPr>
            <w:rStyle w:val="Hyperlink"/>
          </w:rPr>
          <w:t>Case study on reporting sulphur hexafluoride</w:t>
        </w:r>
        <w:r w:rsidR="000E0DD4">
          <w:rPr>
            <w:webHidden/>
          </w:rPr>
          <w:tab/>
        </w:r>
        <w:r w:rsidR="000E0DD4">
          <w:rPr>
            <w:webHidden/>
          </w:rPr>
          <w:fldChar w:fldCharType="begin"/>
        </w:r>
        <w:r w:rsidR="000E0DD4">
          <w:rPr>
            <w:webHidden/>
          </w:rPr>
          <w:instrText xml:space="preserve"> PAGEREF _Toc532914038 \h </w:instrText>
        </w:r>
        <w:r w:rsidR="000E0DD4">
          <w:rPr>
            <w:webHidden/>
          </w:rPr>
        </w:r>
        <w:r w:rsidR="000E0DD4">
          <w:rPr>
            <w:webHidden/>
          </w:rPr>
          <w:fldChar w:fldCharType="separate"/>
        </w:r>
        <w:r w:rsidR="009A203A">
          <w:rPr>
            <w:webHidden/>
          </w:rPr>
          <w:t>45</w:t>
        </w:r>
        <w:r w:rsidR="000E0DD4">
          <w:rPr>
            <w:webHidden/>
          </w:rPr>
          <w:fldChar w:fldCharType="end"/>
        </w:r>
      </w:hyperlink>
    </w:p>
    <w:p w14:paraId="0EC23D69" w14:textId="77777777" w:rsidR="000E0DD4" w:rsidRDefault="00F23AB7" w:rsidP="000E0DD4">
      <w:pPr>
        <w:pStyle w:val="TOC2"/>
        <w:rPr>
          <w:b/>
          <w:caps/>
        </w:rPr>
      </w:pPr>
      <w:hyperlink w:anchor="_Toc532914039" w:history="1">
        <w:r w:rsidR="000E0DD4" w:rsidRPr="00E318AB">
          <w:rPr>
            <w:rStyle w:val="Hyperlink"/>
            <w:rFonts w:ascii="Arial Bold" w:hAnsi="Arial Bold"/>
            <w:b/>
            <w:caps/>
          </w:rPr>
          <w:t>Box 5</w:t>
        </w:r>
        <w:r w:rsidR="000E0DD4">
          <w:rPr>
            <w:b/>
            <w:caps/>
          </w:rPr>
          <w:tab/>
        </w:r>
        <w:r w:rsidR="000E0DD4" w:rsidRPr="00E318AB">
          <w:rPr>
            <w:rStyle w:val="Hyperlink"/>
          </w:rPr>
          <w:t>Estimated coverage of agricultural emissions</w:t>
        </w:r>
        <w:r w:rsidR="000E0DD4">
          <w:rPr>
            <w:webHidden/>
          </w:rPr>
          <w:tab/>
        </w:r>
        <w:r w:rsidR="000E0DD4">
          <w:rPr>
            <w:webHidden/>
          </w:rPr>
          <w:fldChar w:fldCharType="begin"/>
        </w:r>
        <w:r w:rsidR="000E0DD4">
          <w:rPr>
            <w:webHidden/>
          </w:rPr>
          <w:instrText xml:space="preserve"> PAGEREF _Toc532914039 \h </w:instrText>
        </w:r>
        <w:r w:rsidR="000E0DD4">
          <w:rPr>
            <w:webHidden/>
          </w:rPr>
        </w:r>
        <w:r w:rsidR="000E0DD4">
          <w:rPr>
            <w:webHidden/>
          </w:rPr>
          <w:fldChar w:fldCharType="separate"/>
        </w:r>
        <w:r w:rsidR="009A203A">
          <w:rPr>
            <w:webHidden/>
          </w:rPr>
          <w:t>50</w:t>
        </w:r>
        <w:r w:rsidR="000E0DD4">
          <w:rPr>
            <w:webHidden/>
          </w:rPr>
          <w:fldChar w:fldCharType="end"/>
        </w:r>
      </w:hyperlink>
    </w:p>
    <w:p w14:paraId="4CBA99AB" w14:textId="77777777" w:rsidR="000E0DD4" w:rsidRDefault="00F23AB7" w:rsidP="000E0DD4">
      <w:pPr>
        <w:pStyle w:val="TOC2"/>
        <w:rPr>
          <w:b/>
          <w:caps/>
        </w:rPr>
      </w:pPr>
      <w:hyperlink w:anchor="_Toc532914040" w:history="1">
        <w:r w:rsidR="000E0DD4" w:rsidRPr="00E318AB">
          <w:rPr>
            <w:rStyle w:val="Hyperlink"/>
            <w:rFonts w:ascii="Arial Bold" w:hAnsi="Arial Bold"/>
            <w:b/>
            <w:caps/>
          </w:rPr>
          <w:t>Box 6</w:t>
        </w:r>
        <w:r w:rsidR="000E0DD4">
          <w:rPr>
            <w:b/>
            <w:caps/>
          </w:rPr>
          <w:tab/>
        </w:r>
        <w:r w:rsidR="000E0DD4" w:rsidRPr="00E318AB">
          <w:rPr>
            <w:rStyle w:val="Hyperlink"/>
          </w:rPr>
          <w:t>Avenues available to companies seeking to purchase Australian Carbon Credit Units</w:t>
        </w:r>
        <w:r w:rsidR="000E0DD4">
          <w:rPr>
            <w:webHidden/>
          </w:rPr>
          <w:tab/>
        </w:r>
        <w:r w:rsidR="000E0DD4">
          <w:rPr>
            <w:webHidden/>
          </w:rPr>
          <w:fldChar w:fldCharType="begin"/>
        </w:r>
        <w:r w:rsidR="000E0DD4">
          <w:rPr>
            <w:webHidden/>
          </w:rPr>
          <w:instrText xml:space="preserve"> PAGEREF _Toc532914040 \h </w:instrText>
        </w:r>
        <w:r w:rsidR="000E0DD4">
          <w:rPr>
            <w:webHidden/>
          </w:rPr>
        </w:r>
        <w:r w:rsidR="000E0DD4">
          <w:rPr>
            <w:webHidden/>
          </w:rPr>
          <w:fldChar w:fldCharType="separate"/>
        </w:r>
        <w:r w:rsidR="009A203A">
          <w:rPr>
            <w:webHidden/>
          </w:rPr>
          <w:t>62</w:t>
        </w:r>
        <w:r w:rsidR="000E0DD4">
          <w:rPr>
            <w:webHidden/>
          </w:rPr>
          <w:fldChar w:fldCharType="end"/>
        </w:r>
      </w:hyperlink>
    </w:p>
    <w:p w14:paraId="2DA61BA0" w14:textId="77777777" w:rsidR="000E0DD4" w:rsidRDefault="00F23AB7" w:rsidP="000E0DD4">
      <w:pPr>
        <w:pStyle w:val="TOC2"/>
        <w:rPr>
          <w:b/>
          <w:caps/>
        </w:rPr>
      </w:pPr>
      <w:hyperlink w:anchor="_Toc532914041" w:history="1">
        <w:r w:rsidR="000E0DD4" w:rsidRPr="00E318AB">
          <w:rPr>
            <w:rStyle w:val="Hyperlink"/>
            <w:rFonts w:ascii="Arial Bold" w:hAnsi="Arial Bold"/>
            <w:b/>
            <w:caps/>
          </w:rPr>
          <w:t>Box 7</w:t>
        </w:r>
        <w:r w:rsidR="000E0DD4">
          <w:rPr>
            <w:b/>
            <w:caps/>
          </w:rPr>
          <w:tab/>
        </w:r>
        <w:r w:rsidR="000E0DD4" w:rsidRPr="00E318AB">
          <w:rPr>
            <w:rStyle w:val="Hyperlink"/>
          </w:rPr>
          <w:t>2016 Special Review findings</w:t>
        </w:r>
        <w:r w:rsidR="000E0DD4">
          <w:rPr>
            <w:webHidden/>
          </w:rPr>
          <w:tab/>
        </w:r>
        <w:r w:rsidR="000E0DD4">
          <w:rPr>
            <w:webHidden/>
          </w:rPr>
          <w:fldChar w:fldCharType="begin"/>
        </w:r>
        <w:r w:rsidR="000E0DD4">
          <w:rPr>
            <w:webHidden/>
          </w:rPr>
          <w:instrText xml:space="preserve"> PAGEREF _Toc532914041 \h </w:instrText>
        </w:r>
        <w:r w:rsidR="000E0DD4">
          <w:rPr>
            <w:webHidden/>
          </w:rPr>
        </w:r>
        <w:r w:rsidR="000E0DD4">
          <w:rPr>
            <w:webHidden/>
          </w:rPr>
          <w:fldChar w:fldCharType="separate"/>
        </w:r>
        <w:r w:rsidR="009A203A">
          <w:rPr>
            <w:webHidden/>
          </w:rPr>
          <w:t>71</w:t>
        </w:r>
        <w:r w:rsidR="000E0DD4">
          <w:rPr>
            <w:webHidden/>
          </w:rPr>
          <w:fldChar w:fldCharType="end"/>
        </w:r>
      </w:hyperlink>
    </w:p>
    <w:p w14:paraId="011E3768" w14:textId="77777777" w:rsidR="00132794" w:rsidRPr="00155241" w:rsidRDefault="00B73640" w:rsidP="000E0DD4">
      <w:pPr>
        <w:pStyle w:val="TOC2"/>
      </w:pPr>
      <w:r>
        <w:fldChar w:fldCharType="end"/>
      </w:r>
    </w:p>
    <w:p w14:paraId="02640072" w14:textId="771E688D" w:rsidR="00B73640" w:rsidRPr="00143B92" w:rsidRDefault="00B73640" w:rsidP="00143B92">
      <w:pPr>
        <w:tabs>
          <w:tab w:val="left" w:pos="2835"/>
        </w:tabs>
        <w:rPr>
          <w:webHidden/>
        </w:rPr>
        <w:sectPr w:rsidR="00B73640" w:rsidRPr="00143B92" w:rsidSect="00041493">
          <w:headerReference w:type="even" r:id="rId21"/>
          <w:headerReference w:type="default" r:id="rId22"/>
          <w:headerReference w:type="first" r:id="rId23"/>
          <w:pgSz w:w="11907" w:h="16840" w:code="9"/>
          <w:pgMar w:top="1418" w:right="1077" w:bottom="851" w:left="1077" w:header="851" w:footer="720" w:gutter="0"/>
          <w:pgNumType w:fmt="lowerRoman"/>
          <w:cols w:space="720"/>
          <w:docGrid w:linePitch="360"/>
        </w:sectPr>
      </w:pPr>
    </w:p>
    <w:p w14:paraId="5171D5C7" w14:textId="469419FD" w:rsidR="00EC2A38" w:rsidRPr="00155241" w:rsidRDefault="0046170D" w:rsidP="001D4F22">
      <w:pPr>
        <w:pStyle w:val="CCAheading1nonumber"/>
      </w:pPr>
      <w:bookmarkStart w:id="7" w:name="_Toc525642965"/>
      <w:bookmarkStart w:id="8" w:name="_Toc525644033"/>
      <w:bookmarkStart w:id="9" w:name="_Toc525661481"/>
      <w:bookmarkStart w:id="10" w:name="_Toc526430687"/>
      <w:bookmarkStart w:id="11" w:name="_Toc528140781"/>
      <w:bookmarkStart w:id="12" w:name="_Toc528143262"/>
      <w:bookmarkStart w:id="13" w:name="_Toc528770210"/>
      <w:bookmarkStart w:id="14" w:name="_Toc529183845"/>
      <w:bookmarkStart w:id="15" w:name="_Toc529187657"/>
      <w:bookmarkStart w:id="16" w:name="_Toc529188083"/>
      <w:bookmarkStart w:id="17" w:name="_Toc529377733"/>
      <w:bookmarkStart w:id="18" w:name="_Toc529389672"/>
      <w:bookmarkStart w:id="19" w:name="_Toc531095545"/>
      <w:bookmarkStart w:id="20" w:name="_Toc531099311"/>
      <w:bookmarkStart w:id="21" w:name="_Toc531101720"/>
      <w:bookmarkStart w:id="22" w:name="_Toc531763988"/>
      <w:bookmarkStart w:id="23" w:name="_Toc532912080"/>
      <w:bookmarkStart w:id="24" w:name="_Toc532914922"/>
      <w:r>
        <w:lastRenderedPageBreak/>
        <w:t>F</w:t>
      </w:r>
      <w:r w:rsidR="00EC2A38" w:rsidRPr="00155241">
        <w:t>oreword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7230E43" w14:textId="3E716F75" w:rsidR="00026744" w:rsidRPr="00026744" w:rsidRDefault="00026744" w:rsidP="00B57358">
      <w:pPr>
        <w:pStyle w:val="CCABodytext"/>
      </w:pPr>
      <w:r w:rsidRPr="00026744">
        <w:t>To develop effective responses to climate change and energy challenges, decision-makers in government and industry need to draw on a range of information. In Australia, the National Greenhouse and Energy Reporting legislation underpins much of this evidence base by requiring Australia’s largest companies to measure and report their greenhouse gas emissions</w:t>
      </w:r>
      <w:r w:rsidR="00E851B0">
        <w:t xml:space="preserve"> and</w:t>
      </w:r>
      <w:r w:rsidR="00BC597A">
        <w:t xml:space="preserve"> energy production and use</w:t>
      </w:r>
      <w:r w:rsidRPr="00026744">
        <w:t xml:space="preserve"> each year. </w:t>
      </w:r>
    </w:p>
    <w:p w14:paraId="36E6D816" w14:textId="77777777" w:rsidR="00026744" w:rsidRPr="00026744" w:rsidRDefault="00026744" w:rsidP="00B57358">
      <w:pPr>
        <w:pStyle w:val="CCABodytext"/>
      </w:pPr>
      <w:r w:rsidRPr="00026744">
        <w:t>The legislation also implements the safeguard mechanism, which places limits on emissions from large facilities in the industrial and electricity sectors and provides a framework for companies to measure, report and manage their emissions.</w:t>
      </w:r>
    </w:p>
    <w:p w14:paraId="50FCA33A" w14:textId="77777777" w:rsidR="00026744" w:rsidRPr="00026744" w:rsidRDefault="00026744" w:rsidP="00B57358">
      <w:pPr>
        <w:pStyle w:val="CCABodytext"/>
      </w:pPr>
      <w:r w:rsidRPr="00026744">
        <w:t xml:space="preserve">The Authority is pleased to present its review of the legislation here. </w:t>
      </w:r>
    </w:p>
    <w:p w14:paraId="070EBCBE" w14:textId="68B6CBDB" w:rsidR="00026744" w:rsidRPr="00026744" w:rsidRDefault="00026744" w:rsidP="00B57358">
      <w:pPr>
        <w:pStyle w:val="CCABodytext"/>
      </w:pPr>
      <w:r w:rsidRPr="00026744">
        <w:t xml:space="preserve">The Authority finds the </w:t>
      </w:r>
      <w:r w:rsidRPr="004032A3">
        <w:t xml:space="preserve">legislation is operating well, is meeting its </w:t>
      </w:r>
      <w:r w:rsidR="00395A77">
        <w:t xml:space="preserve">objectives and is generally fit for </w:t>
      </w:r>
      <w:r w:rsidRPr="004032A3">
        <w:t xml:space="preserve">purpose. The reporting scheme in particular has wide support from industry, governments and others who use the information reported. </w:t>
      </w:r>
      <w:r w:rsidR="00963EB9" w:rsidRPr="004032A3">
        <w:t>The safeguard is working as intended as a</w:t>
      </w:r>
      <w:r w:rsidRPr="004032A3">
        <w:t xml:space="preserve">ll facilities covered by </w:t>
      </w:r>
      <w:r w:rsidRPr="004032A3" w:rsidDel="00963EB9">
        <w:t xml:space="preserve">it </w:t>
      </w:r>
      <w:r w:rsidRPr="004032A3">
        <w:t>have kept their net emissions at or below their emission</w:t>
      </w:r>
      <w:r w:rsidR="00073B1D">
        <w:t>s</w:t>
      </w:r>
      <w:r w:rsidRPr="004032A3">
        <w:t xml:space="preserve"> limits (baselines).</w:t>
      </w:r>
    </w:p>
    <w:p w14:paraId="5B6B823D" w14:textId="2189B84D" w:rsidR="00026744" w:rsidRPr="00026744" w:rsidRDefault="00026744" w:rsidP="00B57358">
      <w:pPr>
        <w:pStyle w:val="CCABodytext"/>
      </w:pPr>
      <w:r w:rsidRPr="00026744">
        <w:t xml:space="preserve">Although the Authority finds the legislation is effectively administered and meeting its objectives, there </w:t>
      </w:r>
      <w:r w:rsidR="00340A5E">
        <w:t xml:space="preserve">are </w:t>
      </w:r>
      <w:r w:rsidRPr="00026744">
        <w:t>opportunities for improvements. Individually, each opportunity for improvement may be seen as incremental, however, collectively they can make an important contribution to building on the schemes</w:t>
      </w:r>
      <w:r w:rsidR="00CD52E9">
        <w:t>’</w:t>
      </w:r>
      <w:r w:rsidRPr="00026744">
        <w:t xml:space="preserve"> strengths and improving </w:t>
      </w:r>
      <w:r w:rsidR="00CD52E9">
        <w:t xml:space="preserve">their </w:t>
      </w:r>
      <w:r w:rsidRPr="00026744">
        <w:t xml:space="preserve">overall efficiency and effectiveness. </w:t>
      </w:r>
    </w:p>
    <w:p w14:paraId="4670475C" w14:textId="649BA806" w:rsidR="00026744" w:rsidRPr="00026744" w:rsidRDefault="00026744" w:rsidP="00D81277">
      <w:pPr>
        <w:pStyle w:val="CCABodytext"/>
      </w:pPr>
      <w:r w:rsidRPr="00026744">
        <w:t xml:space="preserve">Under the Paris Agreement, Australia has committed to reducing emissions across the economy by 26 to 28 per cent on 2005 levels by 2030. The Government has said it will review and refine emissions reduction policies to ensure Australia meets these targets. In its 2016 </w:t>
      </w:r>
      <w:r w:rsidR="00D81277">
        <w:t xml:space="preserve">report </w:t>
      </w:r>
      <w:r w:rsidR="00D81277" w:rsidRPr="00D81277">
        <w:rPr>
          <w:i/>
        </w:rPr>
        <w:t>Towards a Climate Policy Toolkit: Special Review on Australia’s climate goals and policies</w:t>
      </w:r>
      <w:r w:rsidRPr="00026744">
        <w:t>, the Authority recommended a toolkit of measures to reduce emissions across all sectors of the Australian economy</w:t>
      </w:r>
      <w:r w:rsidR="006659A5">
        <w:t>.</w:t>
      </w:r>
      <w:r w:rsidRPr="00026744">
        <w:t xml:space="preserve"> As the Authority said in 2016, the safeguard is one avenue that could be used to reduce emissions </w:t>
      </w:r>
      <w:r w:rsidR="00E62B4E">
        <w:t xml:space="preserve">in the industrial sector </w:t>
      </w:r>
      <w:r w:rsidRPr="00026744">
        <w:t xml:space="preserve">if baselines are made to decline. </w:t>
      </w:r>
      <w:r w:rsidR="00BC597A">
        <w:t>In 2019 t</w:t>
      </w:r>
      <w:r w:rsidRPr="00026744">
        <w:t>he Authority will assess the changes that have occurred since 2016 and update its advice on efficient and effective emissions reduction policies.</w:t>
      </w:r>
    </w:p>
    <w:p w14:paraId="5C6E6F29" w14:textId="77777777" w:rsidR="00026744" w:rsidRPr="00026744" w:rsidRDefault="00026744" w:rsidP="00B57358">
      <w:pPr>
        <w:pStyle w:val="CCABodytext"/>
      </w:pPr>
      <w:r w:rsidRPr="00026744">
        <w:t>In conducting this review, the Authority consulted widely with industry, government agencies and data users. We thank those who generously shared their time and expertise with the Authority.</w:t>
      </w:r>
    </w:p>
    <w:p w14:paraId="13AB5076" w14:textId="77777777" w:rsidR="00A94F32" w:rsidRDefault="00A94F32" w:rsidP="00A94F32">
      <w:pPr>
        <w:pStyle w:val="CCABodytext"/>
        <w:rPr>
          <w:rFonts w:asciiTheme="minorHAnsi" w:hAnsiTheme="minorHAnsi" w:cstheme="minorHAnsi"/>
        </w:rPr>
      </w:pPr>
    </w:p>
    <w:p w14:paraId="2E3A8D2B" w14:textId="77777777" w:rsidR="00025615" w:rsidRDefault="00025615" w:rsidP="00A94F32">
      <w:pPr>
        <w:pStyle w:val="CCABodytext"/>
        <w:rPr>
          <w:rFonts w:asciiTheme="minorHAnsi" w:hAnsiTheme="minorHAnsi" w:cstheme="minorHAnsi"/>
        </w:rPr>
      </w:pPr>
    </w:p>
    <w:p w14:paraId="17467D58" w14:textId="77777777" w:rsidR="00A94F32" w:rsidRPr="00A94F32" w:rsidRDefault="00F0524E" w:rsidP="00A94F32">
      <w:pPr>
        <w:pStyle w:val="CCABodytext"/>
        <w:rPr>
          <w:rFonts w:asciiTheme="minorHAnsi" w:hAnsiTheme="minorHAnsi" w:cstheme="minorHAnsi"/>
        </w:rPr>
      </w:pPr>
      <w:r>
        <w:rPr>
          <w:noProof/>
          <w:lang w:eastAsia="en-AU"/>
        </w:rPr>
        <w:lastRenderedPageBreak/>
        <w:drawing>
          <wp:anchor distT="0" distB="0" distL="114300" distR="114300" simplePos="0" relativeHeight="251663360" behindDoc="0" locked="0" layoutInCell="1" allowOverlap="1" wp14:anchorId="6E9EAF44" wp14:editId="35C9AB0F">
            <wp:simplePos x="0" y="0"/>
            <wp:positionH relativeFrom="column">
              <wp:posOffset>152400</wp:posOffset>
            </wp:positionH>
            <wp:positionV relativeFrom="paragraph">
              <wp:posOffset>-151130</wp:posOffset>
            </wp:positionV>
            <wp:extent cx="1118868" cy="539111"/>
            <wp:effectExtent l="0" t="0" r="5082" b="0"/>
            <wp:wrapNone/>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118868" cy="539111"/>
                    </a:xfrm>
                    <a:prstGeom prst="rect">
                      <a:avLst/>
                    </a:prstGeom>
                    <a:noFill/>
                    <a:ln>
                      <a:noFill/>
                      <a:prstDash/>
                    </a:ln>
                  </pic:spPr>
                </pic:pic>
              </a:graphicData>
            </a:graphic>
          </wp:anchor>
        </w:drawing>
      </w:r>
    </w:p>
    <w:p w14:paraId="064360D4" w14:textId="77777777" w:rsidR="00A94F32" w:rsidRPr="00A94F32" w:rsidRDefault="00A94F32" w:rsidP="00A94F32">
      <w:pPr>
        <w:pStyle w:val="CCABodytext"/>
        <w:rPr>
          <w:rFonts w:asciiTheme="minorHAnsi" w:hAnsiTheme="minorHAnsi" w:cstheme="minorHAnsi"/>
        </w:rPr>
      </w:pPr>
    </w:p>
    <w:p w14:paraId="61E65FE8" w14:textId="77777777" w:rsidR="00A94F32" w:rsidRPr="00A94F32" w:rsidRDefault="00A94F32" w:rsidP="00A94F32">
      <w:pPr>
        <w:pStyle w:val="CCABodytext"/>
        <w:spacing w:after="0"/>
        <w:rPr>
          <w:rFonts w:asciiTheme="minorHAnsi" w:hAnsiTheme="minorHAnsi" w:cstheme="minorHAnsi"/>
        </w:rPr>
      </w:pPr>
      <w:r w:rsidRPr="00A94F32">
        <w:rPr>
          <w:rFonts w:asciiTheme="minorHAnsi" w:hAnsiTheme="minorHAnsi" w:cstheme="minorHAnsi"/>
        </w:rPr>
        <w:t xml:space="preserve">Wendy Craik AM </w:t>
      </w:r>
    </w:p>
    <w:p w14:paraId="5DFA3EA4" w14:textId="77777777" w:rsidR="00025615" w:rsidRDefault="00025615" w:rsidP="00A94F32">
      <w:pPr>
        <w:pStyle w:val="CCABodytext"/>
        <w:spacing w:after="0"/>
        <w:rPr>
          <w:rFonts w:asciiTheme="minorHAnsi" w:hAnsiTheme="minorHAnsi" w:cstheme="minorHAnsi"/>
        </w:rPr>
      </w:pPr>
    </w:p>
    <w:p w14:paraId="644200FA" w14:textId="77777777" w:rsidR="00A94F32" w:rsidRPr="00A94F32" w:rsidRDefault="00A94F32" w:rsidP="00A94F32">
      <w:pPr>
        <w:pStyle w:val="CCABodytext"/>
        <w:spacing w:after="0"/>
        <w:rPr>
          <w:rFonts w:asciiTheme="minorHAnsi" w:hAnsiTheme="minorHAnsi" w:cstheme="minorHAnsi"/>
        </w:rPr>
      </w:pPr>
      <w:r w:rsidRPr="00A94F32">
        <w:rPr>
          <w:rFonts w:asciiTheme="minorHAnsi" w:hAnsiTheme="minorHAnsi" w:cstheme="minorHAnsi"/>
        </w:rPr>
        <w:t>Chair, Climate Change Authority</w:t>
      </w:r>
    </w:p>
    <w:p w14:paraId="532C6A22" w14:textId="77777777" w:rsidR="00A94F32" w:rsidRPr="00A94F32" w:rsidRDefault="00E62B4E" w:rsidP="00A94F32">
      <w:pPr>
        <w:pStyle w:val="CCABodytext"/>
        <w:spacing w:after="0"/>
        <w:rPr>
          <w:rFonts w:asciiTheme="minorHAnsi" w:hAnsiTheme="minorHAnsi" w:cstheme="minorHAnsi"/>
        </w:rPr>
      </w:pPr>
      <w:r>
        <w:rPr>
          <w:rFonts w:asciiTheme="minorHAnsi" w:hAnsiTheme="minorHAnsi" w:cstheme="minorHAnsi"/>
        </w:rPr>
        <w:t>2</w:t>
      </w:r>
      <w:r w:rsidR="00D7486A">
        <w:rPr>
          <w:rFonts w:asciiTheme="minorHAnsi" w:hAnsiTheme="minorHAnsi" w:cstheme="minorHAnsi"/>
        </w:rPr>
        <w:t>1</w:t>
      </w:r>
      <w:r w:rsidRPr="00A94F32">
        <w:rPr>
          <w:rFonts w:asciiTheme="minorHAnsi" w:hAnsiTheme="minorHAnsi" w:cstheme="minorHAnsi"/>
        </w:rPr>
        <w:t xml:space="preserve"> </w:t>
      </w:r>
      <w:r w:rsidR="00A94F32" w:rsidRPr="00A94F32">
        <w:rPr>
          <w:rFonts w:asciiTheme="minorHAnsi" w:hAnsiTheme="minorHAnsi" w:cstheme="minorHAnsi"/>
        </w:rPr>
        <w:t>December 2018</w:t>
      </w:r>
    </w:p>
    <w:p w14:paraId="69F08918" w14:textId="77777777" w:rsidR="00A94F32" w:rsidRDefault="00A94F32" w:rsidP="00A94F32">
      <w:pPr>
        <w:pStyle w:val="CCABodytext"/>
        <w:rPr>
          <w:rFonts w:asciiTheme="minorHAnsi" w:hAnsiTheme="minorHAnsi" w:cstheme="minorHAnsi"/>
        </w:rPr>
      </w:pPr>
    </w:p>
    <w:p w14:paraId="4BC84964" w14:textId="77777777" w:rsidR="00036197" w:rsidRDefault="00254519" w:rsidP="004D0AFF">
      <w:pPr>
        <w:pStyle w:val="CCABodytext"/>
        <w:sectPr w:rsidR="00036197" w:rsidSect="00041493">
          <w:headerReference w:type="even" r:id="rId25"/>
          <w:pgSz w:w="11907" w:h="16840" w:code="9"/>
          <w:pgMar w:top="1418" w:right="1077" w:bottom="851" w:left="1077" w:header="850" w:footer="720" w:gutter="0"/>
          <w:pgNumType w:chapStyle="1" w:chapSep="emDash"/>
          <w:cols w:space="720"/>
          <w:docGrid w:linePitch="360"/>
        </w:sectPr>
      </w:pPr>
      <w:r w:rsidRPr="00E0204F">
        <w:rPr>
          <w:rFonts w:eastAsia="Calibri"/>
          <w:lang w:val="en-GB"/>
        </w:rPr>
        <w:t>.</w:t>
      </w:r>
      <w:r w:rsidR="00036197" w:rsidRPr="00036197">
        <w:rPr>
          <w:b/>
          <w:caps/>
        </w:rPr>
        <w:t xml:space="preserve"> </w:t>
      </w:r>
    </w:p>
    <w:p w14:paraId="5DB45BD7" w14:textId="02699985" w:rsidR="00036197" w:rsidRPr="00155241" w:rsidRDefault="00036197" w:rsidP="001D4F22">
      <w:pPr>
        <w:pStyle w:val="CCAheading1nonumber"/>
      </w:pPr>
      <w:bookmarkStart w:id="25" w:name="_Toc528140782"/>
      <w:bookmarkStart w:id="26" w:name="_Toc528143263"/>
      <w:bookmarkStart w:id="27" w:name="_Toc528770211"/>
      <w:bookmarkStart w:id="28" w:name="_Toc529183846"/>
      <w:bookmarkStart w:id="29" w:name="_Toc529187658"/>
      <w:bookmarkStart w:id="30" w:name="_Toc529188084"/>
      <w:bookmarkStart w:id="31" w:name="_Toc529377734"/>
      <w:bookmarkStart w:id="32" w:name="_Toc529389673"/>
      <w:bookmarkStart w:id="33" w:name="_Toc531095546"/>
      <w:bookmarkStart w:id="34" w:name="_Toc531099312"/>
      <w:bookmarkStart w:id="35" w:name="_Toc531101721"/>
      <w:bookmarkStart w:id="36" w:name="_Toc531763989"/>
      <w:bookmarkStart w:id="37" w:name="_Toc532912081"/>
      <w:bookmarkStart w:id="38" w:name="_Toc532914923"/>
      <w:r>
        <w:lastRenderedPageBreak/>
        <w:t>Executive Summary</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B343120" w14:textId="5DDC5CE0" w:rsidR="00026744" w:rsidRPr="00026744" w:rsidRDefault="00026744" w:rsidP="00B57358">
      <w:pPr>
        <w:pStyle w:val="CCABodytext"/>
      </w:pPr>
      <w:r w:rsidRPr="00026744">
        <w:t xml:space="preserve">The Climate Change Authority is an independent statutory agency, which provides expert advice to the </w:t>
      </w:r>
      <w:r w:rsidR="00E851B0">
        <w:t xml:space="preserve">Australian </w:t>
      </w:r>
      <w:r w:rsidRPr="00026744">
        <w:t xml:space="preserve">Government on climate change policy. The Authority is required to review the operation of the </w:t>
      </w:r>
      <w:r w:rsidRPr="00E62B4E">
        <w:t xml:space="preserve">National Greenhouse and Energy Reporting legislation </w:t>
      </w:r>
      <w:r w:rsidRPr="00026744">
        <w:t>every five years. Its first review is presented here.</w:t>
      </w:r>
    </w:p>
    <w:p w14:paraId="4C4D99A7" w14:textId="77777777" w:rsidR="00026744" w:rsidRPr="00026744" w:rsidRDefault="00026744" w:rsidP="00B57358">
      <w:pPr>
        <w:pStyle w:val="CCABodytext"/>
      </w:pPr>
      <w:r w:rsidRPr="00026744">
        <w:t>The National Greenhouse and Energy Reporting legislation establishes:</w:t>
      </w:r>
    </w:p>
    <w:p w14:paraId="580C6D6A" w14:textId="79902072" w:rsidR="00026744" w:rsidRPr="00026744" w:rsidRDefault="00026744" w:rsidP="00B57358">
      <w:pPr>
        <w:pStyle w:val="ListBullet"/>
      </w:pPr>
      <w:r w:rsidRPr="00026744">
        <w:t>the National Greenhouse and Energy Reporting scheme, which requires large companies to report their greenhouse gas emissions and energy</w:t>
      </w:r>
      <w:r w:rsidR="00E851B0">
        <w:t xml:space="preserve"> production and use</w:t>
      </w:r>
    </w:p>
    <w:p w14:paraId="6FCE5BDD" w14:textId="77777777" w:rsidR="00026744" w:rsidRPr="00026744" w:rsidRDefault="00026744" w:rsidP="00B57358">
      <w:pPr>
        <w:pStyle w:val="ListBullet"/>
      </w:pPr>
      <w:r w:rsidRPr="00026744">
        <w:t>the safeguard mechanism, which places emissions limits on large industrial and electricity</w:t>
      </w:r>
      <w:r w:rsidRPr="00026744">
        <w:noBreakHyphen/>
        <w:t>generation facilities</w:t>
      </w:r>
    </w:p>
    <w:p w14:paraId="5AA71DC0" w14:textId="77777777" w:rsidR="00026744" w:rsidRPr="00026744" w:rsidRDefault="00026744" w:rsidP="00B57358">
      <w:pPr>
        <w:pStyle w:val="ListBullet"/>
      </w:pPr>
      <w:r w:rsidRPr="00026744">
        <w:t xml:space="preserve">the framework for administration and compliance, including auditing requirements for these and other climate change policies. </w:t>
      </w:r>
    </w:p>
    <w:p w14:paraId="582D4150" w14:textId="78D5E20E" w:rsidR="00026744" w:rsidRPr="00026744" w:rsidRDefault="00026744" w:rsidP="00B57358">
      <w:pPr>
        <w:pStyle w:val="CCABodytext"/>
      </w:pPr>
      <w:r w:rsidRPr="00026744">
        <w:t>The reporting scheme and safeguard have broad coverage. In 2016</w:t>
      </w:r>
      <w:r w:rsidR="00926447" w:rsidRPr="00026744">
        <w:t>–</w:t>
      </w:r>
      <w:r w:rsidRPr="00026744">
        <w:t>17, the reporting scheme covered around 750 companies, 63 per cent of Australia’s emissions and most of Australia’s energy. The safeguard applied to 203 facilities in the mining, oil and gas, manufacturing, transport and off-grid electricity sectors and 284 grid-connected electricity generators, which together accounted for 58 per cent of Australia’s emissions.</w:t>
      </w:r>
    </w:p>
    <w:p w14:paraId="5B2F8FD9" w14:textId="77777777" w:rsidR="00026744" w:rsidRPr="00026744" w:rsidRDefault="00026744" w:rsidP="00B57358">
      <w:pPr>
        <w:pStyle w:val="CCABodytext"/>
      </w:pPr>
      <w:r w:rsidRPr="00026744">
        <w:t xml:space="preserve">It is timely to review the energy and emissions reporting aspects of the legislation as they have been in place for over a decade. As the safeguard has only been in place for less than three years, it is more difficult to form a view on its long-term effectiveness. </w:t>
      </w:r>
    </w:p>
    <w:p w14:paraId="4AAE665A" w14:textId="77777777" w:rsidR="00026744" w:rsidRPr="00026744" w:rsidRDefault="00026744" w:rsidP="00B57358">
      <w:pPr>
        <w:pStyle w:val="CCABodytext"/>
      </w:pPr>
      <w:r w:rsidRPr="00026744">
        <w:t xml:space="preserve">In coming to its findings, the Authority consulted widely with industry, government agencies and data users and also undertook its own research and analysis. </w:t>
      </w:r>
    </w:p>
    <w:p w14:paraId="1F996177" w14:textId="77777777" w:rsidR="00026744" w:rsidRPr="00026744" w:rsidRDefault="00026744" w:rsidP="00E62B4E">
      <w:pPr>
        <w:pStyle w:val="CCAHeading4"/>
      </w:pPr>
      <w:r w:rsidRPr="00026744">
        <w:t>The legislation is effectively administered and meeting its objectives</w:t>
      </w:r>
    </w:p>
    <w:p w14:paraId="5A3CD2BE" w14:textId="77777777" w:rsidR="00026744" w:rsidRPr="00026744" w:rsidRDefault="00026744" w:rsidP="00B57358">
      <w:pPr>
        <w:pStyle w:val="CCABodytext"/>
      </w:pPr>
      <w:r w:rsidRPr="00026744">
        <w:t>Overall, the Authority found the legislation is operating well, meeting its objectives and is generally fit for purpose. The Authority found the Department of the Environment and Energy and the Clean Energy Regulator are effective administrators of the legislation. The Authority heard they took a professional, educative and constructive approach to its administration. Some described the Regulator as a model regulator.</w:t>
      </w:r>
    </w:p>
    <w:p w14:paraId="6A6DABEC" w14:textId="5C244523" w:rsidR="00026744" w:rsidRPr="00026744" w:rsidRDefault="00026744" w:rsidP="00E62B4E">
      <w:pPr>
        <w:pStyle w:val="CCAHeading4"/>
      </w:pPr>
      <w:r w:rsidRPr="00026744" w:rsidDel="00693686">
        <w:lastRenderedPageBreak/>
        <w:t>T</w:t>
      </w:r>
      <w:r w:rsidRPr="00026744">
        <w:t>he</w:t>
      </w:r>
      <w:r w:rsidR="00461AB4">
        <w:t xml:space="preserve"> emissions and </w:t>
      </w:r>
      <w:r w:rsidRPr="00026744">
        <w:t xml:space="preserve">energy reporting scheme is a high quality and widely used scheme, with broad support </w:t>
      </w:r>
    </w:p>
    <w:p w14:paraId="0C6961F7" w14:textId="77777777" w:rsidR="00026744" w:rsidRPr="00026744" w:rsidRDefault="00026744" w:rsidP="00B57358">
      <w:pPr>
        <w:pStyle w:val="CCABodytext"/>
      </w:pPr>
      <w:r w:rsidRPr="00026744">
        <w:t xml:space="preserve">The Authority finds the energy and emissions reporting scheme enjoys broad support from industry, governments and others. It is widely considered to be a best-practice approach to measuring and reporting emissions and energy and compares favourably to schemes in other countries. </w:t>
      </w:r>
    </w:p>
    <w:p w14:paraId="41E0036B" w14:textId="77777777" w:rsidR="00026744" w:rsidRPr="00026744" w:rsidRDefault="00026744" w:rsidP="00B57358">
      <w:pPr>
        <w:pStyle w:val="CCABodytext"/>
      </w:pPr>
      <w:r w:rsidRPr="00026744">
        <w:t>The high quality data collected through the scheme is used extensively by governments and others to develop energy and climate change policies. It is also a critical input to meeting Australia’s international energy and emissions reporting obligations.</w:t>
      </w:r>
    </w:p>
    <w:p w14:paraId="49EFECAC" w14:textId="77777777" w:rsidR="00026744" w:rsidRPr="00026744" w:rsidRDefault="00026744" w:rsidP="00B57358">
      <w:pPr>
        <w:pStyle w:val="CCABodytext"/>
      </w:pPr>
      <w:r w:rsidRPr="00026744">
        <w:t>The success of the scheme is underpinned by private investments in mature data collection and reporting systems by companies, and effective administration by the Regulator and the Department. The Regulator’s constructive and professional approach to supporting companies to meet their obligations was singled out by many as a key driver of the success of the scheme.</w:t>
      </w:r>
    </w:p>
    <w:p w14:paraId="1457634B" w14:textId="77777777" w:rsidR="00026744" w:rsidRPr="00026744" w:rsidRDefault="00026744" w:rsidP="00B57358">
      <w:pPr>
        <w:pStyle w:val="CCABodytext"/>
      </w:pPr>
      <w:r w:rsidRPr="00026744">
        <w:t>The Authority identified a number of opportunities for improving the reporting scheme. Many of these can reduce costs to businesses or the scheme’s administrators, while further enhancing the integrity of the data collected. For example, the Authority has recommended the Government continue to monitor and analyse reporting obligations placed on businesses and ensure they are streamlined where possible. It has also recommended developments to the online reporting system to reduce both the costs associated with reporting and the risk of errors, and recommended work be undertaken to improve the development and use of the measurement determination and related legislation.</w:t>
      </w:r>
    </w:p>
    <w:p w14:paraId="778901CB" w14:textId="77777777" w:rsidR="00026744" w:rsidRPr="00026744" w:rsidRDefault="00026744" w:rsidP="00B57358">
      <w:pPr>
        <w:pStyle w:val="CCABodytext"/>
      </w:pPr>
      <w:r w:rsidRPr="00026744">
        <w:t xml:space="preserve">The Authority has also made recommendations to extend reporting, on a voluntary basis, to agricultural emissions. While this may impose additional costs on businesses and government, it will build on industry sustainability objectives and enhance the value of the </w:t>
      </w:r>
      <w:r w:rsidR="00AF20E9">
        <w:t>dataset</w:t>
      </w:r>
      <w:r w:rsidRPr="00026744">
        <w:t xml:space="preserve"> collected.</w:t>
      </w:r>
    </w:p>
    <w:p w14:paraId="5E16C8DF" w14:textId="77777777" w:rsidR="00026744" w:rsidRPr="00026744" w:rsidRDefault="00026744" w:rsidP="00B57358">
      <w:pPr>
        <w:pStyle w:val="CCABodytext"/>
      </w:pPr>
      <w:r w:rsidRPr="00026744">
        <w:t xml:space="preserve">Finally, the Authority’s recommendations aim to improve the usefulness of the </w:t>
      </w:r>
      <w:r w:rsidR="00AF20E9">
        <w:t>dataset</w:t>
      </w:r>
      <w:r w:rsidRPr="00026744">
        <w:t xml:space="preserve"> generated through the scheme, for government and other users. For example, the Authority has recommended the </w:t>
      </w:r>
      <w:r w:rsidR="00AF20E9">
        <w:t>dataset</w:t>
      </w:r>
      <w:r w:rsidRPr="00026744">
        <w:t xml:space="preserve"> used by governments be enhanced for time series analysis, and data users’ needs be better met through the Regulator publishing more detailed analyses of key findings and trends.</w:t>
      </w:r>
    </w:p>
    <w:p w14:paraId="2B25043B" w14:textId="77777777" w:rsidR="00026744" w:rsidRPr="00026744" w:rsidRDefault="00026744" w:rsidP="00E62B4E">
      <w:pPr>
        <w:pStyle w:val="CCAHeading4"/>
      </w:pPr>
      <w:r w:rsidRPr="00026744" w:rsidDel="00693686">
        <w:t>T</w:t>
      </w:r>
      <w:r w:rsidRPr="00026744">
        <w:t xml:space="preserve">he safeguard mechanism is </w:t>
      </w:r>
      <w:r w:rsidR="009D34B0">
        <w:t>working as intended</w:t>
      </w:r>
    </w:p>
    <w:p w14:paraId="46201084" w14:textId="4CDD6E72" w:rsidR="00026744" w:rsidRPr="00026744" w:rsidRDefault="00026744" w:rsidP="00B57358">
      <w:pPr>
        <w:pStyle w:val="CCABodytext"/>
      </w:pPr>
      <w:r w:rsidRPr="00026744">
        <w:t xml:space="preserve">The Authority found </w:t>
      </w:r>
      <w:r w:rsidRPr="00026744" w:rsidDel="009D34B0">
        <w:t xml:space="preserve">that </w:t>
      </w:r>
      <w:r w:rsidRPr="00026744">
        <w:t xml:space="preserve">in its first year of operation (2016–17) all facilities covered by the safeguard kept their net emissions at or below their baselines. The Authority heard that companies with safeguard obligations are generally comfortable with the mechanism’s operation and the options for meeting their baselines. The Authority has </w:t>
      </w:r>
      <w:r w:rsidRPr="00026744">
        <w:lastRenderedPageBreak/>
        <w:t>made some recommendations, which seek to improve the consistency of net emissions and baseline numbers and ensure compliance options continue to work effectively.</w:t>
      </w:r>
    </w:p>
    <w:p w14:paraId="572683EC" w14:textId="77777777" w:rsidR="00026744" w:rsidRPr="00026744" w:rsidRDefault="00026744" w:rsidP="00E62B4E">
      <w:pPr>
        <w:pStyle w:val="CCAHeading4"/>
      </w:pPr>
      <w:r w:rsidRPr="00026744" w:rsidDel="00693686">
        <w:t>T</w:t>
      </w:r>
      <w:r w:rsidRPr="00026744">
        <w:t>he future of the safeguard and the ongoing need for a policy toolkit</w:t>
      </w:r>
    </w:p>
    <w:p w14:paraId="7B9FEB1E" w14:textId="4AF65A47" w:rsidR="00026744" w:rsidRPr="00026744" w:rsidRDefault="00026744" w:rsidP="00E409C4">
      <w:pPr>
        <w:pStyle w:val="CCABodytext"/>
      </w:pPr>
      <w:r w:rsidRPr="00026744">
        <w:t xml:space="preserve">In its 2016 </w:t>
      </w:r>
      <w:r w:rsidR="00E409C4">
        <w:t>report:</w:t>
      </w:r>
      <w:r w:rsidR="00E62B4E">
        <w:t xml:space="preserve"> </w:t>
      </w:r>
      <w:r w:rsidR="00E409C4" w:rsidRPr="00E62B4E">
        <w:rPr>
          <w:i/>
        </w:rPr>
        <w:t>Towards a Climate Policy Toolkit: Special Review on Australia’s climate goals and policies</w:t>
      </w:r>
      <w:r w:rsidRPr="00026744">
        <w:t xml:space="preserve"> </w:t>
      </w:r>
      <w:r w:rsidR="00E409C4">
        <w:t xml:space="preserve">(Special Review) </w:t>
      </w:r>
      <w:r w:rsidRPr="00026744">
        <w:t xml:space="preserve">the Authority made recommendations on the safeguard </w:t>
      </w:r>
      <w:r w:rsidR="00E62B4E">
        <w:t xml:space="preserve">in the industrial sector </w:t>
      </w:r>
      <w:r w:rsidRPr="00026744">
        <w:t xml:space="preserve">as part of a broader policy toolkit to reduce Australia’s emissions. This included removing access to further baseline increases and declining baselines linearly in line with Australia’s </w:t>
      </w:r>
      <w:r w:rsidR="00E851B0">
        <w:t xml:space="preserve">economy-wide </w:t>
      </w:r>
      <w:r w:rsidRPr="00026744">
        <w:t>emissions reduction commitments under the Paris Agreement.</w:t>
      </w:r>
    </w:p>
    <w:p w14:paraId="410BDDCD" w14:textId="7CF89DC0" w:rsidR="00036197" w:rsidRPr="00B57358" w:rsidRDefault="00026744" w:rsidP="00B57358">
      <w:pPr>
        <w:pStyle w:val="CCABodytext"/>
      </w:pPr>
      <w:r w:rsidRPr="00B57358">
        <w:t>The Authority remains of the view a comprehensive policy toolkit is needed to capture the emissions reduction opportunities that exist across all sectors of the Australian economy. The safeguard is one policy that could be designed to reduce emissions in the industrial sector as part of a policy toolkit. The Authority</w:t>
      </w:r>
      <w:r w:rsidR="00843037">
        <w:t xml:space="preserve"> </w:t>
      </w:r>
      <w:r w:rsidR="00D214F6">
        <w:t xml:space="preserve">intends over the course of 2019 to update the advice it provided in </w:t>
      </w:r>
      <w:r w:rsidR="00D81277" w:rsidRPr="00026744">
        <w:t xml:space="preserve">its 2016 </w:t>
      </w:r>
      <w:r w:rsidR="00D81277">
        <w:t xml:space="preserve">report </w:t>
      </w:r>
      <w:r w:rsidR="00D81277" w:rsidRPr="00D81277">
        <w:rPr>
          <w:i/>
        </w:rPr>
        <w:t>Towards a Climate Policy Toolkit: Special Review on Australia’s climate goals and policies</w:t>
      </w:r>
      <w:r w:rsidRPr="00B57358">
        <w:t>.</w:t>
      </w:r>
    </w:p>
    <w:p w14:paraId="7F48DDB5" w14:textId="77777777" w:rsidR="00B109DA" w:rsidRDefault="008A7CBF" w:rsidP="00B109DA">
      <w:pPr>
        <w:pStyle w:val="CCAheading1nonumber"/>
      </w:pPr>
      <w:bookmarkStart w:id="39" w:name="_Toc531095547"/>
      <w:bookmarkStart w:id="40" w:name="_Toc531099313"/>
      <w:bookmarkStart w:id="41" w:name="_Toc531101722"/>
      <w:bookmarkStart w:id="42" w:name="_Toc531763990"/>
      <w:bookmarkStart w:id="43" w:name="_Toc532912082"/>
      <w:bookmarkStart w:id="44" w:name="_Toc532914924"/>
      <w:r>
        <w:lastRenderedPageBreak/>
        <w:t>What did the</w:t>
      </w:r>
      <w:r w:rsidR="005034D6">
        <w:t xml:space="preserve"> Authority </w:t>
      </w:r>
      <w:r>
        <w:t>f</w:t>
      </w:r>
      <w:r w:rsidR="009E2EE4">
        <w:t>i</w:t>
      </w:r>
      <w:r>
        <w:t>nd?</w:t>
      </w:r>
      <w:bookmarkStart w:id="45" w:name="_Toc529393960"/>
      <w:bookmarkEnd w:id="39"/>
      <w:bookmarkEnd w:id="40"/>
      <w:bookmarkEnd w:id="41"/>
      <w:bookmarkEnd w:id="42"/>
      <w:bookmarkEnd w:id="43"/>
      <w:bookmarkEnd w:id="44"/>
    </w:p>
    <w:p w14:paraId="296E5999" w14:textId="77777777" w:rsidR="00FC6D0A" w:rsidRPr="00065BBB" w:rsidRDefault="00FC6D0A" w:rsidP="00AF6340">
      <w:pPr>
        <w:pStyle w:val="CCABodytext"/>
      </w:pPr>
      <w:r w:rsidRPr="00065BBB">
        <w:t>The National Greenhouse and Energy Reporting legislation is working well, meeting its objectives and enjoys broad support from industry, governments and others</w:t>
      </w:r>
      <w:r w:rsidR="00AF6340">
        <w:t>.</w:t>
      </w:r>
    </w:p>
    <w:p w14:paraId="09700B57" w14:textId="5061D5DD" w:rsidR="00DF1951" w:rsidRPr="00843037" w:rsidRDefault="00B14CA4" w:rsidP="00843037">
      <w:pPr>
        <w:pStyle w:val="CCAHeading4"/>
        <w:rPr>
          <w:rFonts w:eastAsiaTheme="minorHAnsi"/>
        </w:rPr>
      </w:pPr>
      <w:r w:rsidRPr="00843037">
        <w:rPr>
          <w:noProof/>
          <w:szCs w:val="21"/>
          <w:lang w:val="en-AU"/>
        </w:rPr>
        <w:drawing>
          <wp:anchor distT="0" distB="0" distL="114300" distR="114300" simplePos="0" relativeHeight="251656192" behindDoc="0" locked="0" layoutInCell="1" allowOverlap="1" wp14:anchorId="71E9021A" wp14:editId="14B42A94">
            <wp:simplePos x="0" y="0"/>
            <wp:positionH relativeFrom="column">
              <wp:posOffset>5269865</wp:posOffset>
            </wp:positionH>
            <wp:positionV relativeFrom="paragraph">
              <wp:posOffset>119380</wp:posOffset>
            </wp:positionV>
            <wp:extent cx="647700" cy="6477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V relativeFrom="margin">
              <wp14:pctHeight>0</wp14:pctHeight>
            </wp14:sizeRelV>
          </wp:anchor>
        </w:drawing>
      </w:r>
      <w:r w:rsidR="00DF1951" w:rsidRPr="00843037">
        <w:rPr>
          <w:rFonts w:eastAsiaTheme="minorHAnsi"/>
        </w:rPr>
        <w:t xml:space="preserve">The </w:t>
      </w:r>
      <w:r w:rsidR="006659A5">
        <w:rPr>
          <w:rFonts w:eastAsiaTheme="minorHAnsi"/>
        </w:rPr>
        <w:t>National Greenhouse and E</w:t>
      </w:r>
      <w:r w:rsidR="00DF1951" w:rsidRPr="00843037">
        <w:rPr>
          <w:rFonts w:eastAsiaTheme="minorHAnsi"/>
        </w:rPr>
        <w:t xml:space="preserve">nergy </w:t>
      </w:r>
      <w:r w:rsidR="006659A5">
        <w:rPr>
          <w:rFonts w:eastAsiaTheme="minorHAnsi"/>
        </w:rPr>
        <w:t>R</w:t>
      </w:r>
      <w:r w:rsidR="00DF1951" w:rsidRPr="00843037">
        <w:rPr>
          <w:rFonts w:eastAsiaTheme="minorHAnsi"/>
        </w:rPr>
        <w:t>eporting scheme:</w:t>
      </w:r>
    </w:p>
    <w:p w14:paraId="2A6FCA65" w14:textId="77777777" w:rsidR="00B109DA" w:rsidRPr="00065BBB" w:rsidRDefault="00B109DA" w:rsidP="00065BBB">
      <w:pPr>
        <w:pStyle w:val="ListBullet"/>
        <w:numPr>
          <w:ilvl w:val="0"/>
          <w:numId w:val="63"/>
        </w:numPr>
        <w:rPr>
          <w:rFonts w:eastAsiaTheme="minorEastAsia"/>
          <w:lang w:eastAsia="en-AU"/>
        </w:rPr>
      </w:pPr>
      <w:r w:rsidRPr="00065BBB">
        <w:rPr>
          <w:rFonts w:eastAsiaTheme="minorEastAsia"/>
          <w:lang w:eastAsia="en-AU"/>
        </w:rPr>
        <w:t>reduce</w:t>
      </w:r>
      <w:r w:rsidR="000B6597">
        <w:rPr>
          <w:rFonts w:eastAsiaTheme="minorEastAsia"/>
          <w:lang w:eastAsia="en-AU"/>
        </w:rPr>
        <w:t>s</w:t>
      </w:r>
      <w:r w:rsidRPr="00065BBB">
        <w:rPr>
          <w:rFonts w:eastAsiaTheme="minorEastAsia"/>
          <w:lang w:eastAsia="en-AU"/>
        </w:rPr>
        <w:t xml:space="preserve"> duplicative reporting </w:t>
      </w:r>
      <w:r w:rsidR="00CA0603" w:rsidRPr="00065BBB">
        <w:rPr>
          <w:rFonts w:eastAsiaTheme="minorEastAsia"/>
          <w:lang w:eastAsia="en-AU"/>
        </w:rPr>
        <w:t xml:space="preserve">of </w:t>
      </w:r>
      <w:r w:rsidR="00076137" w:rsidRPr="00065BBB">
        <w:rPr>
          <w:rFonts w:eastAsiaTheme="minorEastAsia"/>
          <w:lang w:eastAsia="en-AU"/>
        </w:rPr>
        <w:t xml:space="preserve">emissions and energy </w:t>
      </w:r>
      <w:r w:rsidRPr="00065BBB">
        <w:rPr>
          <w:rFonts w:eastAsiaTheme="minorEastAsia"/>
          <w:lang w:eastAsia="en-AU"/>
        </w:rPr>
        <w:t xml:space="preserve">across jurisdictions and </w:t>
      </w:r>
      <w:r w:rsidR="009A3BD2" w:rsidRPr="00065BBB">
        <w:rPr>
          <w:rFonts w:eastAsiaTheme="minorEastAsia"/>
          <w:lang w:eastAsia="en-AU"/>
        </w:rPr>
        <w:t>has minimised</w:t>
      </w:r>
      <w:r w:rsidRPr="00065BBB">
        <w:rPr>
          <w:rFonts w:eastAsiaTheme="minorEastAsia"/>
          <w:lang w:eastAsia="en-AU"/>
        </w:rPr>
        <w:t xml:space="preserve"> the regulatory burden on businesses</w:t>
      </w:r>
    </w:p>
    <w:p w14:paraId="1DB44A9A" w14:textId="126BC4FD" w:rsidR="00B109DA" w:rsidRPr="00065BBB" w:rsidRDefault="000B6597" w:rsidP="00065BBB">
      <w:pPr>
        <w:pStyle w:val="ListBullet"/>
        <w:numPr>
          <w:ilvl w:val="0"/>
          <w:numId w:val="63"/>
        </w:numPr>
        <w:rPr>
          <w:rFonts w:eastAsiaTheme="minorEastAsia"/>
          <w:lang w:eastAsia="en-AU"/>
        </w:rPr>
      </w:pPr>
      <w:r>
        <w:rPr>
          <w:rFonts w:eastAsiaTheme="minorEastAsia"/>
          <w:lang w:eastAsia="en-AU"/>
        </w:rPr>
        <w:t>g</w:t>
      </w:r>
      <w:r w:rsidR="00B109DA" w:rsidRPr="00065BBB">
        <w:rPr>
          <w:rFonts w:eastAsiaTheme="minorEastAsia"/>
          <w:lang w:eastAsia="en-AU"/>
        </w:rPr>
        <w:t xml:space="preserve">enerates a high quality </w:t>
      </w:r>
      <w:r w:rsidR="00AF20E9">
        <w:rPr>
          <w:rFonts w:eastAsiaTheme="minorEastAsia"/>
          <w:lang w:eastAsia="en-AU"/>
        </w:rPr>
        <w:t>dataset</w:t>
      </w:r>
      <w:r w:rsidR="00B109DA" w:rsidRPr="00065BBB">
        <w:rPr>
          <w:rFonts w:eastAsiaTheme="minorEastAsia"/>
          <w:lang w:eastAsia="en-AU"/>
        </w:rPr>
        <w:t>, which is accurate, has broad coverage and compares favourably against international schemes</w:t>
      </w:r>
    </w:p>
    <w:p w14:paraId="289EBB7B" w14:textId="77777777" w:rsidR="00FC6D0A" w:rsidRPr="00065BBB" w:rsidRDefault="000B6597" w:rsidP="00065BBB">
      <w:pPr>
        <w:pStyle w:val="ListBullet"/>
        <w:numPr>
          <w:ilvl w:val="0"/>
          <w:numId w:val="63"/>
        </w:numPr>
        <w:rPr>
          <w:rFonts w:eastAsiaTheme="minorEastAsia"/>
          <w:lang w:eastAsia="en-AU"/>
        </w:rPr>
      </w:pPr>
      <w:r>
        <w:rPr>
          <w:rFonts w:eastAsiaTheme="minorEastAsia"/>
          <w:lang w:eastAsia="en-AU"/>
        </w:rPr>
        <w:t>i</w:t>
      </w:r>
      <w:r w:rsidR="00FC6D0A" w:rsidRPr="00065BBB">
        <w:rPr>
          <w:rFonts w:eastAsiaTheme="minorEastAsia"/>
          <w:lang w:eastAsia="en-AU"/>
        </w:rPr>
        <w:t xml:space="preserve">nforms government energy and emissions policies, programs and activities at both the </w:t>
      </w:r>
      <w:r w:rsidR="00746A82">
        <w:rPr>
          <w:rFonts w:eastAsiaTheme="minorEastAsia"/>
          <w:lang w:eastAsia="en-AU"/>
        </w:rPr>
        <w:t>Australian</w:t>
      </w:r>
      <w:r w:rsidR="00FC6D0A" w:rsidRPr="00065BBB">
        <w:rPr>
          <w:rFonts w:eastAsiaTheme="minorEastAsia"/>
          <w:lang w:eastAsia="en-AU"/>
        </w:rPr>
        <w:t xml:space="preserve"> and state and territory level</w:t>
      </w:r>
    </w:p>
    <w:p w14:paraId="6C8B26BC" w14:textId="77777777" w:rsidR="00B109DA" w:rsidRPr="00065BBB" w:rsidRDefault="000B6597" w:rsidP="00065BBB">
      <w:pPr>
        <w:pStyle w:val="ListBullet"/>
        <w:numPr>
          <w:ilvl w:val="0"/>
          <w:numId w:val="63"/>
        </w:numPr>
        <w:rPr>
          <w:rFonts w:eastAsiaTheme="minorEastAsia"/>
          <w:lang w:eastAsia="en-AU"/>
        </w:rPr>
      </w:pPr>
      <w:r>
        <w:rPr>
          <w:rFonts w:eastAsiaTheme="minorEastAsia"/>
          <w:lang w:eastAsia="en-AU"/>
        </w:rPr>
        <w:t>p</w:t>
      </w:r>
      <w:r w:rsidR="005861A5" w:rsidRPr="00065BBB">
        <w:rPr>
          <w:rFonts w:eastAsiaTheme="minorEastAsia"/>
          <w:lang w:eastAsia="en-AU"/>
        </w:rPr>
        <w:t>rovides data which is crucial to meeting Australia’s</w:t>
      </w:r>
      <w:r w:rsidR="00B109DA" w:rsidRPr="00065BBB">
        <w:rPr>
          <w:rFonts w:eastAsiaTheme="minorEastAsia"/>
          <w:lang w:eastAsia="en-AU"/>
        </w:rPr>
        <w:t xml:space="preserve"> international reporting obligations on emissions and energy</w:t>
      </w:r>
    </w:p>
    <w:p w14:paraId="3159FE52" w14:textId="77777777" w:rsidR="00B109DA" w:rsidRPr="00065BBB" w:rsidRDefault="000B6597" w:rsidP="00065BBB">
      <w:pPr>
        <w:pStyle w:val="ListBullet"/>
        <w:numPr>
          <w:ilvl w:val="0"/>
          <w:numId w:val="63"/>
        </w:numPr>
        <w:rPr>
          <w:rFonts w:eastAsiaTheme="minorEastAsia"/>
          <w:lang w:eastAsia="en-AU"/>
        </w:rPr>
      </w:pPr>
      <w:r>
        <w:rPr>
          <w:rFonts w:eastAsiaTheme="minorEastAsia"/>
          <w:lang w:eastAsia="en-AU"/>
        </w:rPr>
        <w:t>h</w:t>
      </w:r>
      <w:r w:rsidR="00B109DA" w:rsidRPr="00065BBB">
        <w:rPr>
          <w:rFonts w:eastAsiaTheme="minorEastAsia"/>
          <w:lang w:eastAsia="en-AU"/>
        </w:rPr>
        <w:t xml:space="preserve">elps companies better understand </w:t>
      </w:r>
      <w:r w:rsidR="009A3BD2" w:rsidRPr="00065BBB">
        <w:rPr>
          <w:rFonts w:eastAsiaTheme="minorEastAsia"/>
          <w:lang w:eastAsia="en-AU"/>
        </w:rPr>
        <w:t xml:space="preserve">their </w:t>
      </w:r>
      <w:r w:rsidR="00B109DA" w:rsidRPr="00065BBB">
        <w:rPr>
          <w:rFonts w:eastAsiaTheme="minorEastAsia"/>
          <w:lang w:eastAsia="en-AU"/>
        </w:rPr>
        <w:t>energy and emissions and meet other reporting requirements</w:t>
      </w:r>
    </w:p>
    <w:p w14:paraId="647E6BB9" w14:textId="77777777" w:rsidR="00670C74" w:rsidRPr="00065BBB" w:rsidRDefault="000B6597" w:rsidP="00065BBB">
      <w:pPr>
        <w:pStyle w:val="ListBullet"/>
        <w:numPr>
          <w:ilvl w:val="0"/>
          <w:numId w:val="63"/>
        </w:numPr>
        <w:rPr>
          <w:rFonts w:eastAsiaTheme="minorEastAsia"/>
          <w:lang w:eastAsia="en-AU"/>
        </w:rPr>
      </w:pPr>
      <w:r>
        <w:rPr>
          <w:rFonts w:eastAsiaTheme="minorEastAsia"/>
          <w:lang w:eastAsia="en-AU"/>
        </w:rPr>
        <w:t>u</w:t>
      </w:r>
      <w:r w:rsidR="00670C74" w:rsidRPr="00065BBB">
        <w:rPr>
          <w:rFonts w:eastAsiaTheme="minorEastAsia"/>
          <w:lang w:eastAsia="en-AU"/>
        </w:rPr>
        <w:t>ses approaches to measuring energy and emissions that are fit</w:t>
      </w:r>
      <w:r w:rsidR="00604604" w:rsidRPr="00065BBB">
        <w:rPr>
          <w:rFonts w:eastAsiaTheme="minorEastAsia"/>
          <w:lang w:eastAsia="en-AU"/>
        </w:rPr>
        <w:t xml:space="preserve"> </w:t>
      </w:r>
      <w:r w:rsidR="00670C74" w:rsidRPr="00065BBB">
        <w:rPr>
          <w:rFonts w:eastAsiaTheme="minorEastAsia"/>
          <w:lang w:eastAsia="en-AU"/>
        </w:rPr>
        <w:t>for</w:t>
      </w:r>
      <w:r w:rsidR="00604604" w:rsidRPr="00065BBB">
        <w:rPr>
          <w:rFonts w:eastAsiaTheme="minorEastAsia"/>
          <w:lang w:eastAsia="en-AU"/>
        </w:rPr>
        <w:t xml:space="preserve"> </w:t>
      </w:r>
      <w:r w:rsidR="00670C74" w:rsidRPr="00065BBB">
        <w:rPr>
          <w:rFonts w:eastAsiaTheme="minorEastAsia"/>
          <w:lang w:eastAsia="en-AU"/>
        </w:rPr>
        <w:t>purpose</w:t>
      </w:r>
    </w:p>
    <w:p w14:paraId="60F7938A" w14:textId="77777777" w:rsidR="00B109DA" w:rsidRPr="00065BBB" w:rsidRDefault="000B6597" w:rsidP="00065BBB">
      <w:pPr>
        <w:pStyle w:val="ListBullet"/>
        <w:numPr>
          <w:ilvl w:val="0"/>
          <w:numId w:val="63"/>
        </w:numPr>
        <w:rPr>
          <w:rFonts w:eastAsiaTheme="minorEastAsia"/>
          <w:lang w:eastAsia="en-AU"/>
        </w:rPr>
      </w:pPr>
      <w:r>
        <w:rPr>
          <w:rFonts w:eastAsiaTheme="minorEastAsia"/>
          <w:lang w:eastAsia="en-AU"/>
        </w:rPr>
        <w:t>i</w:t>
      </w:r>
      <w:r w:rsidR="00B109DA" w:rsidRPr="00065BBB">
        <w:rPr>
          <w:rFonts w:eastAsiaTheme="minorEastAsia"/>
          <w:lang w:eastAsia="en-AU"/>
        </w:rPr>
        <w:t>nforms investors and other</w:t>
      </w:r>
      <w:r w:rsidR="00076137" w:rsidRPr="00065BBB">
        <w:rPr>
          <w:rFonts w:eastAsiaTheme="minorEastAsia"/>
          <w:lang w:eastAsia="en-AU"/>
        </w:rPr>
        <w:t>s</w:t>
      </w:r>
      <w:r w:rsidR="009A3BD2" w:rsidRPr="00065BBB">
        <w:rPr>
          <w:rFonts w:eastAsiaTheme="minorEastAsia"/>
          <w:lang w:eastAsia="en-AU"/>
        </w:rPr>
        <w:t xml:space="preserve"> </w:t>
      </w:r>
      <w:r w:rsidR="003B3E1E" w:rsidRPr="00065BBB">
        <w:rPr>
          <w:rFonts w:eastAsiaTheme="minorEastAsia"/>
          <w:lang w:eastAsia="en-AU"/>
        </w:rPr>
        <w:t>such as academics and analysts</w:t>
      </w:r>
      <w:r w:rsidR="00B14CA4" w:rsidRPr="00065BBB">
        <w:rPr>
          <w:rFonts w:eastAsiaTheme="minorEastAsia"/>
          <w:lang w:eastAsia="en-AU"/>
        </w:rPr>
        <w:t xml:space="preserve"> </w:t>
      </w:r>
    </w:p>
    <w:p w14:paraId="14E3EE3A" w14:textId="77777777" w:rsidR="005A7494" w:rsidRPr="004032A3" w:rsidRDefault="000B6597" w:rsidP="005C13E1">
      <w:pPr>
        <w:pStyle w:val="ListBullet"/>
        <w:numPr>
          <w:ilvl w:val="0"/>
          <w:numId w:val="63"/>
        </w:numPr>
        <w:spacing w:after="202"/>
        <w:rPr>
          <w:rFonts w:eastAsiaTheme="minorEastAsia"/>
          <w:lang w:eastAsia="en-AU"/>
        </w:rPr>
      </w:pPr>
      <w:r>
        <w:rPr>
          <w:rFonts w:eastAsiaTheme="minorEastAsia"/>
          <w:lang w:eastAsia="en-AU"/>
        </w:rPr>
        <w:t>i</w:t>
      </w:r>
      <w:r w:rsidR="00670C74" w:rsidRPr="00065BBB">
        <w:rPr>
          <w:rFonts w:eastAsiaTheme="minorEastAsia"/>
          <w:lang w:eastAsia="en-AU"/>
        </w:rPr>
        <w:t xml:space="preserve">nvolves an online system used by companies to report that is </w:t>
      </w:r>
      <w:r w:rsidR="00670C74" w:rsidRPr="004032A3">
        <w:rPr>
          <w:rFonts w:eastAsiaTheme="minorEastAsia"/>
          <w:lang w:eastAsia="en-AU"/>
        </w:rPr>
        <w:t>generally fit</w:t>
      </w:r>
      <w:r w:rsidR="00604604" w:rsidRPr="004032A3">
        <w:rPr>
          <w:rFonts w:eastAsiaTheme="minorEastAsia"/>
          <w:lang w:eastAsia="en-AU"/>
        </w:rPr>
        <w:t xml:space="preserve"> </w:t>
      </w:r>
      <w:r w:rsidR="00670C74" w:rsidRPr="004032A3">
        <w:rPr>
          <w:rFonts w:eastAsiaTheme="minorEastAsia"/>
          <w:lang w:eastAsia="en-AU"/>
        </w:rPr>
        <w:t>for</w:t>
      </w:r>
      <w:r w:rsidR="00604604" w:rsidRPr="004032A3">
        <w:rPr>
          <w:rFonts w:eastAsiaTheme="minorEastAsia"/>
          <w:lang w:eastAsia="en-AU"/>
        </w:rPr>
        <w:t xml:space="preserve"> </w:t>
      </w:r>
      <w:r w:rsidR="00670C74" w:rsidRPr="004032A3">
        <w:rPr>
          <w:rFonts w:eastAsiaTheme="minorEastAsia"/>
          <w:lang w:eastAsia="en-AU"/>
        </w:rPr>
        <w:t>purpose and effective</w:t>
      </w:r>
      <w:r w:rsidR="00490F34" w:rsidRPr="004032A3">
        <w:rPr>
          <w:rFonts w:eastAsiaTheme="minorEastAsia"/>
          <w:lang w:eastAsia="en-AU"/>
        </w:rPr>
        <w:t>.</w:t>
      </w:r>
    </w:p>
    <w:p w14:paraId="0736D96D" w14:textId="77777777" w:rsidR="00DF1951" w:rsidRPr="004032A3" w:rsidRDefault="00B14CA4" w:rsidP="00843037">
      <w:pPr>
        <w:pStyle w:val="CCAHeading4"/>
      </w:pPr>
      <w:r w:rsidRPr="004032A3">
        <w:rPr>
          <w:rFonts w:eastAsiaTheme="minorHAnsi" w:cstheme="minorHAnsi"/>
          <w:noProof/>
          <w:szCs w:val="21"/>
          <w:lang w:val="en-AU"/>
        </w:rPr>
        <w:drawing>
          <wp:anchor distT="0" distB="0" distL="114300" distR="114300" simplePos="0" relativeHeight="251654144" behindDoc="0" locked="0" layoutInCell="1" allowOverlap="1" wp14:anchorId="677F8BF1" wp14:editId="5ED23838">
            <wp:simplePos x="0" y="0"/>
            <wp:positionH relativeFrom="column">
              <wp:posOffset>5153025</wp:posOffset>
            </wp:positionH>
            <wp:positionV relativeFrom="paragraph">
              <wp:posOffset>92075</wp:posOffset>
            </wp:positionV>
            <wp:extent cx="771525" cy="7715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anchor>
        </w:drawing>
      </w:r>
      <w:r w:rsidR="00DF1951" w:rsidRPr="004032A3">
        <w:t>The safeguard mechanism:</w:t>
      </w:r>
    </w:p>
    <w:p w14:paraId="5E3FE078" w14:textId="77777777" w:rsidR="005A7494" w:rsidRPr="004032A3" w:rsidRDefault="000B6597" w:rsidP="00065BBB">
      <w:pPr>
        <w:pStyle w:val="ListBullet"/>
        <w:numPr>
          <w:ilvl w:val="0"/>
          <w:numId w:val="63"/>
        </w:numPr>
        <w:rPr>
          <w:rFonts w:eastAsiaTheme="minorEastAsia"/>
          <w:lang w:eastAsia="en-AU"/>
        </w:rPr>
      </w:pPr>
      <w:r w:rsidRPr="004032A3">
        <w:rPr>
          <w:rFonts w:eastAsiaTheme="minorEastAsia"/>
          <w:lang w:eastAsia="en-AU"/>
        </w:rPr>
        <w:t>i</w:t>
      </w:r>
      <w:r w:rsidR="005A7494" w:rsidRPr="004032A3">
        <w:rPr>
          <w:rFonts w:eastAsiaTheme="minorEastAsia"/>
          <w:lang w:eastAsia="en-AU"/>
        </w:rPr>
        <w:t>s working as intended</w:t>
      </w:r>
      <w:r w:rsidR="009A3BD2" w:rsidRPr="004032A3">
        <w:rPr>
          <w:rFonts w:eastAsiaTheme="minorEastAsia"/>
          <w:lang w:eastAsia="en-AU"/>
        </w:rPr>
        <w:t xml:space="preserve"> a</w:t>
      </w:r>
      <w:r w:rsidR="009D34B0" w:rsidRPr="004032A3">
        <w:rPr>
          <w:rFonts w:eastAsiaTheme="minorEastAsia"/>
          <w:lang w:eastAsia="en-AU"/>
        </w:rPr>
        <w:t xml:space="preserve">s all </w:t>
      </w:r>
      <w:r w:rsidR="009A3BD2" w:rsidRPr="004032A3">
        <w:rPr>
          <w:rFonts w:eastAsiaTheme="minorEastAsia"/>
          <w:lang w:eastAsia="en-AU"/>
        </w:rPr>
        <w:t xml:space="preserve">covered facilities </w:t>
      </w:r>
      <w:r w:rsidR="009D34B0" w:rsidRPr="004032A3">
        <w:rPr>
          <w:rFonts w:eastAsiaTheme="minorEastAsia"/>
          <w:lang w:eastAsia="en-AU"/>
        </w:rPr>
        <w:t xml:space="preserve">kept their </w:t>
      </w:r>
      <w:r w:rsidR="005C045E" w:rsidRPr="004032A3">
        <w:rPr>
          <w:rFonts w:eastAsiaTheme="minorEastAsia"/>
          <w:lang w:eastAsia="en-AU"/>
        </w:rPr>
        <w:t xml:space="preserve">net </w:t>
      </w:r>
      <w:r w:rsidR="009D34B0" w:rsidRPr="004032A3">
        <w:rPr>
          <w:rFonts w:eastAsiaTheme="minorEastAsia"/>
          <w:lang w:eastAsia="en-AU"/>
        </w:rPr>
        <w:t xml:space="preserve">emissions </w:t>
      </w:r>
      <w:r w:rsidR="009A3BD2" w:rsidRPr="004032A3">
        <w:rPr>
          <w:rFonts w:eastAsiaTheme="minorEastAsia"/>
          <w:lang w:eastAsia="en-AU"/>
        </w:rPr>
        <w:t>at or below their baseline</w:t>
      </w:r>
      <w:r w:rsidR="00B14CA4" w:rsidRPr="004032A3">
        <w:rPr>
          <w:rFonts w:eastAsiaTheme="minorEastAsia"/>
          <w:lang w:eastAsia="en-AU"/>
        </w:rPr>
        <w:t xml:space="preserve"> </w:t>
      </w:r>
    </w:p>
    <w:p w14:paraId="53934C6F" w14:textId="18525BCC" w:rsidR="00DE38CB" w:rsidRPr="00065BBB" w:rsidRDefault="000B6597" w:rsidP="005C13E1">
      <w:pPr>
        <w:pStyle w:val="ListBullet"/>
        <w:numPr>
          <w:ilvl w:val="0"/>
          <w:numId w:val="63"/>
        </w:numPr>
        <w:spacing w:after="202"/>
        <w:rPr>
          <w:rFonts w:eastAsiaTheme="minorEastAsia"/>
          <w:lang w:eastAsia="en-AU"/>
        </w:rPr>
      </w:pPr>
      <w:r>
        <w:rPr>
          <w:rFonts w:eastAsiaTheme="minorEastAsia"/>
          <w:lang w:eastAsia="en-AU"/>
        </w:rPr>
        <w:t xml:space="preserve">contains </w:t>
      </w:r>
      <w:r w:rsidR="00106CB6" w:rsidRPr="00065BBB">
        <w:rPr>
          <w:rFonts w:eastAsiaTheme="minorEastAsia"/>
          <w:lang w:eastAsia="en-AU"/>
        </w:rPr>
        <w:t>flexible compliance options</w:t>
      </w:r>
      <w:r>
        <w:rPr>
          <w:rFonts w:eastAsiaTheme="minorEastAsia"/>
          <w:lang w:eastAsia="en-AU"/>
        </w:rPr>
        <w:t xml:space="preserve"> that</w:t>
      </w:r>
      <w:r w:rsidR="00DE38CB" w:rsidRPr="00065BBB">
        <w:rPr>
          <w:rFonts w:eastAsiaTheme="minorEastAsia"/>
          <w:lang w:eastAsia="en-AU"/>
        </w:rPr>
        <w:t xml:space="preserve"> are </w:t>
      </w:r>
      <w:r w:rsidR="00265923">
        <w:rPr>
          <w:rFonts w:eastAsiaTheme="minorEastAsia"/>
          <w:lang w:eastAsia="en-AU"/>
        </w:rPr>
        <w:t>being employed by safeguard facilities</w:t>
      </w:r>
      <w:r w:rsidR="00490F34">
        <w:rPr>
          <w:rFonts w:eastAsiaTheme="minorEastAsia"/>
          <w:lang w:eastAsia="en-AU"/>
        </w:rPr>
        <w:t>.</w:t>
      </w:r>
    </w:p>
    <w:p w14:paraId="54E82D4B" w14:textId="77777777" w:rsidR="005A7494" w:rsidRPr="005C13E1" w:rsidRDefault="00B14CA4" w:rsidP="00843037">
      <w:pPr>
        <w:pStyle w:val="CCAHeading4"/>
        <w:rPr>
          <w:rStyle w:val="Hyperlink"/>
          <w:color w:val="auto"/>
          <w:u w:val="none"/>
        </w:rPr>
      </w:pPr>
      <w:r w:rsidRPr="005C13E1">
        <w:rPr>
          <w:noProof/>
          <w:color w:val="auto"/>
          <w:sz w:val="21"/>
          <w:szCs w:val="21"/>
          <w:lang w:val="en-AU"/>
        </w:rPr>
        <w:drawing>
          <wp:anchor distT="0" distB="0" distL="114300" distR="114300" simplePos="0" relativeHeight="251657216" behindDoc="0" locked="0" layoutInCell="1" allowOverlap="1" wp14:anchorId="667D1C05" wp14:editId="41C3AEFC">
            <wp:simplePos x="0" y="0"/>
            <wp:positionH relativeFrom="column">
              <wp:posOffset>5163820</wp:posOffset>
            </wp:positionH>
            <wp:positionV relativeFrom="paragraph">
              <wp:posOffset>60325</wp:posOffset>
            </wp:positionV>
            <wp:extent cx="771525" cy="7715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V relativeFrom="margin">
              <wp14:pctHeight>0</wp14:pctHeight>
            </wp14:sizeRelV>
          </wp:anchor>
        </w:drawing>
      </w:r>
      <w:r w:rsidR="00843037">
        <w:rPr>
          <w:rFonts w:asciiTheme="minorHAnsi" w:hAnsiTheme="minorHAnsi" w:cstheme="minorHAnsi"/>
        </w:rPr>
        <w:t>A</w:t>
      </w:r>
      <w:r w:rsidR="00843037" w:rsidRPr="00843037">
        <w:rPr>
          <w:rFonts w:asciiTheme="minorHAnsi" w:hAnsiTheme="minorHAnsi" w:cstheme="minorHAnsi"/>
        </w:rPr>
        <w:t>dministration</w:t>
      </w:r>
      <w:r w:rsidR="005C13E1" w:rsidRPr="00843037">
        <w:rPr>
          <w:rFonts w:asciiTheme="minorHAnsi" w:hAnsiTheme="minorHAnsi" w:cstheme="minorHAnsi"/>
        </w:rPr>
        <w:t xml:space="preserve"> and compliance</w:t>
      </w:r>
      <w:r w:rsidR="00CC1FF3" w:rsidRPr="00843037">
        <w:rPr>
          <w:rFonts w:asciiTheme="minorHAnsi" w:hAnsiTheme="minorHAnsi" w:cstheme="minorHAnsi"/>
        </w:rPr>
        <w:t>:</w:t>
      </w:r>
    </w:p>
    <w:p w14:paraId="6A1E7075" w14:textId="77777777" w:rsidR="00A01C6B" w:rsidRDefault="000B6597" w:rsidP="00490F34">
      <w:pPr>
        <w:pStyle w:val="ListBullet"/>
        <w:numPr>
          <w:ilvl w:val="0"/>
          <w:numId w:val="63"/>
        </w:numPr>
        <w:rPr>
          <w:rFonts w:eastAsiaTheme="minorEastAsia"/>
          <w:lang w:eastAsia="en-AU"/>
        </w:rPr>
      </w:pPr>
      <w:r>
        <w:rPr>
          <w:rFonts w:eastAsiaTheme="minorEastAsia"/>
          <w:lang w:eastAsia="en-AU"/>
        </w:rPr>
        <w:t>t</w:t>
      </w:r>
      <w:r w:rsidR="00FC3B0E">
        <w:rPr>
          <w:rFonts w:eastAsiaTheme="minorEastAsia"/>
          <w:lang w:eastAsia="en-AU"/>
        </w:rPr>
        <w:t>he legislation i</w:t>
      </w:r>
      <w:r w:rsidR="003F4639">
        <w:rPr>
          <w:rFonts w:eastAsiaTheme="minorEastAsia"/>
          <w:lang w:eastAsia="en-AU"/>
        </w:rPr>
        <w:t>s well</w:t>
      </w:r>
      <w:r w:rsidR="00FC3B0E">
        <w:rPr>
          <w:rFonts w:eastAsiaTheme="minorEastAsia"/>
          <w:lang w:eastAsia="en-AU"/>
        </w:rPr>
        <w:t xml:space="preserve"> administered</w:t>
      </w:r>
      <w:r w:rsidR="003F4639">
        <w:rPr>
          <w:rFonts w:eastAsiaTheme="minorEastAsia"/>
          <w:lang w:eastAsia="en-AU"/>
        </w:rPr>
        <w:t xml:space="preserve"> </w:t>
      </w:r>
      <w:r w:rsidR="00A01C6B">
        <w:rPr>
          <w:rFonts w:eastAsiaTheme="minorEastAsia"/>
          <w:lang w:eastAsia="en-AU"/>
        </w:rPr>
        <w:t xml:space="preserve">by the Clean Energy Regulator </w:t>
      </w:r>
      <w:r w:rsidR="003F4639">
        <w:rPr>
          <w:rFonts w:eastAsiaTheme="minorEastAsia"/>
          <w:lang w:eastAsia="en-AU"/>
        </w:rPr>
        <w:t xml:space="preserve">and </w:t>
      </w:r>
      <w:r w:rsidR="00A01C6B">
        <w:rPr>
          <w:rFonts w:eastAsiaTheme="minorEastAsia"/>
          <w:lang w:eastAsia="en-AU"/>
        </w:rPr>
        <w:t>the Departmen</w:t>
      </w:r>
      <w:r w:rsidR="00FC6D0A">
        <w:rPr>
          <w:rFonts w:eastAsiaTheme="minorEastAsia"/>
          <w:lang w:eastAsia="en-AU"/>
        </w:rPr>
        <w:t>t of the Environment and Energy</w:t>
      </w:r>
      <w:r w:rsidR="00A01C6B">
        <w:rPr>
          <w:rFonts w:eastAsiaTheme="minorEastAsia"/>
          <w:lang w:eastAsia="en-AU"/>
        </w:rPr>
        <w:t xml:space="preserve"> </w:t>
      </w:r>
    </w:p>
    <w:p w14:paraId="2CCD2D05" w14:textId="77777777" w:rsidR="005A7494" w:rsidRDefault="000B6597" w:rsidP="005C13E1">
      <w:pPr>
        <w:pStyle w:val="ListBullet"/>
        <w:numPr>
          <w:ilvl w:val="0"/>
          <w:numId w:val="63"/>
        </w:numPr>
        <w:spacing w:after="202"/>
        <w:rPr>
          <w:rFonts w:eastAsiaTheme="minorEastAsia"/>
          <w:lang w:eastAsia="en-AU"/>
        </w:rPr>
      </w:pPr>
      <w:r>
        <w:rPr>
          <w:rFonts w:eastAsiaTheme="minorEastAsia"/>
          <w:lang w:eastAsia="en-AU"/>
        </w:rPr>
        <w:t>s</w:t>
      </w:r>
      <w:r w:rsidR="003F4639">
        <w:rPr>
          <w:rFonts w:eastAsiaTheme="minorEastAsia"/>
          <w:lang w:eastAsia="en-AU"/>
        </w:rPr>
        <w:t>cheme participants are satisfied with the approach taken</w:t>
      </w:r>
      <w:r w:rsidR="00FC3B0E">
        <w:rPr>
          <w:rFonts w:eastAsiaTheme="minorEastAsia"/>
          <w:lang w:eastAsia="en-AU"/>
        </w:rPr>
        <w:t xml:space="preserve"> to engage with and provide guidance to participants and enforce compliance</w:t>
      </w:r>
      <w:r w:rsidR="00490F34">
        <w:rPr>
          <w:rFonts w:eastAsiaTheme="minorEastAsia"/>
          <w:lang w:eastAsia="en-AU"/>
        </w:rPr>
        <w:t>.</w:t>
      </w:r>
      <w:r w:rsidR="00FC3B0E">
        <w:rPr>
          <w:rFonts w:eastAsiaTheme="minorEastAsia"/>
          <w:lang w:eastAsia="en-AU"/>
        </w:rPr>
        <w:t xml:space="preserve"> </w:t>
      </w:r>
    </w:p>
    <w:p w14:paraId="5644DD99" w14:textId="77777777" w:rsidR="005C13E1" w:rsidRPr="00843037" w:rsidRDefault="00B14CA4" w:rsidP="00843037">
      <w:pPr>
        <w:pStyle w:val="CCAHeading4"/>
      </w:pPr>
      <w:r w:rsidRPr="00843037">
        <w:rPr>
          <w:noProof/>
          <w:lang w:val="en-AU"/>
        </w:rPr>
        <w:lastRenderedPageBreak/>
        <w:drawing>
          <wp:anchor distT="0" distB="0" distL="114300" distR="114300" simplePos="0" relativeHeight="251655168" behindDoc="0" locked="0" layoutInCell="1" allowOverlap="1" wp14:anchorId="2E79E6C8" wp14:editId="0B1CCFF1">
            <wp:simplePos x="0" y="0"/>
            <wp:positionH relativeFrom="column">
              <wp:posOffset>5095240</wp:posOffset>
            </wp:positionH>
            <wp:positionV relativeFrom="paragraph">
              <wp:posOffset>4445</wp:posOffset>
            </wp:positionV>
            <wp:extent cx="714375" cy="7143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anchor>
        </w:drawing>
      </w:r>
      <w:r w:rsidR="00843037">
        <w:t>T</w:t>
      </w:r>
      <w:r w:rsidR="000C299D" w:rsidRPr="00843037">
        <w:t>he future of the safeguard and the policy toolkit</w:t>
      </w:r>
      <w:r w:rsidR="001D083F" w:rsidRPr="00843037">
        <w:t>:</w:t>
      </w:r>
    </w:p>
    <w:p w14:paraId="2AF62D0C" w14:textId="77777777" w:rsidR="008B19B8" w:rsidRPr="00B15B2C" w:rsidRDefault="00090DEA" w:rsidP="00AE0AC7">
      <w:pPr>
        <w:pStyle w:val="ListBullet"/>
        <w:numPr>
          <w:ilvl w:val="0"/>
          <w:numId w:val="63"/>
        </w:numPr>
        <w:rPr>
          <w:rFonts w:eastAsiaTheme="minorEastAsia"/>
          <w:lang w:eastAsia="en-AU"/>
        </w:rPr>
      </w:pPr>
      <w:r>
        <w:rPr>
          <w:rFonts w:eastAsiaTheme="minorEastAsia"/>
          <w:lang w:eastAsia="en-AU"/>
        </w:rPr>
        <w:t>a</w:t>
      </w:r>
      <w:r w:rsidR="008B19B8" w:rsidRPr="00B15B2C">
        <w:rPr>
          <w:rFonts w:eastAsiaTheme="minorEastAsia"/>
          <w:lang w:eastAsia="en-AU"/>
        </w:rPr>
        <w:t xml:space="preserve"> comprehensive policy toolkit is needed to capture the emissions reduction opportunities that exist across the different sectors of Australia’s economy</w:t>
      </w:r>
    </w:p>
    <w:p w14:paraId="412ADF81" w14:textId="77777777" w:rsidR="00FC6D0A" w:rsidRPr="00B15B2C" w:rsidRDefault="00090DEA" w:rsidP="005C13E1">
      <w:pPr>
        <w:pStyle w:val="ListBullet"/>
        <w:numPr>
          <w:ilvl w:val="0"/>
          <w:numId w:val="63"/>
        </w:numPr>
        <w:spacing w:after="202"/>
        <w:rPr>
          <w:rFonts w:eastAsiaTheme="minorEastAsia"/>
          <w:lang w:eastAsia="en-AU"/>
        </w:rPr>
      </w:pPr>
      <w:r>
        <w:rPr>
          <w:rFonts w:eastAsiaTheme="minorEastAsia"/>
          <w:lang w:eastAsia="en-AU"/>
        </w:rPr>
        <w:t>t</w:t>
      </w:r>
      <w:r w:rsidR="00FC6D0A" w:rsidRPr="00B15B2C">
        <w:rPr>
          <w:rFonts w:eastAsiaTheme="minorEastAsia"/>
          <w:lang w:eastAsia="en-AU"/>
        </w:rPr>
        <w:t xml:space="preserve">he safeguard mechanism is one policy that could be designed to </w:t>
      </w:r>
      <w:r w:rsidR="00FC6D0A">
        <w:rPr>
          <w:rFonts w:eastAsiaTheme="minorEastAsia"/>
          <w:lang w:eastAsia="en-AU"/>
        </w:rPr>
        <w:t xml:space="preserve">effectively and efficiently reduce emissions in the </w:t>
      </w:r>
      <w:r w:rsidR="00FC6D0A" w:rsidRPr="00B15B2C">
        <w:rPr>
          <w:rFonts w:eastAsiaTheme="minorEastAsia"/>
          <w:lang w:eastAsia="en-AU"/>
        </w:rPr>
        <w:t xml:space="preserve">industrial sector as part of </w:t>
      </w:r>
      <w:r w:rsidR="005861A5">
        <w:rPr>
          <w:rFonts w:eastAsiaTheme="minorEastAsia"/>
          <w:lang w:eastAsia="en-AU"/>
        </w:rPr>
        <w:t>this</w:t>
      </w:r>
      <w:r w:rsidR="00FC6D0A" w:rsidRPr="00B15B2C">
        <w:rPr>
          <w:rFonts w:eastAsiaTheme="minorEastAsia"/>
          <w:lang w:eastAsia="en-AU"/>
        </w:rPr>
        <w:t xml:space="preserve"> policy toolkit</w:t>
      </w:r>
      <w:r w:rsidR="00490F34">
        <w:rPr>
          <w:rFonts w:eastAsiaTheme="minorEastAsia"/>
          <w:lang w:eastAsia="en-AU"/>
        </w:rPr>
        <w:t>.</w:t>
      </w:r>
    </w:p>
    <w:p w14:paraId="24CD2FE8" w14:textId="1B901EB4" w:rsidR="005957B8" w:rsidRPr="00065BBB" w:rsidRDefault="005957B8" w:rsidP="00065BBB">
      <w:pPr>
        <w:pStyle w:val="CCABodytext"/>
      </w:pPr>
      <w:r w:rsidRPr="00065BBB">
        <w:t>Although the legislation is working well, there are a number of incremental opportunities for improvement. Collectively, they can make an important contribution to building on the schemes</w:t>
      </w:r>
      <w:r w:rsidR="00CD52E9">
        <w:t>’</w:t>
      </w:r>
      <w:r w:rsidRPr="00065BBB">
        <w:t xml:space="preserve"> strengths and improving </w:t>
      </w:r>
      <w:r w:rsidR="00CD52E9">
        <w:t xml:space="preserve">their </w:t>
      </w:r>
      <w:r w:rsidRPr="00065BBB">
        <w:t xml:space="preserve">overall efficiency and effectiveness. </w:t>
      </w:r>
    </w:p>
    <w:p w14:paraId="6EB39B2A" w14:textId="45DB8D3B" w:rsidR="005034D6" w:rsidRDefault="000C299D" w:rsidP="00F752A9">
      <w:pPr>
        <w:pStyle w:val="CCAheading1nonumber"/>
      </w:pPr>
      <w:bookmarkStart w:id="46" w:name="_Toc531095548"/>
      <w:bookmarkStart w:id="47" w:name="_Toc531099314"/>
      <w:bookmarkStart w:id="48" w:name="_Toc531101723"/>
      <w:bookmarkStart w:id="49" w:name="_Toc531763991"/>
      <w:bookmarkStart w:id="50" w:name="_Toc532912083"/>
      <w:bookmarkStart w:id="51" w:name="_Toc532914925"/>
      <w:bookmarkEnd w:id="45"/>
      <w:r>
        <w:lastRenderedPageBreak/>
        <w:t xml:space="preserve">What did </w:t>
      </w:r>
      <w:r w:rsidR="002E57A6">
        <w:t>Th</w:t>
      </w:r>
      <w:r w:rsidR="00B109DA">
        <w:t>e</w:t>
      </w:r>
      <w:r w:rsidR="005034D6">
        <w:t xml:space="preserve"> Authority </w:t>
      </w:r>
      <w:r w:rsidR="00B109DA">
        <w:t>r</w:t>
      </w:r>
      <w:r w:rsidR="005034D6">
        <w:t>ecommend</w:t>
      </w:r>
      <w:bookmarkEnd w:id="46"/>
      <w:bookmarkEnd w:id="47"/>
      <w:bookmarkEnd w:id="48"/>
      <w:bookmarkEnd w:id="49"/>
      <w:r>
        <w:t>?</w:t>
      </w:r>
      <w:bookmarkEnd w:id="50"/>
      <w:bookmarkEnd w:id="51"/>
    </w:p>
    <w:p w14:paraId="7B5489D3" w14:textId="61C4C859" w:rsidR="00A0224F" w:rsidRPr="00A0224F" w:rsidRDefault="00544A6D" w:rsidP="00C637F3">
      <w:pPr>
        <w:pStyle w:val="CCAheading2nonumber"/>
      </w:pPr>
      <w:r>
        <w:rPr>
          <w:noProof/>
          <w:lang w:val="en-AU"/>
        </w:rPr>
        <w:drawing>
          <wp:anchor distT="0" distB="0" distL="114300" distR="114300" simplePos="0" relativeHeight="251658240" behindDoc="0" locked="0" layoutInCell="1" allowOverlap="1" wp14:anchorId="68EDF5DF" wp14:editId="62B5A0D8">
            <wp:simplePos x="0" y="0"/>
            <wp:positionH relativeFrom="column">
              <wp:posOffset>5280660</wp:posOffset>
            </wp:positionH>
            <wp:positionV relativeFrom="paragraph">
              <wp:posOffset>88265</wp:posOffset>
            </wp:positionV>
            <wp:extent cx="647700" cy="647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V relativeFrom="margin">
              <wp14:pctHeight>0</wp14:pctHeight>
            </wp14:sizeRelV>
          </wp:anchor>
        </w:drawing>
      </w:r>
      <w:r w:rsidR="00A0224F" w:rsidRPr="00A0224F">
        <w:t xml:space="preserve">The </w:t>
      </w:r>
      <w:r w:rsidR="006659A5">
        <w:t>National Greenhouse and E</w:t>
      </w:r>
      <w:r w:rsidR="00A0224F" w:rsidRPr="00A0224F">
        <w:t xml:space="preserve">nergy </w:t>
      </w:r>
      <w:r w:rsidR="006659A5">
        <w:t>R</w:t>
      </w:r>
      <w:r w:rsidR="00A0224F" w:rsidRPr="00A0224F">
        <w:t>eporting scheme</w:t>
      </w:r>
    </w:p>
    <w:p w14:paraId="75384F52" w14:textId="1A8BDC77" w:rsidR="005034D6" w:rsidRPr="00E74905" w:rsidRDefault="005034D6" w:rsidP="00340A5E">
      <w:pPr>
        <w:pStyle w:val="CCAHeading4"/>
      </w:pPr>
      <w:r w:rsidRPr="00E9520D">
        <w:t xml:space="preserve">Continue streamlining </w:t>
      </w:r>
      <w:r w:rsidR="00B53E4D" w:rsidRPr="00E9520D">
        <w:t xml:space="preserve">government requirements for energy and emissions data </w:t>
      </w:r>
      <w:r w:rsidR="009E6910">
        <w:t xml:space="preserve">and its administration </w:t>
      </w:r>
      <w:r w:rsidR="004C33AF" w:rsidRPr="00E9520D">
        <w:t xml:space="preserve">to </w:t>
      </w:r>
      <w:r w:rsidR="0096034D">
        <w:t xml:space="preserve">improve efficiency and </w:t>
      </w:r>
      <w:r w:rsidRPr="00E9520D">
        <w:t>reduc</w:t>
      </w:r>
      <w:r w:rsidR="004C33AF" w:rsidRPr="00E9520D">
        <w:t xml:space="preserve">e </w:t>
      </w:r>
      <w:r w:rsidRPr="00E9520D">
        <w:t xml:space="preserve">costs to </w:t>
      </w:r>
      <w:r w:rsidR="004C33AF" w:rsidRPr="00E9520D">
        <w:t xml:space="preserve">government and </w:t>
      </w:r>
      <w:r w:rsidRPr="00E9520D">
        <w:t>business</w:t>
      </w:r>
    </w:p>
    <w:p w14:paraId="0C47FDBE" w14:textId="77777777" w:rsidR="00F973BA" w:rsidRDefault="00F973BA" w:rsidP="00F973BA">
      <w:pPr>
        <w:pStyle w:val="CCABodytext"/>
        <w:rPr>
          <w:color w:val="414141"/>
        </w:rPr>
      </w:pPr>
      <w:r>
        <w:t xml:space="preserve">The Department and Regulator analyse opportunities for data sharing between the reporting scheme and the National Pollutant Inventory and the Petroleum and </w:t>
      </w:r>
      <w:r w:rsidRPr="00ED268E">
        <w:t>Other Fuels Reporting program</w:t>
      </w:r>
      <w:r>
        <w:t>, and work with the Australian Bureau of Statistics on opportunities to share data with the Energy, Water and Environment Survey (Recommendation 1, Section 4.1.1).</w:t>
      </w:r>
    </w:p>
    <w:p w14:paraId="562E7AE7" w14:textId="77777777" w:rsidR="0096034D" w:rsidRDefault="0096034D" w:rsidP="0096034D">
      <w:pPr>
        <w:pStyle w:val="CCABodytext"/>
      </w:pPr>
      <w:r>
        <w:t>The Department examine whether there are efficiency gains in having the Regulator administer the reporting for carbon neutral certification against the National Carbon Offset Standard (Recommendation 2, Section 4.1.2).</w:t>
      </w:r>
    </w:p>
    <w:p w14:paraId="32D8E94E" w14:textId="77777777" w:rsidR="0096034D" w:rsidRDefault="0096034D" w:rsidP="0096034D">
      <w:pPr>
        <w:pStyle w:val="CCABodytext"/>
      </w:pPr>
      <w:r>
        <w:t>To the extent possible, the Government align the compliance framework and administrative arrangements for the Carbon Offsetting and Reduction Scheme for International Aviation with those established under the National Greenhouse and Energy Reporting legislation (Recommendation 3, Section 4.1.2).</w:t>
      </w:r>
    </w:p>
    <w:p w14:paraId="40DE2CBA" w14:textId="77777777" w:rsidR="005034D6" w:rsidRPr="0096034D" w:rsidRDefault="005034D6" w:rsidP="00F752A9">
      <w:pPr>
        <w:pStyle w:val="CCABodytext"/>
      </w:pPr>
      <w:r>
        <w:t>T</w:t>
      </w:r>
      <w:r w:rsidRPr="00320B70">
        <w:t>he Regulator and government data users continue to work together to clarify what data is available and how it can be shared and used</w:t>
      </w:r>
      <w:r w:rsidR="00B53E4D">
        <w:t xml:space="preserve"> more efficient</w:t>
      </w:r>
      <w:r w:rsidR="00B53E4D" w:rsidRPr="0096034D">
        <w:t>ly</w:t>
      </w:r>
      <w:r w:rsidR="00DC1397" w:rsidRPr="0096034D">
        <w:t xml:space="preserve"> (Recommendation 4, Section </w:t>
      </w:r>
      <w:r w:rsidR="0026147E" w:rsidRPr="0096034D">
        <w:t>4.1</w:t>
      </w:r>
      <w:r w:rsidR="00DC1397" w:rsidRPr="0096034D">
        <w:t>.3)</w:t>
      </w:r>
      <w:r w:rsidRPr="0096034D">
        <w:t>.</w:t>
      </w:r>
    </w:p>
    <w:p w14:paraId="4B94E180" w14:textId="4B8F6918" w:rsidR="00BB7B2F" w:rsidRDefault="00BB7B2F" w:rsidP="00340A5E">
      <w:pPr>
        <w:pStyle w:val="CCAHeading4"/>
      </w:pPr>
      <w:r w:rsidRPr="0096034D">
        <w:t>Enhance the E</w:t>
      </w:r>
      <w:r w:rsidR="005962FF" w:rsidRPr="0096034D">
        <w:t xml:space="preserve">missions </w:t>
      </w:r>
      <w:r w:rsidRPr="0096034D">
        <w:t xml:space="preserve">and </w:t>
      </w:r>
      <w:r w:rsidR="005962FF" w:rsidRPr="0096034D">
        <w:t>Energy</w:t>
      </w:r>
      <w:r w:rsidRPr="0096034D">
        <w:t xml:space="preserve"> Reporting System to reduce the burden on reporters</w:t>
      </w:r>
      <w:r w:rsidR="0096034D" w:rsidRPr="0096034D">
        <w:t>,</w:t>
      </w:r>
      <w:r w:rsidRPr="0096034D">
        <w:t xml:space="preserve"> improve the quality of data</w:t>
      </w:r>
      <w:r w:rsidR="0096034D" w:rsidRPr="0096034D">
        <w:t xml:space="preserve"> and enable data sharing</w:t>
      </w:r>
    </w:p>
    <w:p w14:paraId="299BD1A1" w14:textId="1A7712FC" w:rsidR="00BB7B2F" w:rsidRDefault="00BB7B2F" w:rsidP="00BB7B2F">
      <w:pPr>
        <w:pStyle w:val="CCABodytext"/>
      </w:pPr>
      <w:r>
        <w:t xml:space="preserve">The Regulator consult widely with reporters to </w:t>
      </w:r>
      <w:r w:rsidR="00851E0A">
        <w:t>progress</w:t>
      </w:r>
      <w:r>
        <w:t xml:space="preserve"> developments to the </w:t>
      </w:r>
      <w:r w:rsidR="005962FF">
        <w:t xml:space="preserve">Emissions and </w:t>
      </w:r>
      <w:r>
        <w:t>Energy Reporting System, with a view to enabling data to be easily uploaded and downloaded by reporters and greater use of pre-fill data, in time for the 2020</w:t>
      </w:r>
      <w:r w:rsidR="002053BB">
        <w:t>–</w:t>
      </w:r>
      <w:r>
        <w:t xml:space="preserve">21 reporting year (Recommendation 5, Section </w:t>
      </w:r>
      <w:r w:rsidR="0026147E">
        <w:t>4</w:t>
      </w:r>
      <w:r>
        <w:t>.</w:t>
      </w:r>
      <w:r w:rsidR="0026147E">
        <w:t>2</w:t>
      </w:r>
      <w:r>
        <w:t>).</w:t>
      </w:r>
    </w:p>
    <w:p w14:paraId="0E4247A6" w14:textId="77777777" w:rsidR="0096034D" w:rsidRDefault="0096034D" w:rsidP="0096034D">
      <w:pPr>
        <w:pStyle w:val="CCABodytext"/>
      </w:pPr>
      <w:r>
        <w:t>The Regulator continue to develop its long-term information technology systems and services roadmap to increase opportunities for data sharing across schemes, including working with other program administrators, and consider the benefits and costs of developing a common reporting portal for existing and future energy and emissions reporting schemes (Recommendation 6, 4.2).</w:t>
      </w:r>
    </w:p>
    <w:p w14:paraId="59C5D711" w14:textId="77777777" w:rsidR="00BB7B2F" w:rsidRDefault="005861A5" w:rsidP="00340A5E">
      <w:pPr>
        <w:pStyle w:val="CCAHeading4"/>
      </w:pPr>
      <w:r>
        <w:lastRenderedPageBreak/>
        <w:t xml:space="preserve">Facilitate greater input from industry in </w:t>
      </w:r>
      <w:r w:rsidR="00BB7B2F">
        <w:t>the measurement determination update process</w:t>
      </w:r>
    </w:p>
    <w:p w14:paraId="15D88F41" w14:textId="200CBB3C" w:rsidR="00973EAD" w:rsidRDefault="00BB7B2F" w:rsidP="00BB7B2F">
      <w:pPr>
        <w:pStyle w:val="CCABodytext"/>
        <w:rPr>
          <w:b/>
        </w:rPr>
      </w:pPr>
      <w:r>
        <w:t xml:space="preserve">The Department enhance the current process for implementing updates to the measurement determination by consulting earlier with industry, increasing transparency on how issues will be resolved and working with the Regulator to better publicise updates (Recommendation 7, Section </w:t>
      </w:r>
      <w:r w:rsidR="0026147E">
        <w:t>4</w:t>
      </w:r>
      <w:r>
        <w:t>.</w:t>
      </w:r>
      <w:r w:rsidR="003E4446">
        <w:t>3</w:t>
      </w:r>
      <w:r w:rsidR="0026147E">
        <w:t>)</w:t>
      </w:r>
      <w:r>
        <w:t>.</w:t>
      </w:r>
    </w:p>
    <w:p w14:paraId="2FFC6F8E" w14:textId="09D4E1F9" w:rsidR="00BB7B2F" w:rsidRDefault="00BB7B2F" w:rsidP="00340A5E">
      <w:pPr>
        <w:pStyle w:val="CCAHeading4"/>
        <w:rPr>
          <w:color w:val="414141"/>
        </w:rPr>
      </w:pPr>
      <w:r>
        <w:t xml:space="preserve">Reduce the cost associated with reporting </w:t>
      </w:r>
      <w:r w:rsidR="00461AB4">
        <w:t xml:space="preserve">emissions and </w:t>
      </w:r>
      <w:r>
        <w:t>energy from small sources</w:t>
      </w:r>
    </w:p>
    <w:p w14:paraId="0250643F" w14:textId="1832CF7A" w:rsidR="00603B40" w:rsidRDefault="00BB7B2F" w:rsidP="00BB7B2F">
      <w:pPr>
        <w:pStyle w:val="CCABodytext"/>
      </w:pPr>
      <w:r>
        <w:t>The Regulator work with the Department to enhance understanding among reporters and auditors (in time for the 2019</w:t>
      </w:r>
      <w:r w:rsidR="00A151D3">
        <w:t>–</w:t>
      </w:r>
      <w:r>
        <w:t xml:space="preserve">20 reporting year) about the existing provisions in the </w:t>
      </w:r>
      <w:r w:rsidR="009655F1">
        <w:t>legislation</w:t>
      </w:r>
      <w:r>
        <w:t xml:space="preserve"> that can reduce the costs of reporting on small sources of emissions and energy. In addition, the Department should work closely with the Regulator and industry to systematically review provisions</w:t>
      </w:r>
      <w:r w:rsidR="00851E0A">
        <w:t>,</w:t>
      </w:r>
      <w:r w:rsidR="00851E0A" w:rsidRPr="00E45370">
        <w:t xml:space="preserve"> </w:t>
      </w:r>
      <w:r w:rsidR="00851E0A">
        <w:t>and their administration,</w:t>
      </w:r>
      <w:r w:rsidR="00851E0A" w:rsidRPr="00E45370">
        <w:t xml:space="preserve"> </w:t>
      </w:r>
      <w:r w:rsidR="009655F1">
        <w:t xml:space="preserve">that apply to </w:t>
      </w:r>
      <w:r>
        <w:t xml:space="preserve">small sources of emissions and energy to assess if further improvements can be made to reduce reporting costs while meeting the objectives of the reporting scheme (Recommendation 8, Section </w:t>
      </w:r>
      <w:r w:rsidR="0026147E">
        <w:t>4</w:t>
      </w:r>
      <w:r>
        <w:t>.</w:t>
      </w:r>
      <w:r w:rsidR="003E4446">
        <w:t>4</w:t>
      </w:r>
      <w:r>
        <w:t>).</w:t>
      </w:r>
    </w:p>
    <w:p w14:paraId="61226734" w14:textId="77777777" w:rsidR="00BB7B2F" w:rsidRDefault="00BB7B2F" w:rsidP="00340A5E">
      <w:pPr>
        <w:pStyle w:val="CCAHeading4"/>
      </w:pPr>
      <w:r>
        <w:t xml:space="preserve">Expand </w:t>
      </w:r>
      <w:r w:rsidR="005861A5">
        <w:t xml:space="preserve">the range of emissions and energy data </w:t>
      </w:r>
      <w:r w:rsidR="00E359C8">
        <w:t xml:space="preserve">that is </w:t>
      </w:r>
      <w:r w:rsidR="005861A5">
        <w:t>reported and published</w:t>
      </w:r>
    </w:p>
    <w:p w14:paraId="7FDE1712" w14:textId="77777777" w:rsidR="00BB7B2F" w:rsidRDefault="00BB7B2F" w:rsidP="00BB7B2F">
      <w:pPr>
        <w:pStyle w:val="CCABodytext"/>
      </w:pPr>
      <w:r>
        <w:t xml:space="preserve">The Department amend the measurement determination, in consultation with industry, to include emissions from agricultural sources to allow reporting on a voluntary basis. Voluntary reporting of agricultural emissions should be reviewed after five years (Recommendation 9, Section </w:t>
      </w:r>
      <w:r w:rsidR="0026147E">
        <w:t>4</w:t>
      </w:r>
      <w:r>
        <w:t>.</w:t>
      </w:r>
      <w:r w:rsidR="0026147E">
        <w:t>6</w:t>
      </w:r>
      <w:r>
        <w:t>.2).</w:t>
      </w:r>
    </w:p>
    <w:p w14:paraId="569B3507" w14:textId="77777777" w:rsidR="0096034D" w:rsidRDefault="00BB7B2F" w:rsidP="0096034D">
      <w:pPr>
        <w:pStyle w:val="CCABodytext"/>
      </w:pPr>
      <w:r>
        <w:t xml:space="preserve">The Department examine opportunities to improve the quality of data available on aerosols and indirect greenhouse gases (including black carbon) by assessing the merits of including these substances in the reporting scheme (Recommendation 10, Section </w:t>
      </w:r>
      <w:r w:rsidR="0026147E">
        <w:t>4</w:t>
      </w:r>
      <w:r>
        <w:t>.</w:t>
      </w:r>
      <w:r w:rsidR="0026147E">
        <w:t>6</w:t>
      </w:r>
      <w:r>
        <w:t>.2).</w:t>
      </w:r>
      <w:r w:rsidR="0096034D" w:rsidRPr="0096034D">
        <w:t xml:space="preserve"> </w:t>
      </w:r>
    </w:p>
    <w:p w14:paraId="73CB7253" w14:textId="1B4E2D74" w:rsidR="0096034D" w:rsidRDefault="0096034D" w:rsidP="0096034D">
      <w:pPr>
        <w:pStyle w:val="CCABodytext"/>
      </w:pPr>
      <w:r>
        <w:t>The Department undertake analysis to determine whether the benefits of extending the reporting scheme to Australian, and state and territory government agencies and local councils exceed the costs (for those that do not currently report under the scheme) (Recommendation 11, Section 4.6.3).</w:t>
      </w:r>
    </w:p>
    <w:p w14:paraId="4AB7F75B" w14:textId="77777777" w:rsidR="00BB7B2F" w:rsidRDefault="00BB7B2F" w:rsidP="00BB7B2F">
      <w:pPr>
        <w:pStyle w:val="CCABodytext"/>
      </w:pPr>
      <w:r>
        <w:t>The Department test the feasibility of optional reporting for scope 2 emissions (from electricity use) that accounts for direct sourcing of low</w:t>
      </w:r>
      <w:r w:rsidR="00C8127E">
        <w:noBreakHyphen/>
      </w:r>
      <w:r>
        <w:t xml:space="preserve">emissions energy (Recommendation 12, Section </w:t>
      </w:r>
      <w:r w:rsidR="0026147E">
        <w:t>4</w:t>
      </w:r>
      <w:r>
        <w:t>.</w:t>
      </w:r>
      <w:r w:rsidR="0026147E">
        <w:t>6</w:t>
      </w:r>
      <w:r>
        <w:t>.4).</w:t>
      </w:r>
    </w:p>
    <w:p w14:paraId="26306DAB" w14:textId="77777777" w:rsidR="00BB7B2F" w:rsidRDefault="005861A5" w:rsidP="00340A5E">
      <w:pPr>
        <w:pStyle w:val="CCAHeading4"/>
      </w:pPr>
      <w:r>
        <w:t xml:space="preserve">Enhance </w:t>
      </w:r>
      <w:r w:rsidR="00BB7B2F">
        <w:t xml:space="preserve">the usefulness of the data </w:t>
      </w:r>
      <w:r>
        <w:t xml:space="preserve">for </w:t>
      </w:r>
      <w:r w:rsidR="00BB7B2F">
        <w:t>governments and the public</w:t>
      </w:r>
    </w:p>
    <w:p w14:paraId="2AEC0C71" w14:textId="77777777" w:rsidR="00BB7B2F" w:rsidRDefault="00BB7B2F" w:rsidP="00BB7B2F">
      <w:pPr>
        <w:pStyle w:val="CCABodytext"/>
      </w:pPr>
      <w:r>
        <w:t xml:space="preserve">The Regulator, supported by the Department, be allocated funding to enhance the </w:t>
      </w:r>
      <w:r w:rsidR="00AF20E9">
        <w:t>dataset</w:t>
      </w:r>
      <w:r>
        <w:t xml:space="preserve"> for time series analysis</w:t>
      </w:r>
      <w:r w:rsidR="00603B40">
        <w:t>.</w:t>
      </w:r>
      <w:r w:rsidR="00670C74">
        <w:t xml:space="preserve"> </w:t>
      </w:r>
      <w:r w:rsidR="00670C74" w:rsidDel="0026147E">
        <w:t xml:space="preserve">The </w:t>
      </w:r>
      <w:r w:rsidR="00AF20E9">
        <w:t>dataset</w:t>
      </w:r>
      <w:r w:rsidR="00670C74" w:rsidDel="0026147E">
        <w:t xml:space="preserve"> should be </w:t>
      </w:r>
      <w:r w:rsidDel="0026147E">
        <w:t xml:space="preserve">updated </w:t>
      </w:r>
      <w:r>
        <w:t xml:space="preserve">each year within </w:t>
      </w:r>
      <w:r w:rsidR="005D4CC4">
        <w:t xml:space="preserve">three </w:t>
      </w:r>
      <w:r>
        <w:lastRenderedPageBreak/>
        <w:t xml:space="preserve">months of the data being </w:t>
      </w:r>
      <w:r w:rsidR="00670C74">
        <w:t>reported</w:t>
      </w:r>
      <w:r>
        <w:t xml:space="preserve">, for use by Australian governments (Recommendation 13, Section </w:t>
      </w:r>
      <w:r w:rsidR="0026147E">
        <w:t>4.8</w:t>
      </w:r>
      <w:r>
        <w:t>).</w:t>
      </w:r>
    </w:p>
    <w:p w14:paraId="3CA6244A" w14:textId="77777777" w:rsidR="00603B40" w:rsidRDefault="00BB7B2F" w:rsidP="00BB7B2F">
      <w:pPr>
        <w:pStyle w:val="CCABodytext"/>
      </w:pPr>
      <w:r>
        <w:t>The Government legislat</w:t>
      </w:r>
      <w:r w:rsidR="00F973BA">
        <w:t>e</w:t>
      </w:r>
      <w:r>
        <w:t xml:space="preserve"> to ensure the Regulator retains its ability to disseminate emissions and energy information obtained prior to 2 April 2012 and </w:t>
      </w:r>
      <w:r w:rsidR="00746A82">
        <w:t xml:space="preserve">Australian Government </w:t>
      </w:r>
      <w:r w:rsidR="005D4CC4">
        <w:t>m</w:t>
      </w:r>
      <w:r w:rsidR="00603B40">
        <w:t xml:space="preserve">inisters and </w:t>
      </w:r>
      <w:r>
        <w:t xml:space="preserve">agencies retain their ability to publish this information (Recommendation 14, Section </w:t>
      </w:r>
      <w:r w:rsidR="0026147E">
        <w:t>4</w:t>
      </w:r>
      <w:r>
        <w:t>.</w:t>
      </w:r>
      <w:r w:rsidR="0026147E">
        <w:t>8</w:t>
      </w:r>
      <w:r>
        <w:t>.1).</w:t>
      </w:r>
    </w:p>
    <w:p w14:paraId="4CCB1189" w14:textId="77777777" w:rsidR="00BB7B2F" w:rsidRDefault="00B14CA4" w:rsidP="00BB7B2F">
      <w:pPr>
        <w:pStyle w:val="CCABodytext"/>
      </w:pPr>
      <w:r>
        <w:rPr>
          <w:noProof/>
          <w:lang w:eastAsia="en-AU"/>
        </w:rPr>
        <w:drawing>
          <wp:anchor distT="0" distB="0" distL="114300" distR="114300" simplePos="0" relativeHeight="251659264" behindDoc="0" locked="0" layoutInCell="1" allowOverlap="1" wp14:anchorId="36825A15" wp14:editId="6CE8681D">
            <wp:simplePos x="0" y="0"/>
            <wp:positionH relativeFrom="column">
              <wp:posOffset>5461635</wp:posOffset>
            </wp:positionH>
            <wp:positionV relativeFrom="paragraph">
              <wp:posOffset>627380</wp:posOffset>
            </wp:positionV>
            <wp:extent cx="771525" cy="7715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anchor>
        </w:drawing>
      </w:r>
      <w:r w:rsidR="00BB7B2F">
        <w:t>The Regulator identify ways to better meet data users’ needs by publishing more detailed analyses of key findings and trends, increasing the volume of data reported publicly and improving the presentation of data on the website (Re</w:t>
      </w:r>
      <w:r w:rsidR="00E14625">
        <w:t xml:space="preserve">commendation 15, Section </w:t>
      </w:r>
      <w:r w:rsidR="0026147E">
        <w:t>4</w:t>
      </w:r>
      <w:r w:rsidR="00E14625">
        <w:t>.</w:t>
      </w:r>
      <w:r w:rsidR="0026147E">
        <w:t>9</w:t>
      </w:r>
      <w:r w:rsidR="00E14625">
        <w:t>).</w:t>
      </w:r>
    </w:p>
    <w:p w14:paraId="256C88C4" w14:textId="77777777" w:rsidR="00A0224F" w:rsidRPr="00F973BA" w:rsidRDefault="00A0224F" w:rsidP="00C637F3">
      <w:pPr>
        <w:pStyle w:val="CCAheading2nonumber"/>
      </w:pPr>
      <w:r w:rsidRPr="00F973BA">
        <w:t>The safeguard mechanism</w:t>
      </w:r>
      <w:r w:rsidR="00B14CA4" w:rsidRPr="003254CC">
        <w:rPr>
          <w:noProof/>
        </w:rPr>
        <w:t xml:space="preserve"> </w:t>
      </w:r>
    </w:p>
    <w:p w14:paraId="4FC7926E" w14:textId="77777777" w:rsidR="00BB7B2F" w:rsidRPr="006923B9" w:rsidRDefault="00BB7B2F" w:rsidP="00F973BA">
      <w:pPr>
        <w:pStyle w:val="CCAHeading4"/>
      </w:pPr>
      <w:r w:rsidRPr="006923B9">
        <w:t>Update baselines to align approaches for measuring emissions and setting baselines</w:t>
      </w:r>
    </w:p>
    <w:p w14:paraId="36496DE3" w14:textId="77777777" w:rsidR="00BB7B2F" w:rsidRDefault="0026147E" w:rsidP="00BB7B2F">
      <w:pPr>
        <w:pStyle w:val="CCABodytext"/>
      </w:pPr>
      <w:r>
        <w:t xml:space="preserve">The </w:t>
      </w:r>
      <w:r w:rsidR="00025615">
        <w:t>R</w:t>
      </w:r>
      <w:r>
        <w:t>egulator update b</w:t>
      </w:r>
      <w:r w:rsidR="00BB7B2F">
        <w:t xml:space="preserve">aselines to reflect changes to the measurement determination that lead to a material difference in reported emissions (Recommendation 16, Section </w:t>
      </w:r>
      <w:r>
        <w:t>5</w:t>
      </w:r>
      <w:r w:rsidR="00BB7B2F">
        <w:t>.2.2).</w:t>
      </w:r>
    </w:p>
    <w:p w14:paraId="3A0974D5" w14:textId="77777777" w:rsidR="00BB7B2F" w:rsidRPr="006923B9" w:rsidRDefault="00BB7B2F" w:rsidP="00F973BA">
      <w:pPr>
        <w:pStyle w:val="CCAHeading4"/>
      </w:pPr>
      <w:r w:rsidRPr="006923B9">
        <w:t>Improve liquidity in the market for Australian Carbon Credit Units to reduce costs of complying with the safeguard</w:t>
      </w:r>
    </w:p>
    <w:p w14:paraId="17D3E147" w14:textId="77777777" w:rsidR="00973EAD" w:rsidRDefault="00BB7B2F" w:rsidP="00BB7B2F">
      <w:pPr>
        <w:pStyle w:val="CCABodytext"/>
        <w:rPr>
          <w:b/>
          <w:color w:val="184E64" w:themeColor="text2" w:themeShade="80"/>
        </w:rPr>
      </w:pPr>
      <w:r>
        <w:t xml:space="preserve">The Regulator continue to pursue opportunities to increase the information available about the market for Australian Carbon Credit Units (Recommendation 17, Section </w:t>
      </w:r>
      <w:r w:rsidR="0026147E">
        <w:t>5</w:t>
      </w:r>
      <w:r>
        <w:t>.2.3).</w:t>
      </w:r>
    </w:p>
    <w:p w14:paraId="367628BA" w14:textId="77777777" w:rsidR="00BB7B2F" w:rsidRPr="00973EAD" w:rsidRDefault="00BB7B2F" w:rsidP="00F973BA">
      <w:pPr>
        <w:pStyle w:val="CCAHeading4"/>
      </w:pPr>
      <w:r w:rsidRPr="00973EAD">
        <w:t xml:space="preserve">Increase the incentive for safeguard facilities to invest in projects that reduce their indirect emissions </w:t>
      </w:r>
    </w:p>
    <w:p w14:paraId="6E05296E" w14:textId="77777777" w:rsidR="00BB7B2F" w:rsidRDefault="0026147E" w:rsidP="00BB7B2F">
      <w:pPr>
        <w:pStyle w:val="CCABodytext"/>
      </w:pPr>
      <w:r>
        <w:t>The Department i</w:t>
      </w:r>
      <w:r w:rsidR="00BB7B2F">
        <w:t xml:space="preserve">nvestigate the feasibility and potential uptake of allowing safeguard facilities to participate in the Emissions Reduction Fund in a way that recognises reductions in indirect emissions without resulting in an increase in reported direct emissions (Recommendation 18, Section </w:t>
      </w:r>
      <w:r>
        <w:t>5</w:t>
      </w:r>
      <w:r w:rsidR="00BB7B2F">
        <w:t>.2.4).</w:t>
      </w:r>
    </w:p>
    <w:p w14:paraId="57135433" w14:textId="77777777" w:rsidR="00BB7B2F" w:rsidRPr="00973EAD" w:rsidRDefault="00BB7B2F" w:rsidP="00F973BA">
      <w:pPr>
        <w:pStyle w:val="CCAHeading4"/>
      </w:pPr>
      <w:r w:rsidRPr="00973EAD">
        <w:t xml:space="preserve">Remove deemed surrender so safeguard facilities only benefit once from the Australian Carbon Credit Units they generate </w:t>
      </w:r>
    </w:p>
    <w:p w14:paraId="1B921075" w14:textId="77777777" w:rsidR="00BB7B2F" w:rsidRDefault="00BB7B2F" w:rsidP="00BB7B2F">
      <w:pPr>
        <w:pStyle w:val="CCABodytext"/>
      </w:pPr>
      <w:r>
        <w:t xml:space="preserve">The Government remove the option for deemed surrender </w:t>
      </w:r>
      <w:r w:rsidR="0026147E">
        <w:t xml:space="preserve">under the safeguard </w:t>
      </w:r>
      <w:r>
        <w:t xml:space="preserve">(Recommendation 19, Section </w:t>
      </w:r>
      <w:r w:rsidR="0026147E">
        <w:t>5</w:t>
      </w:r>
      <w:r>
        <w:t>.2.5).</w:t>
      </w:r>
    </w:p>
    <w:p w14:paraId="4D8E0982" w14:textId="77777777" w:rsidR="00A0224F" w:rsidRPr="00A0224F" w:rsidRDefault="00B14CA4" w:rsidP="00C637F3">
      <w:pPr>
        <w:pStyle w:val="CCAheading2nonumber"/>
        <w:rPr>
          <w:u w:val="single"/>
        </w:rPr>
      </w:pPr>
      <w:r>
        <w:rPr>
          <w:noProof/>
          <w:lang w:val="en-AU"/>
        </w:rPr>
        <w:lastRenderedPageBreak/>
        <w:drawing>
          <wp:anchor distT="0" distB="0" distL="114300" distR="114300" simplePos="0" relativeHeight="251660288" behindDoc="0" locked="0" layoutInCell="1" allowOverlap="1" wp14:anchorId="7C00D7E1" wp14:editId="2AEF2516">
            <wp:simplePos x="0" y="0"/>
            <wp:positionH relativeFrom="column">
              <wp:posOffset>5312410</wp:posOffset>
            </wp:positionH>
            <wp:positionV relativeFrom="paragraph">
              <wp:posOffset>17145</wp:posOffset>
            </wp:positionV>
            <wp:extent cx="771525" cy="7715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V relativeFrom="margin">
              <wp14:pctHeight>0</wp14:pctHeight>
            </wp14:sizeRelV>
          </wp:anchor>
        </w:drawing>
      </w:r>
      <w:r w:rsidR="00A0224F" w:rsidRPr="00F973BA">
        <w:t>Administration and compliance</w:t>
      </w:r>
      <w:r w:rsidRPr="00B14CA4">
        <w:rPr>
          <w:noProof/>
        </w:rPr>
        <w:t xml:space="preserve"> </w:t>
      </w:r>
    </w:p>
    <w:p w14:paraId="5D0F921F" w14:textId="77777777" w:rsidR="00BB7B2F" w:rsidRPr="00973EAD" w:rsidRDefault="00BB7B2F" w:rsidP="00F973BA">
      <w:pPr>
        <w:pStyle w:val="CCAHeading4"/>
      </w:pPr>
      <w:r w:rsidRPr="00973EAD">
        <w:t>Continue to target compliance audits to reduce costs</w:t>
      </w:r>
    </w:p>
    <w:p w14:paraId="39659D8F" w14:textId="77777777" w:rsidR="00036197" w:rsidRDefault="00BB7B2F" w:rsidP="0069227F">
      <w:pPr>
        <w:pStyle w:val="CCABodytext"/>
      </w:pPr>
      <w:r>
        <w:t>The Regulator continue to work with reporters and auditors to better target compliance audits to ensure integrity of the data and reduce costs to business</w:t>
      </w:r>
      <w:r w:rsidR="0026147E">
        <w:t xml:space="preserve"> (Recommendation 20, Section 6.2.2)</w:t>
      </w:r>
      <w:r>
        <w:t>.</w:t>
      </w:r>
    </w:p>
    <w:p w14:paraId="0A5A38D1" w14:textId="77777777" w:rsidR="0069227F" w:rsidRPr="00E0204F" w:rsidRDefault="0069227F" w:rsidP="0069227F">
      <w:pPr>
        <w:pStyle w:val="CCABodytext"/>
        <w:rPr>
          <w:rFonts w:eastAsia="Calibri"/>
          <w:lang w:val="en-GB"/>
        </w:rPr>
      </w:pPr>
    </w:p>
    <w:p w14:paraId="42425070" w14:textId="77777777" w:rsidR="00254519" w:rsidRDefault="00254519" w:rsidP="000D7F42">
      <w:pPr>
        <w:pStyle w:val="ListBullet"/>
        <w:sectPr w:rsidR="00254519" w:rsidSect="00041493">
          <w:headerReference w:type="even" r:id="rId30"/>
          <w:pgSz w:w="11907" w:h="16840" w:code="9"/>
          <w:pgMar w:top="1418" w:right="1077" w:bottom="851" w:left="1077" w:header="850" w:footer="720" w:gutter="0"/>
          <w:pgNumType w:chapStyle="1" w:chapSep="emDash"/>
          <w:cols w:space="720"/>
          <w:docGrid w:linePitch="360"/>
        </w:sectPr>
      </w:pPr>
    </w:p>
    <w:p w14:paraId="0514C078" w14:textId="2683CA52" w:rsidR="00A20D3E" w:rsidRPr="00155241" w:rsidRDefault="009A5956" w:rsidP="00F973BA">
      <w:pPr>
        <w:pStyle w:val="CCAHeading1"/>
        <w:numPr>
          <w:ilvl w:val="0"/>
          <w:numId w:val="70"/>
        </w:numPr>
      </w:pPr>
      <w:bookmarkStart w:id="52" w:name="_Toc525642966"/>
      <w:bookmarkStart w:id="53" w:name="_Toc525644034"/>
      <w:bookmarkStart w:id="54" w:name="_Toc525661482"/>
      <w:bookmarkStart w:id="55" w:name="_Toc526430688"/>
      <w:bookmarkStart w:id="56" w:name="_Toc528140783"/>
      <w:bookmarkStart w:id="57" w:name="_Toc528143264"/>
      <w:bookmarkStart w:id="58" w:name="_Toc528770212"/>
      <w:bookmarkStart w:id="59" w:name="_Toc529183847"/>
      <w:bookmarkStart w:id="60" w:name="_Toc529187659"/>
      <w:bookmarkStart w:id="61" w:name="_Toc529188085"/>
      <w:bookmarkStart w:id="62" w:name="_Toc529377735"/>
      <w:bookmarkStart w:id="63" w:name="_Toc529389674"/>
      <w:bookmarkStart w:id="64" w:name="_Toc531095549"/>
      <w:bookmarkStart w:id="65" w:name="_Toc531099315"/>
      <w:bookmarkStart w:id="66" w:name="_Toc531101724"/>
      <w:bookmarkStart w:id="67" w:name="_Toc531763992"/>
      <w:bookmarkStart w:id="68" w:name="_Toc532912084"/>
      <w:bookmarkStart w:id="69" w:name="_Toc532914926"/>
      <w:r w:rsidRPr="00C813C5">
        <w:lastRenderedPageBreak/>
        <w:t>Introduction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8285EAA" w14:textId="5A6164DE" w:rsidR="002E5024" w:rsidRPr="00DE7CAC" w:rsidRDefault="002E5024" w:rsidP="00C813C5">
      <w:pPr>
        <w:pStyle w:val="CCAHeading2"/>
      </w:pPr>
      <w:bookmarkStart w:id="70" w:name="_Toc525642967"/>
      <w:bookmarkStart w:id="71" w:name="_Toc525644035"/>
      <w:bookmarkStart w:id="72" w:name="_Toc525661483"/>
      <w:bookmarkStart w:id="73" w:name="_Toc526430689"/>
      <w:bookmarkStart w:id="74" w:name="_Toc528140784"/>
      <w:bookmarkStart w:id="75" w:name="_Toc528143265"/>
      <w:bookmarkStart w:id="76" w:name="_Toc528770213"/>
      <w:bookmarkStart w:id="77" w:name="_Toc529183848"/>
      <w:bookmarkStart w:id="78" w:name="_Toc529187660"/>
      <w:bookmarkStart w:id="79" w:name="_Toc529188086"/>
      <w:bookmarkStart w:id="80" w:name="_Toc529377736"/>
      <w:bookmarkStart w:id="81" w:name="_Toc529389675"/>
      <w:bookmarkStart w:id="82" w:name="_Toc531095550"/>
      <w:bookmarkStart w:id="83" w:name="_Toc531099316"/>
      <w:bookmarkStart w:id="84" w:name="_Toc531101725"/>
      <w:bookmarkStart w:id="85" w:name="_Toc531763993"/>
      <w:bookmarkStart w:id="86" w:name="_Toc532912085"/>
      <w:bookmarkStart w:id="87" w:name="_Toc532914927"/>
      <w:r w:rsidRPr="00DE7CAC">
        <w:t xml:space="preserve">About the </w:t>
      </w:r>
      <w:r w:rsidR="003231A4">
        <w:t>C</w:t>
      </w:r>
      <w:r w:rsidRPr="00DE7CAC">
        <w:t xml:space="preserve">limate </w:t>
      </w:r>
      <w:r w:rsidR="003231A4">
        <w:t>C</w:t>
      </w:r>
      <w:r w:rsidRPr="00DE7CAC">
        <w:t xml:space="preserve">hange </w:t>
      </w:r>
      <w:r w:rsidR="003231A4">
        <w:t>A</w:t>
      </w:r>
      <w:r w:rsidRPr="00DE7CAC">
        <w:t xml:space="preserve">uthority </w:t>
      </w:r>
      <w:r w:rsidR="003231A4">
        <w:t>an</w:t>
      </w:r>
      <w:r w:rsidRPr="00DE7CAC">
        <w:t>d the review</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FC45389" w14:textId="77777777" w:rsidR="00DE7CAC" w:rsidRPr="00E0204F" w:rsidRDefault="00DE7CAC" w:rsidP="00C1009C">
      <w:pPr>
        <w:pStyle w:val="CCABodytext"/>
      </w:pPr>
      <w:r w:rsidRPr="00E0204F">
        <w:t>The Climate Change Authority is an independent</w:t>
      </w:r>
      <w:r w:rsidR="007F134B">
        <w:t>,</w:t>
      </w:r>
      <w:r w:rsidRPr="00E0204F">
        <w:t xml:space="preserve"> statutory agency which provides expert advice to the Australian Government on climate change matters. </w:t>
      </w:r>
      <w:r w:rsidR="008301C5">
        <w:t>Under the</w:t>
      </w:r>
      <w:r w:rsidR="008301C5" w:rsidRPr="008301C5">
        <w:rPr>
          <w:i/>
        </w:rPr>
        <w:t xml:space="preserve"> </w:t>
      </w:r>
      <w:r w:rsidR="008301C5" w:rsidRPr="00E0204F">
        <w:rPr>
          <w:i/>
        </w:rPr>
        <w:t>National Greenhouse and Energy Reporting Act</w:t>
      </w:r>
      <w:r w:rsidR="008301C5" w:rsidRPr="00E0204F">
        <w:t xml:space="preserve"> </w:t>
      </w:r>
      <w:r w:rsidR="008301C5" w:rsidRPr="00E0204F">
        <w:rPr>
          <w:i/>
        </w:rPr>
        <w:t>2007</w:t>
      </w:r>
      <w:r w:rsidR="008301C5" w:rsidRPr="00E0204F">
        <w:t xml:space="preserve"> </w:t>
      </w:r>
      <w:r w:rsidR="008301C5">
        <w:t>(Cth), t</w:t>
      </w:r>
      <w:r w:rsidRPr="00E0204F">
        <w:t>he Authority is required to review the operation of the</w:t>
      </w:r>
      <w:r w:rsidR="008301C5">
        <w:t xml:space="preserve"> Act</w:t>
      </w:r>
      <w:r w:rsidRPr="00E0204F">
        <w:t xml:space="preserve"> </w:t>
      </w:r>
      <w:r w:rsidR="001C7A06" w:rsidRPr="00E0204F">
        <w:t xml:space="preserve">and its supporting </w:t>
      </w:r>
      <w:r w:rsidR="0091708A" w:rsidRPr="00E0204F">
        <w:t xml:space="preserve">legislative </w:t>
      </w:r>
      <w:r w:rsidR="001C7A06" w:rsidRPr="00E0204F">
        <w:t>instruments</w:t>
      </w:r>
      <w:r w:rsidRPr="00E0204F">
        <w:t xml:space="preserve"> by 31 December 2018 and then complete further reviews every five years. </w:t>
      </w:r>
    </w:p>
    <w:p w14:paraId="79C575F3" w14:textId="574FC8CE" w:rsidR="002E5024" w:rsidRPr="00DE7CAC" w:rsidRDefault="002E5024" w:rsidP="00C813C5">
      <w:pPr>
        <w:pStyle w:val="CCAHeading2"/>
      </w:pPr>
      <w:bookmarkStart w:id="88" w:name="_Toc525642968"/>
      <w:bookmarkStart w:id="89" w:name="_Toc525644036"/>
      <w:bookmarkStart w:id="90" w:name="_Toc525661484"/>
      <w:bookmarkStart w:id="91" w:name="_Toc526430690"/>
      <w:bookmarkStart w:id="92" w:name="_Toc528140785"/>
      <w:bookmarkStart w:id="93" w:name="_Toc528143266"/>
      <w:bookmarkStart w:id="94" w:name="_Toc528770214"/>
      <w:bookmarkStart w:id="95" w:name="_Toc529183849"/>
      <w:bookmarkStart w:id="96" w:name="_Toc529187661"/>
      <w:bookmarkStart w:id="97" w:name="_Toc529188087"/>
      <w:bookmarkStart w:id="98" w:name="_Toc529377737"/>
      <w:bookmarkStart w:id="99" w:name="_Toc529389676"/>
      <w:bookmarkStart w:id="100" w:name="_Toc531095551"/>
      <w:bookmarkStart w:id="101" w:name="_Toc531099317"/>
      <w:bookmarkStart w:id="102" w:name="_Toc531101726"/>
      <w:bookmarkStart w:id="103" w:name="_Toc531763994"/>
      <w:bookmarkStart w:id="104" w:name="_Toc532912086"/>
      <w:bookmarkStart w:id="105" w:name="_Toc532914928"/>
      <w:r w:rsidRPr="00DE7CAC">
        <w:t>Overview of the legislation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74ADA8C" w14:textId="77777777" w:rsidR="00DE7CAC" w:rsidRPr="00E0204F" w:rsidRDefault="00DE7CAC" w:rsidP="00C1009C">
      <w:pPr>
        <w:pStyle w:val="CCABodytext"/>
      </w:pPr>
      <w:r w:rsidRPr="00E0204F">
        <w:t xml:space="preserve">The </w:t>
      </w:r>
      <w:r w:rsidR="00F85FA3">
        <w:t xml:space="preserve">National Greenhouse and Energy Reporting </w:t>
      </w:r>
      <w:r w:rsidRPr="00E0204F">
        <w:t>legislation has three key elements. It:</w:t>
      </w:r>
    </w:p>
    <w:p w14:paraId="7DAEFCA8" w14:textId="77777777" w:rsidR="00DE7CAC" w:rsidRPr="00C1009C" w:rsidRDefault="00DE7CAC" w:rsidP="003B5936">
      <w:pPr>
        <w:pStyle w:val="ListBullet"/>
        <w:numPr>
          <w:ilvl w:val="0"/>
          <w:numId w:val="31"/>
        </w:numPr>
        <w:rPr>
          <w:rFonts w:eastAsia="Calibri"/>
          <w:lang w:val="en-US"/>
        </w:rPr>
      </w:pPr>
      <w:r w:rsidRPr="00C1009C">
        <w:rPr>
          <w:rFonts w:eastAsia="Calibri"/>
          <w:lang w:val="en-US"/>
        </w:rPr>
        <w:t>requires companies over certain thresholds to measure and report their greenhouse gas emissions as well as their energy production and use to the Australian Government</w:t>
      </w:r>
    </w:p>
    <w:p w14:paraId="3D1FA408" w14:textId="1E2BF2A8" w:rsidR="00DE7CAC" w:rsidRPr="00C1009C" w:rsidRDefault="008301C5" w:rsidP="003B5936">
      <w:pPr>
        <w:pStyle w:val="ListBullet"/>
        <w:numPr>
          <w:ilvl w:val="0"/>
          <w:numId w:val="31"/>
        </w:numPr>
        <w:rPr>
          <w:rFonts w:eastAsia="Calibri"/>
          <w:lang w:val="en-US"/>
        </w:rPr>
      </w:pPr>
      <w:r w:rsidRPr="00C1009C">
        <w:rPr>
          <w:rFonts w:eastAsia="Calibri"/>
          <w:lang w:val="en-US"/>
        </w:rPr>
        <w:t xml:space="preserve">establishes </w:t>
      </w:r>
      <w:r w:rsidR="00DE7CAC" w:rsidRPr="00C1009C">
        <w:rPr>
          <w:rFonts w:eastAsia="Calibri"/>
          <w:lang w:val="en-US"/>
        </w:rPr>
        <w:t xml:space="preserve">the safeguard mechanism, which places emissions limits on </w:t>
      </w:r>
      <w:r w:rsidR="00BC0D9C">
        <w:rPr>
          <w:rFonts w:eastAsia="Calibri"/>
          <w:lang w:val="en-US"/>
        </w:rPr>
        <w:t xml:space="preserve">large </w:t>
      </w:r>
      <w:r w:rsidR="00BB0C28">
        <w:rPr>
          <w:rFonts w:eastAsia="Calibri"/>
          <w:lang w:val="en-US"/>
        </w:rPr>
        <w:t xml:space="preserve">industrial and </w:t>
      </w:r>
      <w:r w:rsidR="005E039E" w:rsidRPr="00C1009C">
        <w:rPr>
          <w:rFonts w:eastAsia="Calibri"/>
          <w:lang w:val="en-US"/>
        </w:rPr>
        <w:t>electricity</w:t>
      </w:r>
      <w:r w:rsidR="00926447">
        <w:rPr>
          <w:rFonts w:eastAsia="Calibri"/>
          <w:lang w:val="en-US"/>
        </w:rPr>
        <w:noBreakHyphen/>
      </w:r>
      <w:r w:rsidR="00BC0D9C">
        <w:rPr>
          <w:rFonts w:eastAsia="Calibri"/>
          <w:lang w:val="en-US"/>
        </w:rPr>
        <w:t>generation facilities</w:t>
      </w:r>
    </w:p>
    <w:p w14:paraId="01E48912" w14:textId="77777777" w:rsidR="00DE7CAC" w:rsidRPr="00C1009C" w:rsidRDefault="00DE7CAC" w:rsidP="003B5936">
      <w:pPr>
        <w:pStyle w:val="ListBullet"/>
        <w:numPr>
          <w:ilvl w:val="0"/>
          <w:numId w:val="31"/>
        </w:numPr>
        <w:rPr>
          <w:rFonts w:eastAsia="Calibri"/>
          <w:lang w:val="en-US"/>
        </w:rPr>
      </w:pPr>
      <w:r w:rsidRPr="00C1009C">
        <w:rPr>
          <w:rFonts w:eastAsia="Calibri"/>
          <w:lang w:val="en-US"/>
        </w:rPr>
        <w:t>establishes arrangements for administration and compliance</w:t>
      </w:r>
      <w:r w:rsidR="000D114F">
        <w:rPr>
          <w:rFonts w:eastAsia="Calibri"/>
          <w:lang w:val="en-US"/>
        </w:rPr>
        <w:t>,</w:t>
      </w:r>
      <w:r w:rsidRPr="00C1009C">
        <w:rPr>
          <w:rFonts w:eastAsia="Calibri"/>
          <w:lang w:val="en-US"/>
        </w:rPr>
        <w:t xml:space="preserve"> including the greenhouse and energy auditing framework</w:t>
      </w:r>
      <w:r w:rsidR="000D114F">
        <w:rPr>
          <w:rFonts w:eastAsia="Calibri"/>
          <w:lang w:val="en-US"/>
        </w:rPr>
        <w:t xml:space="preserve">. The framework </w:t>
      </w:r>
      <w:r w:rsidRPr="00C1009C">
        <w:rPr>
          <w:rFonts w:eastAsia="Calibri"/>
          <w:lang w:val="en-US"/>
        </w:rPr>
        <w:t>applies to audits required under the reporting scheme, the safeguard and other climate change policies such as the Emissions Reduction Fund and the Renewable Energy Target.</w:t>
      </w:r>
    </w:p>
    <w:p w14:paraId="376B39ED" w14:textId="77777777" w:rsidR="001D1EA5" w:rsidRDefault="001D1EA5" w:rsidP="004E405A">
      <w:pPr>
        <w:pStyle w:val="CCABodytext"/>
      </w:pPr>
      <w:r>
        <w:t>Chapter 2 describes the legislation</w:t>
      </w:r>
      <w:r w:rsidR="00DC66B8">
        <w:t>, its supporting instruments and objectives in greater detail.</w:t>
      </w:r>
    </w:p>
    <w:p w14:paraId="279A1065" w14:textId="752BED33" w:rsidR="002E5024" w:rsidRPr="00DE7CAC" w:rsidRDefault="002E5024" w:rsidP="00C813C5">
      <w:pPr>
        <w:pStyle w:val="CCAHeading2"/>
      </w:pPr>
      <w:bookmarkStart w:id="106" w:name="_Toc525642969"/>
      <w:bookmarkStart w:id="107" w:name="_Toc525644037"/>
      <w:bookmarkStart w:id="108" w:name="_Toc525661485"/>
      <w:bookmarkStart w:id="109" w:name="_Toc526430691"/>
      <w:bookmarkStart w:id="110" w:name="_Toc528140786"/>
      <w:bookmarkStart w:id="111" w:name="_Toc528143267"/>
      <w:bookmarkStart w:id="112" w:name="_Toc528770215"/>
      <w:bookmarkStart w:id="113" w:name="_Toc529183850"/>
      <w:bookmarkStart w:id="114" w:name="_Toc529187662"/>
      <w:bookmarkStart w:id="115" w:name="_Toc529188088"/>
      <w:bookmarkStart w:id="116" w:name="_Toc529377738"/>
      <w:bookmarkStart w:id="117" w:name="_Toc529389677"/>
      <w:bookmarkStart w:id="118" w:name="_Toc531095552"/>
      <w:bookmarkStart w:id="119" w:name="_Toc531099318"/>
      <w:bookmarkStart w:id="120" w:name="_Toc531101727"/>
      <w:bookmarkStart w:id="121" w:name="_Toc531763995"/>
      <w:bookmarkStart w:id="122" w:name="_Toc532912087"/>
      <w:bookmarkStart w:id="123" w:name="_Toc532914929"/>
      <w:r w:rsidRPr="00DE7CAC">
        <w:t>Focus of the review</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C73AE42" w14:textId="77777777" w:rsidR="00DE7CAC" w:rsidRPr="004E405A" w:rsidRDefault="00DE7CAC" w:rsidP="004E405A">
      <w:pPr>
        <w:pStyle w:val="CCABodytext"/>
      </w:pPr>
      <w:r w:rsidRPr="004E405A">
        <w:t>This review focuses on the key elements of the legislation with a view to determining whether each of the individual elements is achieving its objectives, is fit for purpose and if any improvements are needed (</w:t>
      </w:r>
      <w:r w:rsidR="008C6BA3">
        <w:fldChar w:fldCharType="begin"/>
      </w:r>
      <w:r w:rsidR="008C6BA3">
        <w:instrText xml:space="preserve"> REF _Ref528072042 \r \h </w:instrText>
      </w:r>
      <w:r w:rsidR="008C6BA3">
        <w:fldChar w:fldCharType="separate"/>
      </w:r>
      <w:r w:rsidR="009A203A">
        <w:t>Figure 1</w:t>
      </w:r>
      <w:r w:rsidR="008C6BA3">
        <w:fldChar w:fldCharType="end"/>
      </w:r>
      <w:r w:rsidRPr="004E405A">
        <w:t>)</w:t>
      </w:r>
      <w:r w:rsidR="00254519" w:rsidRPr="004E405A">
        <w:t xml:space="preserve">. There is a greater emphasis on </w:t>
      </w:r>
      <w:r w:rsidRPr="004E405A">
        <w:t xml:space="preserve">the reporting scheme, given it has now been in operation for over a decade. By contrast, the safeguard has only been in place for two </w:t>
      </w:r>
      <w:r w:rsidR="000630F6">
        <w:t xml:space="preserve">and a half </w:t>
      </w:r>
      <w:r w:rsidRPr="004E405A">
        <w:t>years.</w:t>
      </w:r>
      <w:r w:rsidR="00254519" w:rsidRPr="004E405A">
        <w:t xml:space="preserve"> </w:t>
      </w:r>
    </w:p>
    <w:p w14:paraId="5CF10353" w14:textId="77777777" w:rsidR="000D5CD5" w:rsidRPr="000D5CD5" w:rsidRDefault="00DE7CAC" w:rsidP="00532BE2">
      <w:pPr>
        <w:pStyle w:val="CCAFigureHeader"/>
        <w:rPr>
          <w:rFonts w:eastAsia="Calibri" w:cs="Times New Roman"/>
          <w:iCs/>
          <w:caps/>
          <w:szCs w:val="18"/>
        </w:rPr>
      </w:pPr>
      <w:bookmarkStart w:id="124" w:name="_Ref528072042"/>
      <w:bookmarkStart w:id="125" w:name="_Toc531095521"/>
      <w:bookmarkStart w:id="126" w:name="_Toc531099287"/>
      <w:bookmarkStart w:id="127" w:name="_Toc531101696"/>
      <w:bookmarkStart w:id="128" w:name="_Toc531764129"/>
      <w:bookmarkStart w:id="129" w:name="_Toc532912054"/>
      <w:bookmarkStart w:id="130" w:name="_Toc532914023"/>
      <w:r w:rsidRPr="00DE7CAC">
        <w:lastRenderedPageBreak/>
        <w:t>Focus of the review</w:t>
      </w:r>
      <w:bookmarkEnd w:id="124"/>
      <w:bookmarkEnd w:id="125"/>
      <w:bookmarkEnd w:id="126"/>
      <w:bookmarkEnd w:id="127"/>
      <w:bookmarkEnd w:id="128"/>
      <w:bookmarkEnd w:id="129"/>
      <w:bookmarkEnd w:id="130"/>
    </w:p>
    <w:p w14:paraId="25196FD4" w14:textId="77777777" w:rsidR="000D5CD5" w:rsidRPr="00DE7CAC" w:rsidRDefault="0091134F" w:rsidP="004E405A">
      <w:pPr>
        <w:pStyle w:val="CCAFigure"/>
      </w:pPr>
      <w:r w:rsidRPr="004E405A">
        <w:drawing>
          <wp:inline distT="0" distB="0" distL="0" distR="0" wp14:anchorId="4C58B483" wp14:editId="336E7CE8">
            <wp:extent cx="3766783" cy="3211186"/>
            <wp:effectExtent l="0" t="0" r="5715" b="8890"/>
            <wp:docPr id="17" name="Picture 17" descr="This figure is a schematic, which shows the focus of the review is on the National Greenhouse and Energy Reporting legislation, which incorporates emissions and energy reporting, the safeguard mechanism and administration, compliance and the audit framework. The review will assess if the legislation is achieving its objectives, is fit for purpose and whether any improvements can be made." title="Focus of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23868\AppData\Local\Temp\7zO0B765A75\slide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0" r="1" b="14937"/>
                    <a:stretch/>
                  </pic:blipFill>
                  <pic:spPr bwMode="auto">
                    <a:xfrm>
                      <a:off x="0" y="0"/>
                      <a:ext cx="3782190" cy="3224321"/>
                    </a:xfrm>
                    <a:prstGeom prst="rect">
                      <a:avLst/>
                    </a:prstGeom>
                    <a:noFill/>
                    <a:ln>
                      <a:noFill/>
                    </a:ln>
                    <a:extLst>
                      <a:ext uri="{53640926-AAD7-44D8-BBD7-CCE9431645EC}">
                        <a14:shadowObscured xmlns:a14="http://schemas.microsoft.com/office/drawing/2010/main"/>
                      </a:ext>
                    </a:extLst>
                  </pic:spPr>
                </pic:pic>
              </a:graphicData>
            </a:graphic>
          </wp:inline>
        </w:drawing>
      </w:r>
    </w:p>
    <w:p w14:paraId="5BE3E856" w14:textId="7AD5257E" w:rsidR="002E5024" w:rsidRPr="00DE7CAC" w:rsidRDefault="002E5024" w:rsidP="00C813C5">
      <w:pPr>
        <w:pStyle w:val="CCAHeading2"/>
      </w:pPr>
      <w:bookmarkStart w:id="131" w:name="_Toc525642970"/>
      <w:bookmarkStart w:id="132" w:name="_Toc525644038"/>
      <w:bookmarkStart w:id="133" w:name="_Toc525661486"/>
      <w:bookmarkStart w:id="134" w:name="_Toc526430692"/>
      <w:bookmarkStart w:id="135" w:name="_Toc528140787"/>
      <w:bookmarkStart w:id="136" w:name="_Toc528143268"/>
      <w:bookmarkStart w:id="137" w:name="_Toc528770216"/>
      <w:bookmarkStart w:id="138" w:name="_Toc529183851"/>
      <w:bookmarkStart w:id="139" w:name="_Toc529187663"/>
      <w:bookmarkStart w:id="140" w:name="_Toc529188089"/>
      <w:bookmarkStart w:id="141" w:name="_Toc529377739"/>
      <w:bookmarkStart w:id="142" w:name="_Toc529389678"/>
      <w:bookmarkStart w:id="143" w:name="_Toc531095553"/>
      <w:bookmarkStart w:id="144" w:name="_Toc531099319"/>
      <w:bookmarkStart w:id="145" w:name="_Toc531101728"/>
      <w:bookmarkStart w:id="146" w:name="_Toc531763996"/>
      <w:bookmarkStart w:id="147" w:name="_Toc532912088"/>
      <w:bookmarkStart w:id="148" w:name="_Toc532914930"/>
      <w:r w:rsidRPr="00DE7CAC">
        <w:t xml:space="preserve">Approach to </w:t>
      </w:r>
      <w:r w:rsidRPr="00C813C5">
        <w:t>the</w:t>
      </w:r>
      <w:r w:rsidRPr="00DE7CAC">
        <w:t xml:space="preserve"> review</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515520A7" w14:textId="1F67A66F" w:rsidR="00DE7CAC" w:rsidRPr="00E0204F" w:rsidRDefault="00DE7CAC" w:rsidP="004E405A">
      <w:pPr>
        <w:pStyle w:val="CCABodytext"/>
      </w:pPr>
      <w:bookmarkStart w:id="149" w:name="_Toc458600936"/>
      <w:bookmarkStart w:id="150" w:name="_Toc460403883"/>
      <w:r w:rsidRPr="00E0204F">
        <w:t xml:space="preserve">The Authority’s approach to the review involved </w:t>
      </w:r>
      <w:r w:rsidR="0006515C">
        <w:t>an assessment</w:t>
      </w:r>
      <w:r w:rsidRPr="00E0204F">
        <w:t xml:space="preserve"> of the operation of the legislation through </w:t>
      </w:r>
      <w:r w:rsidR="00036197" w:rsidRPr="00E0204F">
        <w:t>desktop research</w:t>
      </w:r>
      <w:r w:rsidR="00036197">
        <w:t>, its own</w:t>
      </w:r>
      <w:r w:rsidR="00036197" w:rsidRPr="00E0204F">
        <w:t xml:space="preserve"> analys</w:t>
      </w:r>
      <w:r w:rsidR="00DC0822">
        <w:t>e</w:t>
      </w:r>
      <w:r w:rsidR="00036197" w:rsidRPr="00E0204F">
        <w:t>s</w:t>
      </w:r>
      <w:r w:rsidR="00036197">
        <w:t xml:space="preserve"> and </w:t>
      </w:r>
      <w:r w:rsidR="00F442E7" w:rsidRPr="00E0204F">
        <w:t>extensive consultation</w:t>
      </w:r>
      <w:r w:rsidRPr="00E0204F">
        <w:t>.</w:t>
      </w:r>
    </w:p>
    <w:p w14:paraId="49D298B5" w14:textId="77777777" w:rsidR="00DE7CAC" w:rsidRPr="00E0204F" w:rsidRDefault="00DE7CAC" w:rsidP="004E405A">
      <w:pPr>
        <w:pStyle w:val="CCABodytext"/>
      </w:pPr>
      <w:r w:rsidRPr="00E0204F">
        <w:t>The Authority assessed the legislation with reference to the principles in its legislation: economic efficiency, environmental effectiveness, equity, public interest, supporting the development of an effective global response to climate change, consistency with Australia’s foreign policy and trade objectives and taking into account the impact on households, businesses, workers and communities (Appendix</w:t>
      </w:r>
      <w:r w:rsidRPr="00E0204F">
        <w:rPr>
          <w:lang w:val="en-GB" w:eastAsia="en-AU"/>
        </w:rPr>
        <w:t xml:space="preserve"> A</w:t>
      </w:r>
      <w:r w:rsidRPr="00E0204F">
        <w:t>).</w:t>
      </w:r>
      <w:r w:rsidR="00F85FA3">
        <w:t xml:space="preserve"> </w:t>
      </w:r>
      <w:r w:rsidR="00F85FA3">
        <w:fldChar w:fldCharType="begin"/>
      </w:r>
      <w:r w:rsidR="00F85FA3">
        <w:instrText xml:space="preserve"> REF _Ref532311739 \r \h </w:instrText>
      </w:r>
      <w:r w:rsidR="00F85FA3">
        <w:fldChar w:fldCharType="separate"/>
      </w:r>
      <w:r w:rsidR="009A203A">
        <w:t>Appendix B</w:t>
      </w:r>
      <w:r w:rsidR="00F85FA3">
        <w:fldChar w:fldCharType="end"/>
      </w:r>
      <w:r w:rsidR="00F85FA3">
        <w:t xml:space="preserve"> provides a summary of the costs and benefits of the Authority’s recommendations.</w:t>
      </w:r>
    </w:p>
    <w:p w14:paraId="2F394321" w14:textId="77777777" w:rsidR="00DE7CAC" w:rsidRPr="00DE7CAC" w:rsidRDefault="00DE7CAC" w:rsidP="00C813C5">
      <w:pPr>
        <w:pStyle w:val="CCAHeading3"/>
      </w:pPr>
      <w:r w:rsidRPr="00DE7CAC">
        <w:t xml:space="preserve">Public </w:t>
      </w:r>
      <w:r w:rsidRPr="00C813C5">
        <w:t>consultation</w:t>
      </w:r>
    </w:p>
    <w:p w14:paraId="42D107A1" w14:textId="3B4EC528" w:rsidR="00F442E7" w:rsidRPr="004E405A" w:rsidRDefault="00DE7CAC" w:rsidP="004E405A">
      <w:pPr>
        <w:pStyle w:val="CCABodytext"/>
      </w:pPr>
      <w:r w:rsidRPr="004E405A">
        <w:t xml:space="preserve">The Authority </w:t>
      </w:r>
      <w:r w:rsidR="000B02D3" w:rsidRPr="004E405A">
        <w:t>published a consultation paper in July 2018. It received 40 written submissions in response to the paper</w:t>
      </w:r>
      <w:r w:rsidR="00036197" w:rsidRPr="004E405A">
        <w:t xml:space="preserve"> (</w:t>
      </w:r>
      <w:r w:rsidR="008C6BA3">
        <w:fldChar w:fldCharType="begin"/>
      </w:r>
      <w:r w:rsidR="008C6BA3">
        <w:instrText xml:space="preserve"> REF _Ref529390414 \r \h </w:instrText>
      </w:r>
      <w:r w:rsidR="008C6BA3">
        <w:fldChar w:fldCharType="separate"/>
      </w:r>
      <w:r w:rsidR="009A203A">
        <w:t>Appendix C</w:t>
      </w:r>
      <w:r w:rsidR="008C6BA3">
        <w:fldChar w:fldCharType="end"/>
      </w:r>
      <w:r w:rsidR="00036197" w:rsidRPr="004E405A">
        <w:t>)</w:t>
      </w:r>
      <w:r w:rsidR="000B02D3" w:rsidRPr="004E405A">
        <w:t>.</w:t>
      </w:r>
      <w:r w:rsidR="008C6BA3">
        <w:rPr>
          <w:rStyle w:val="FootnoteReference"/>
        </w:rPr>
        <w:footnoteReference w:id="2"/>
      </w:r>
      <w:r w:rsidR="000B02D3" w:rsidRPr="004E405A">
        <w:t xml:space="preserve"> The Authority also met with </w:t>
      </w:r>
      <w:r w:rsidR="00F442E7" w:rsidRPr="004E405A">
        <w:t xml:space="preserve">over </w:t>
      </w:r>
      <w:r w:rsidR="00F442E7" w:rsidRPr="004E405A">
        <w:lastRenderedPageBreak/>
        <w:t>100 individuals from more than 80 organisations.</w:t>
      </w:r>
      <w:r w:rsidR="00F442E7" w:rsidRPr="004E405A" w:rsidDel="000B02D3">
        <w:t xml:space="preserve"> </w:t>
      </w:r>
      <w:r w:rsidR="0006515C" w:rsidRPr="004E405A">
        <w:t>The Authority heard from</w:t>
      </w:r>
      <w:r w:rsidR="000B02D3" w:rsidRPr="004E405A">
        <w:t xml:space="preserve"> a wide range of stakeholders including</w:t>
      </w:r>
      <w:r w:rsidR="00F442E7" w:rsidRPr="004E405A">
        <w:t>:</w:t>
      </w:r>
    </w:p>
    <w:p w14:paraId="681E7FA1" w14:textId="77777777" w:rsidR="00F442E7" w:rsidRPr="004E405A" w:rsidRDefault="00F442E7" w:rsidP="004E405A">
      <w:pPr>
        <w:pStyle w:val="ListBullet"/>
        <w:rPr>
          <w:rFonts w:eastAsia="Calibri"/>
        </w:rPr>
      </w:pPr>
      <w:r w:rsidRPr="004E405A">
        <w:rPr>
          <w:rFonts w:eastAsia="Calibri"/>
        </w:rPr>
        <w:t>companies that have obligations under the reporting scheme and safeguard</w:t>
      </w:r>
    </w:p>
    <w:p w14:paraId="75134303" w14:textId="77777777" w:rsidR="00F442E7" w:rsidRPr="004E405A" w:rsidRDefault="00F442E7" w:rsidP="004E405A">
      <w:pPr>
        <w:pStyle w:val="ListBullet"/>
        <w:rPr>
          <w:rFonts w:eastAsia="Calibri"/>
        </w:rPr>
      </w:pPr>
      <w:r w:rsidRPr="004E405A">
        <w:rPr>
          <w:rFonts w:eastAsia="Calibri"/>
        </w:rPr>
        <w:t>service providers that assist companies in meeting their obligations</w:t>
      </w:r>
    </w:p>
    <w:p w14:paraId="7EFED022" w14:textId="77777777" w:rsidR="00F442E7" w:rsidRPr="004E405A" w:rsidRDefault="00F442E7" w:rsidP="004E405A">
      <w:pPr>
        <w:pStyle w:val="ListBullet"/>
        <w:rPr>
          <w:rFonts w:eastAsia="Calibri"/>
        </w:rPr>
      </w:pPr>
      <w:r w:rsidRPr="004E405A">
        <w:rPr>
          <w:rFonts w:eastAsia="Calibri"/>
        </w:rPr>
        <w:t>individuals and groups that use the data reported</w:t>
      </w:r>
    </w:p>
    <w:p w14:paraId="1083A6E9" w14:textId="77777777" w:rsidR="00F442E7" w:rsidRPr="004E405A" w:rsidRDefault="00F442E7" w:rsidP="004E405A">
      <w:pPr>
        <w:pStyle w:val="ListBullet"/>
        <w:rPr>
          <w:rFonts w:eastAsia="Calibri"/>
        </w:rPr>
      </w:pPr>
      <w:r w:rsidRPr="004E405A">
        <w:rPr>
          <w:rFonts w:eastAsia="Calibri"/>
        </w:rPr>
        <w:t>government bodies that administer the legislation or use the data reported.</w:t>
      </w:r>
    </w:p>
    <w:p w14:paraId="25A6E42E" w14:textId="77777777" w:rsidR="000B02D3" w:rsidRDefault="00DE7CAC" w:rsidP="004E405A">
      <w:pPr>
        <w:pStyle w:val="CCABodytext"/>
      </w:pPr>
      <w:r w:rsidRPr="00E0204F" w:rsidDel="00254519">
        <w:rPr>
          <w:lang w:val="en-GB" w:eastAsia="en-AU"/>
        </w:rPr>
        <w:t xml:space="preserve">The Authority </w:t>
      </w:r>
      <w:r w:rsidRPr="00E0204F">
        <w:rPr>
          <w:lang w:val="en-GB" w:eastAsia="en-AU"/>
        </w:rPr>
        <w:t xml:space="preserve">built on </w:t>
      </w:r>
      <w:r w:rsidR="00254519">
        <w:rPr>
          <w:lang w:val="en-GB" w:eastAsia="en-AU"/>
        </w:rPr>
        <w:t>existing</w:t>
      </w:r>
      <w:r w:rsidRPr="00E0204F">
        <w:rPr>
          <w:lang w:val="en-GB" w:eastAsia="en-AU"/>
        </w:rPr>
        <w:t xml:space="preserve"> work on some of the matters covered by this review. In particular, the Authority considered </w:t>
      </w:r>
      <w:r w:rsidR="00BC0D9C">
        <w:rPr>
          <w:lang w:val="en-GB" w:eastAsia="en-AU"/>
        </w:rPr>
        <w:t>the public</w:t>
      </w:r>
      <w:r w:rsidRPr="00E0204F">
        <w:rPr>
          <w:lang w:val="en-GB" w:eastAsia="en-AU"/>
        </w:rPr>
        <w:t xml:space="preserve"> submissions made to the </w:t>
      </w:r>
      <w:r w:rsidRPr="00E0204F">
        <w:t>Department</w:t>
      </w:r>
      <w:r w:rsidR="00036197">
        <w:t xml:space="preserve"> of the Environment and Energy</w:t>
      </w:r>
      <w:r w:rsidRPr="00E0204F">
        <w:t>’s consultation</w:t>
      </w:r>
      <w:r w:rsidR="005E039E">
        <w:t>s</w:t>
      </w:r>
      <w:r w:rsidRPr="00E0204F">
        <w:t xml:space="preserve"> on safeguard baseline settings in 2018 and the Government’s review of climate change policies in 2017.</w:t>
      </w:r>
    </w:p>
    <w:p w14:paraId="0E8C80A5" w14:textId="77777777" w:rsidR="000B02D3" w:rsidRPr="00FC2EA3" w:rsidRDefault="000B02D3" w:rsidP="00C813C5">
      <w:pPr>
        <w:pStyle w:val="CCAHeading2"/>
      </w:pPr>
      <w:bookmarkStart w:id="151" w:name="_Toc528140788"/>
      <w:bookmarkStart w:id="152" w:name="_Toc528143269"/>
      <w:bookmarkStart w:id="153" w:name="_Toc528770217"/>
      <w:bookmarkStart w:id="154" w:name="_Toc529183852"/>
      <w:bookmarkStart w:id="155" w:name="_Toc529187664"/>
      <w:bookmarkStart w:id="156" w:name="_Toc529188090"/>
      <w:bookmarkStart w:id="157" w:name="_Toc529377740"/>
      <w:bookmarkStart w:id="158" w:name="_Toc529389679"/>
      <w:bookmarkStart w:id="159" w:name="_Toc531095554"/>
      <w:bookmarkStart w:id="160" w:name="_Toc531099320"/>
      <w:bookmarkStart w:id="161" w:name="_Toc531101729"/>
      <w:bookmarkStart w:id="162" w:name="_Toc531763997"/>
      <w:bookmarkStart w:id="163" w:name="_Toc532912089"/>
      <w:bookmarkStart w:id="164" w:name="_Toc532914931"/>
      <w:r w:rsidRPr="00FC2EA3">
        <w:t xml:space="preserve">This </w:t>
      </w:r>
      <w:r>
        <w:t>report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F2FFBCE" w14:textId="77777777" w:rsidR="00036197" w:rsidRPr="00212386" w:rsidRDefault="00036197" w:rsidP="004E405A">
      <w:pPr>
        <w:pStyle w:val="CCABodytext"/>
      </w:pPr>
      <w:r w:rsidRPr="00212386">
        <w:t>C</w:t>
      </w:r>
      <w:r w:rsidR="000B02D3" w:rsidRPr="00212386">
        <w:t>hapter 2 of this report</w:t>
      </w:r>
      <w:r w:rsidRPr="00212386">
        <w:t xml:space="preserve"> provides an overview of the legislation and its operation. </w:t>
      </w:r>
    </w:p>
    <w:p w14:paraId="2EDBDAB7" w14:textId="77777777" w:rsidR="00FD3DA1" w:rsidRPr="00212386" w:rsidRDefault="00CF1ECA" w:rsidP="004E405A">
      <w:pPr>
        <w:pStyle w:val="CCABodytext"/>
      </w:pPr>
      <w:r w:rsidRPr="00212386">
        <w:t>Chapters 3</w:t>
      </w:r>
      <w:r w:rsidR="00FD3DA1" w:rsidRPr="00212386">
        <w:t xml:space="preserve"> and</w:t>
      </w:r>
      <w:r w:rsidRPr="00212386">
        <w:t xml:space="preserve"> 4</w:t>
      </w:r>
      <w:r w:rsidR="00FD3DA1" w:rsidRPr="00212386">
        <w:t xml:space="preserve"> describe findings and recommendations </w:t>
      </w:r>
      <w:r w:rsidR="00EA5BD0">
        <w:t>for</w:t>
      </w:r>
      <w:r w:rsidR="00FD3DA1" w:rsidRPr="00212386">
        <w:t xml:space="preserve"> the National Greenhouse and Energy Reporting scheme.</w:t>
      </w:r>
    </w:p>
    <w:p w14:paraId="43625FE5" w14:textId="77777777" w:rsidR="00FD3DA1" w:rsidRPr="00212386" w:rsidRDefault="00FD3DA1" w:rsidP="004E405A">
      <w:pPr>
        <w:pStyle w:val="CCABodytext"/>
      </w:pPr>
      <w:r w:rsidRPr="00212386">
        <w:t xml:space="preserve">Chapter 5 outlines findings and recommendations </w:t>
      </w:r>
      <w:r w:rsidR="00EA5BD0">
        <w:t>for</w:t>
      </w:r>
      <w:r w:rsidRPr="00212386">
        <w:t xml:space="preserve"> the safeguard mechanism.</w:t>
      </w:r>
    </w:p>
    <w:p w14:paraId="30059D9F" w14:textId="187F52C8" w:rsidR="00FD3DA1" w:rsidRPr="00212386" w:rsidRDefault="00FD3DA1" w:rsidP="004E405A">
      <w:pPr>
        <w:pStyle w:val="CCABodytext"/>
      </w:pPr>
      <w:r w:rsidRPr="00212386">
        <w:t xml:space="preserve">Chapter 6 describes the Authority’s findings </w:t>
      </w:r>
      <w:r w:rsidR="00EA5BD0">
        <w:t xml:space="preserve">and recommendations for </w:t>
      </w:r>
      <w:r w:rsidRPr="00212386">
        <w:t xml:space="preserve">the administration and compliance </w:t>
      </w:r>
      <w:r w:rsidR="00DC0822">
        <w:t>framework</w:t>
      </w:r>
      <w:r w:rsidRPr="00212386">
        <w:t>.</w:t>
      </w:r>
    </w:p>
    <w:p w14:paraId="627CB6E6" w14:textId="77777777" w:rsidR="00FD3DA1" w:rsidRPr="00212386" w:rsidRDefault="00FD3DA1" w:rsidP="004E405A">
      <w:pPr>
        <w:pStyle w:val="CCABodytext"/>
      </w:pPr>
      <w:r w:rsidRPr="00212386">
        <w:t>Chapter 7 outlines the Authority’s advice on the future role of the safeguard</w:t>
      </w:r>
      <w:r w:rsidR="00EA5BD0">
        <w:t xml:space="preserve"> and the need for a policy toolkit</w:t>
      </w:r>
      <w:r w:rsidRPr="00212386">
        <w:t>.</w:t>
      </w:r>
    </w:p>
    <w:p w14:paraId="65818319" w14:textId="77777777" w:rsidR="00D74D44" w:rsidRPr="004E405A" w:rsidRDefault="00FD3DA1" w:rsidP="00B15B2C">
      <w:pPr>
        <w:pStyle w:val="CCABodytext"/>
        <w:rPr>
          <w:rFonts w:eastAsia="Calibri"/>
        </w:rPr>
      </w:pPr>
      <w:r w:rsidRPr="00212386">
        <w:t xml:space="preserve">Finally, </w:t>
      </w:r>
      <w:r w:rsidR="00967322">
        <w:t>C</w:t>
      </w:r>
      <w:r w:rsidRPr="00212386">
        <w:t>hapter 8 concludes</w:t>
      </w:r>
      <w:r w:rsidR="00CF1ECA" w:rsidRPr="00212386">
        <w:rPr>
          <w:rFonts w:eastAsia="Calibri"/>
        </w:rPr>
        <w:t>.</w:t>
      </w:r>
    </w:p>
    <w:p w14:paraId="348F455A" w14:textId="77777777" w:rsidR="002E5024" w:rsidRDefault="002E5024" w:rsidP="00FC2EA3">
      <w:pPr>
        <w:pStyle w:val="CCABodytext"/>
      </w:pPr>
    </w:p>
    <w:p w14:paraId="77645D6A" w14:textId="77777777" w:rsidR="000B02D3" w:rsidRDefault="000B02D3" w:rsidP="004E405A">
      <w:pPr>
        <w:pStyle w:val="CCABodytext"/>
        <w:sectPr w:rsidR="000B02D3" w:rsidSect="00041493">
          <w:headerReference w:type="even" r:id="rId32"/>
          <w:pgSz w:w="11907" w:h="16840" w:code="9"/>
          <w:pgMar w:top="1418" w:right="1077" w:bottom="851" w:left="1077" w:header="850" w:footer="720" w:gutter="0"/>
          <w:pgNumType w:chapStyle="1" w:chapSep="emDash"/>
          <w:cols w:space="720"/>
          <w:docGrid w:linePitch="360"/>
        </w:sectPr>
      </w:pPr>
    </w:p>
    <w:p w14:paraId="6060B5E6" w14:textId="77777777" w:rsidR="002E5024" w:rsidRPr="004B7F96" w:rsidRDefault="002E5024" w:rsidP="00C813C5">
      <w:pPr>
        <w:pStyle w:val="CCAHeading1"/>
      </w:pPr>
      <w:bookmarkStart w:id="165" w:name="_Toc525642971"/>
      <w:bookmarkStart w:id="166" w:name="_Toc525644039"/>
      <w:bookmarkStart w:id="167" w:name="_Toc525661487"/>
      <w:bookmarkStart w:id="168" w:name="_Toc526430693"/>
      <w:bookmarkStart w:id="169" w:name="_Toc528140789"/>
      <w:bookmarkStart w:id="170" w:name="_Toc528143270"/>
      <w:bookmarkStart w:id="171" w:name="_Toc528770218"/>
      <w:bookmarkStart w:id="172" w:name="_Toc529183853"/>
      <w:bookmarkStart w:id="173" w:name="_Toc529187665"/>
      <w:bookmarkStart w:id="174" w:name="_Toc529188091"/>
      <w:bookmarkStart w:id="175" w:name="_Toc529377741"/>
      <w:bookmarkStart w:id="176" w:name="_Toc529389680"/>
      <w:bookmarkStart w:id="177" w:name="_Toc531095555"/>
      <w:bookmarkStart w:id="178" w:name="_Toc531099321"/>
      <w:bookmarkStart w:id="179" w:name="_Toc531101730"/>
      <w:bookmarkStart w:id="180" w:name="_Toc531763998"/>
      <w:bookmarkStart w:id="181" w:name="_Toc532912090"/>
      <w:bookmarkStart w:id="182" w:name="_Toc532914932"/>
      <w:r w:rsidRPr="004B7F96">
        <w:lastRenderedPageBreak/>
        <w:t>Overview</w:t>
      </w:r>
      <w:r w:rsidR="000D5CD5" w:rsidRPr="004B7F96">
        <w:t xml:space="preserve"> of the </w:t>
      </w:r>
      <w:bookmarkEnd w:id="165"/>
      <w:bookmarkEnd w:id="166"/>
      <w:bookmarkEnd w:id="167"/>
      <w:bookmarkEnd w:id="168"/>
      <w:r w:rsidR="00831E26" w:rsidRPr="004B7F96">
        <w:t>l</w:t>
      </w:r>
      <w:r w:rsidR="00C850DF" w:rsidRPr="004B7F96">
        <w:t>egislation and its operation</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92F2546" w14:textId="77777777" w:rsidR="00C850DF" w:rsidRPr="00FC2EA3" w:rsidRDefault="00C850DF" w:rsidP="00C813C5">
      <w:pPr>
        <w:pStyle w:val="CCAHeading2"/>
      </w:pPr>
      <w:bookmarkStart w:id="183" w:name="_Toc528140790"/>
      <w:bookmarkStart w:id="184" w:name="_Toc528143271"/>
      <w:bookmarkStart w:id="185" w:name="_Toc528770219"/>
      <w:bookmarkStart w:id="186" w:name="_Toc529183854"/>
      <w:bookmarkStart w:id="187" w:name="_Toc529187666"/>
      <w:bookmarkStart w:id="188" w:name="_Toc529188092"/>
      <w:bookmarkStart w:id="189" w:name="_Toc529377742"/>
      <w:bookmarkStart w:id="190" w:name="_Toc529389681"/>
      <w:bookmarkStart w:id="191" w:name="_Toc531095556"/>
      <w:bookmarkStart w:id="192" w:name="_Toc531099322"/>
      <w:bookmarkStart w:id="193" w:name="_Toc531101731"/>
      <w:bookmarkStart w:id="194" w:name="_Toc531763999"/>
      <w:bookmarkStart w:id="195" w:name="_Toc532912091"/>
      <w:bookmarkStart w:id="196" w:name="_Toc532914933"/>
      <w:r>
        <w:t xml:space="preserve">National Greenhouse and </w:t>
      </w:r>
      <w:r w:rsidRPr="004B7F96">
        <w:t>Energy</w:t>
      </w:r>
      <w:r>
        <w:t xml:space="preserve"> Reporting legislation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20B5DDC6" w14:textId="77777777" w:rsidR="00DC66B8" w:rsidRDefault="00C850DF" w:rsidP="004E405A">
      <w:pPr>
        <w:pStyle w:val="CCABodytext"/>
      </w:pPr>
      <w:r w:rsidRPr="00FC2EA3">
        <w:t>Th</w:t>
      </w:r>
      <w:r w:rsidR="00BB0C28">
        <w:t>e</w:t>
      </w:r>
      <w:r w:rsidRPr="00FC2EA3">
        <w:t xml:space="preserve"> </w:t>
      </w:r>
      <w:r w:rsidRPr="00C850DF">
        <w:rPr>
          <w:i/>
        </w:rPr>
        <w:t>National</w:t>
      </w:r>
      <w:r w:rsidRPr="00E0204F">
        <w:rPr>
          <w:i/>
        </w:rPr>
        <w:t xml:space="preserve"> Greenhouse and Energy Reporting Act</w:t>
      </w:r>
      <w:r w:rsidRPr="00E0204F">
        <w:t xml:space="preserve"> </w:t>
      </w:r>
      <w:r w:rsidRPr="00E0204F">
        <w:rPr>
          <w:i/>
        </w:rPr>
        <w:t>2007</w:t>
      </w:r>
      <w:r w:rsidRPr="00E0204F">
        <w:t xml:space="preserve"> (Cth)</w:t>
      </w:r>
      <w:r>
        <w:t xml:space="preserve"> </w:t>
      </w:r>
      <w:r w:rsidR="00BE14CF">
        <w:t xml:space="preserve">establishes the </w:t>
      </w:r>
      <w:r w:rsidR="00CF1ECA">
        <w:t>National Greenhouse and Energy R</w:t>
      </w:r>
      <w:r w:rsidR="00BE14CF">
        <w:t xml:space="preserve">eporting scheme, the safeguard mechanism and the </w:t>
      </w:r>
      <w:r w:rsidR="000A5B37" w:rsidRPr="000A5B37">
        <w:t>framework for</w:t>
      </w:r>
      <w:r w:rsidR="000A5B37">
        <w:t xml:space="preserve"> </w:t>
      </w:r>
      <w:r w:rsidR="000A5B37" w:rsidRPr="000A5B37">
        <w:t>administration and compliance</w:t>
      </w:r>
      <w:r w:rsidR="000A5B37">
        <w:t xml:space="preserve">, including the </w:t>
      </w:r>
      <w:r w:rsidR="00BE14CF">
        <w:t>auditing framework</w:t>
      </w:r>
      <w:r w:rsidR="00101654">
        <w:t xml:space="preserve"> for these and other climate change policies</w:t>
      </w:r>
      <w:r w:rsidR="00BE14CF">
        <w:t xml:space="preserve">. </w:t>
      </w:r>
      <w:r w:rsidR="00DC66B8">
        <w:t>L</w:t>
      </w:r>
      <w:r w:rsidR="00DC66B8" w:rsidRPr="00E0204F">
        <w:t xml:space="preserve">egislative instruments made under the Act detail requirements for </w:t>
      </w:r>
      <w:r w:rsidR="00DC66B8">
        <w:t>the</w:t>
      </w:r>
      <w:r w:rsidR="00BE14CF">
        <w:t xml:space="preserve">se elements </w:t>
      </w:r>
      <w:r w:rsidR="00DC66B8" w:rsidRPr="00E0204F">
        <w:t>(</w:t>
      </w:r>
      <w:r w:rsidR="008C6BA3">
        <w:fldChar w:fldCharType="begin"/>
      </w:r>
      <w:r w:rsidR="008C6BA3">
        <w:instrText xml:space="preserve"> REF _Ref528072790 \r \h </w:instrText>
      </w:r>
      <w:r w:rsidR="008C6BA3">
        <w:fldChar w:fldCharType="separate"/>
      </w:r>
      <w:r w:rsidR="009A203A">
        <w:t>Figure 2</w:t>
      </w:r>
      <w:r w:rsidR="008C6BA3">
        <w:fldChar w:fldCharType="end"/>
      </w:r>
      <w:r w:rsidR="00DC66B8" w:rsidRPr="00E0204F">
        <w:t>).</w:t>
      </w:r>
    </w:p>
    <w:p w14:paraId="7C09CBC5" w14:textId="77777777" w:rsidR="00DC66B8" w:rsidRPr="00E0204F" w:rsidRDefault="00CF1ECA" w:rsidP="004E405A">
      <w:pPr>
        <w:pStyle w:val="CCABodytext"/>
        <w:rPr>
          <w:lang w:val="en-US"/>
        </w:rPr>
      </w:pPr>
      <w:r w:rsidRPr="00E0204F">
        <w:t>The Department of the Environment and Energy is responsible for develop</w:t>
      </w:r>
      <w:r>
        <w:t xml:space="preserve">ing policy for the reporting scheme, safeguard mechanism </w:t>
      </w:r>
      <w:r w:rsidRPr="00FF398C">
        <w:t>and the auditing framework</w:t>
      </w:r>
      <w:r w:rsidRPr="00E0204F">
        <w:t>.</w:t>
      </w:r>
      <w:r>
        <w:t xml:space="preserve"> </w:t>
      </w:r>
      <w:r w:rsidR="00DC66B8" w:rsidRPr="00E0204F">
        <w:t>The Clean Energy Regulator is responsible for administering the Act and its legislative instruments</w:t>
      </w:r>
      <w:r w:rsidR="00BB0C28">
        <w:t xml:space="preserve"> and ensures compliance with the legislation</w:t>
      </w:r>
      <w:r w:rsidR="00DC66B8" w:rsidRPr="00E0204F">
        <w:t xml:space="preserve">. </w:t>
      </w:r>
    </w:p>
    <w:p w14:paraId="1EDB326A" w14:textId="77777777" w:rsidR="00DC66B8" w:rsidRPr="00DE7CAC" w:rsidRDefault="00DC66B8" w:rsidP="00DC0822">
      <w:pPr>
        <w:pStyle w:val="CCAFigureHeader"/>
        <w:spacing w:after="120"/>
      </w:pPr>
      <w:bookmarkStart w:id="197" w:name="_Ref528072790"/>
      <w:bookmarkStart w:id="198" w:name="_Toc531095522"/>
      <w:bookmarkStart w:id="199" w:name="_Toc531099288"/>
      <w:bookmarkStart w:id="200" w:name="_Toc531101697"/>
      <w:bookmarkStart w:id="201" w:name="_Toc531764130"/>
      <w:bookmarkStart w:id="202" w:name="_Toc532912055"/>
      <w:bookmarkStart w:id="203" w:name="_Toc532914024"/>
      <w:r>
        <w:t xml:space="preserve">The </w:t>
      </w:r>
      <w:r w:rsidRPr="00B15B2C">
        <w:t>National Greenhouse and Energy Reporting Act 2007</w:t>
      </w:r>
      <w:r w:rsidRPr="0091708A">
        <w:t xml:space="preserve"> and its supporting</w:t>
      </w:r>
      <w:r>
        <w:t xml:space="preserve"> legislative instruments</w:t>
      </w:r>
      <w:bookmarkEnd w:id="197"/>
      <w:bookmarkEnd w:id="198"/>
      <w:bookmarkEnd w:id="199"/>
      <w:bookmarkEnd w:id="200"/>
      <w:bookmarkEnd w:id="201"/>
      <w:bookmarkEnd w:id="202"/>
      <w:bookmarkEnd w:id="203"/>
    </w:p>
    <w:p w14:paraId="5A29CB12" w14:textId="77777777" w:rsidR="00EC0A94" w:rsidRDefault="00EC0A94" w:rsidP="00340A5E">
      <w:pPr>
        <w:pStyle w:val="CCAFigure"/>
      </w:pPr>
      <w:r w:rsidRPr="00340A5E">
        <w:drawing>
          <wp:inline distT="0" distB="0" distL="0" distR="0" wp14:anchorId="00B88787" wp14:editId="30BAA7CC">
            <wp:extent cx="6193155" cy="3017520"/>
            <wp:effectExtent l="0" t="0" r="0" b="0"/>
            <wp:docPr id="32" name="Picture 32" descr="This figure is a schematic, which shows the legislative instruments that sit under the National Greenhouse and Energy Reporting Act and the instruments they support. The National Greenhouse and Energy Reporting (Measurement) Determination 2008 and National Greenhouse and Energy Reporting Regulations 2008 support measuring and reporting instructions. The National Greenhouse and Energy Reporting Regulations 2008, National Greenhouse and Energy Reporting (Audit) Determination 2009 and National Greenhouse and Energy (Auditor Registration) Instrument 2017 (No. 2) support auditing requirements and qualifications. The National Greenhouse and Energy Reporting (Safeguard Mechanism) Rule 2015 supports the safeguard." title="The National Greenhouse and Energy Reporting Act 2007 and its supporting legislativ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3155" cy="3017520"/>
                    </a:xfrm>
                    <a:prstGeom prst="rect">
                      <a:avLst/>
                    </a:prstGeom>
                  </pic:spPr>
                </pic:pic>
              </a:graphicData>
            </a:graphic>
          </wp:inline>
        </w:drawing>
      </w:r>
    </w:p>
    <w:p w14:paraId="10606515" w14:textId="77777777" w:rsidR="00DC66B8" w:rsidRPr="00DE7CAC" w:rsidRDefault="00DC66B8" w:rsidP="00C813C5">
      <w:pPr>
        <w:pStyle w:val="CCAHeading2"/>
      </w:pPr>
      <w:bookmarkStart w:id="204" w:name="_Ref529392375"/>
      <w:bookmarkStart w:id="205" w:name="_Toc531095557"/>
      <w:bookmarkStart w:id="206" w:name="_Toc531099323"/>
      <w:bookmarkStart w:id="207" w:name="_Toc531101732"/>
      <w:bookmarkStart w:id="208" w:name="_Toc531764000"/>
      <w:bookmarkStart w:id="209" w:name="_Toc532912092"/>
      <w:bookmarkStart w:id="210" w:name="_Toc532914934"/>
      <w:r w:rsidRPr="00DE7CAC">
        <w:t>Objectives of the legislation</w:t>
      </w:r>
      <w:bookmarkEnd w:id="204"/>
      <w:bookmarkEnd w:id="205"/>
      <w:bookmarkEnd w:id="206"/>
      <w:bookmarkEnd w:id="207"/>
      <w:bookmarkEnd w:id="208"/>
      <w:bookmarkEnd w:id="209"/>
      <w:bookmarkEnd w:id="210"/>
    </w:p>
    <w:p w14:paraId="5D128D8D" w14:textId="77777777" w:rsidR="00DC66B8" w:rsidRPr="00E0204F" w:rsidRDefault="00DC66B8" w:rsidP="004E405A">
      <w:pPr>
        <w:pStyle w:val="CCABodytext"/>
      </w:pPr>
      <w:r w:rsidRPr="00E0204F">
        <w:t xml:space="preserve">The </w:t>
      </w:r>
      <w:r w:rsidR="00BE14CF">
        <w:t xml:space="preserve">Act </w:t>
      </w:r>
      <w:r w:rsidR="00025615">
        <w:t>has</w:t>
      </w:r>
      <w:r w:rsidR="00BB0C28">
        <w:t xml:space="preserve"> </w:t>
      </w:r>
      <w:r w:rsidRPr="00E0204F">
        <w:t xml:space="preserve">two objectives. The first is to introduce a single national reporting framework for information related to greenhouse gas emissions and energy to: </w:t>
      </w:r>
    </w:p>
    <w:p w14:paraId="2BCD3988" w14:textId="77777777" w:rsidR="00DC66B8" w:rsidRPr="00DE7CAC" w:rsidRDefault="00DC66B8" w:rsidP="000D7F42">
      <w:pPr>
        <w:pStyle w:val="ListBullet"/>
        <w:rPr>
          <w:rFonts w:eastAsia="Calibri"/>
        </w:rPr>
      </w:pPr>
      <w:r w:rsidRPr="00DE7CAC">
        <w:rPr>
          <w:rFonts w:eastAsia="Calibri"/>
        </w:rPr>
        <w:t>inform government policy formulation and the Australian public</w:t>
      </w:r>
    </w:p>
    <w:p w14:paraId="7B24F20A" w14:textId="77777777" w:rsidR="00DC66B8" w:rsidRPr="00DE7CAC" w:rsidRDefault="00DC66B8" w:rsidP="000D7F42">
      <w:pPr>
        <w:pStyle w:val="ListBullet"/>
        <w:rPr>
          <w:rFonts w:eastAsia="Calibri"/>
        </w:rPr>
      </w:pPr>
      <w:r w:rsidRPr="00DE7CAC">
        <w:rPr>
          <w:rFonts w:eastAsia="Calibri"/>
        </w:rPr>
        <w:t>meet Australia’s international reporting obligations</w:t>
      </w:r>
    </w:p>
    <w:p w14:paraId="53666F74" w14:textId="77777777" w:rsidR="00DC66B8" w:rsidRPr="00DE7CAC" w:rsidRDefault="00DC66B8" w:rsidP="000D7F42">
      <w:pPr>
        <w:pStyle w:val="ListBullet"/>
        <w:rPr>
          <w:rFonts w:eastAsia="Calibri"/>
        </w:rPr>
      </w:pPr>
      <w:r w:rsidRPr="00DE7CAC">
        <w:rPr>
          <w:rFonts w:eastAsia="Calibri"/>
        </w:rPr>
        <w:t xml:space="preserve">assist </w:t>
      </w:r>
      <w:r w:rsidR="00746A82">
        <w:rPr>
          <w:rFonts w:eastAsia="Calibri"/>
        </w:rPr>
        <w:t>Australian</w:t>
      </w:r>
      <w:r w:rsidRPr="00DE7CAC">
        <w:rPr>
          <w:rFonts w:eastAsia="Calibri"/>
        </w:rPr>
        <w:t>, state and territory gov</w:t>
      </w:r>
      <w:r w:rsidR="0071430A">
        <w:rPr>
          <w:rFonts w:eastAsia="Calibri"/>
        </w:rPr>
        <w:t>ernment programs and activities</w:t>
      </w:r>
    </w:p>
    <w:p w14:paraId="1BCE9EDE" w14:textId="77777777" w:rsidR="00DC66B8" w:rsidRPr="00DE7CAC" w:rsidRDefault="00DC66B8" w:rsidP="000D7F42">
      <w:pPr>
        <w:pStyle w:val="ListBullet"/>
        <w:rPr>
          <w:rFonts w:eastAsia="Calibri"/>
        </w:rPr>
      </w:pPr>
      <w:r w:rsidRPr="00DE7CAC">
        <w:rPr>
          <w:rFonts w:eastAsia="Calibri"/>
        </w:rPr>
        <w:lastRenderedPageBreak/>
        <w:t xml:space="preserve">avoid the duplication of similar reporting requirements in the states and territories. </w:t>
      </w:r>
    </w:p>
    <w:p w14:paraId="60B16970" w14:textId="77777777" w:rsidR="00DC66B8" w:rsidRDefault="00DC66B8" w:rsidP="004E405A">
      <w:pPr>
        <w:pStyle w:val="CCABodytext"/>
        <w:rPr>
          <w:lang w:val="en-US"/>
        </w:rPr>
      </w:pPr>
      <w:r w:rsidRPr="00E0204F">
        <w:t xml:space="preserve">The second objective is to ensure net emissions from large </w:t>
      </w:r>
      <w:r>
        <w:t xml:space="preserve">industrial </w:t>
      </w:r>
      <w:r w:rsidR="005D2C06">
        <w:t>and electricity</w:t>
      </w:r>
      <w:r w:rsidR="00C471ED">
        <w:t>-</w:t>
      </w:r>
      <w:r w:rsidR="00BB0C28">
        <w:t>generation</w:t>
      </w:r>
      <w:r>
        <w:t xml:space="preserve"> </w:t>
      </w:r>
      <w:r w:rsidRPr="00E0204F">
        <w:t xml:space="preserve">facilities do not exceed </w:t>
      </w:r>
      <w:r w:rsidR="008301C5">
        <w:t>the</w:t>
      </w:r>
      <w:r w:rsidR="008301C5" w:rsidRPr="00E0204F">
        <w:t xml:space="preserve"> </w:t>
      </w:r>
      <w:r w:rsidRPr="00E0204F">
        <w:t xml:space="preserve">emissions limits </w:t>
      </w:r>
      <w:r w:rsidR="005E039E">
        <w:t>(</w:t>
      </w:r>
      <w:r w:rsidRPr="00E0204F">
        <w:t>baselines</w:t>
      </w:r>
      <w:r w:rsidR="005E039E">
        <w:t>)</w:t>
      </w:r>
      <w:r w:rsidR="008301C5">
        <w:t xml:space="preserve"> set under the legislation</w:t>
      </w:r>
      <w:r w:rsidR="00BE14CF">
        <w:t>.</w:t>
      </w:r>
      <w:r w:rsidRPr="00E0204F">
        <w:t xml:space="preserve"> These objectives, and how they </w:t>
      </w:r>
      <w:r>
        <w:t>relate</w:t>
      </w:r>
      <w:r w:rsidRPr="00E0204F">
        <w:t xml:space="preserve"> to the three elements of the legislation, are summarised in </w:t>
      </w:r>
      <w:r w:rsidR="00136964">
        <w:fldChar w:fldCharType="begin"/>
      </w:r>
      <w:r w:rsidR="00136964">
        <w:instrText xml:space="preserve"> REF _Ref529979247 \r \h </w:instrText>
      </w:r>
      <w:r w:rsidR="00136964">
        <w:fldChar w:fldCharType="separate"/>
      </w:r>
      <w:r w:rsidR="009A203A">
        <w:t>Figure 3</w:t>
      </w:r>
      <w:r w:rsidR="00136964">
        <w:fldChar w:fldCharType="end"/>
      </w:r>
      <w:r w:rsidRPr="00E0204F">
        <w:t>.</w:t>
      </w:r>
      <w:r w:rsidR="00137926">
        <w:t xml:space="preserve"> </w:t>
      </w:r>
      <w:r w:rsidR="00137926" w:rsidRPr="00E0204F">
        <w:rPr>
          <w:lang w:val="en-US"/>
        </w:rPr>
        <w:t xml:space="preserve">Box 1 </w:t>
      </w:r>
      <w:r w:rsidR="00137926">
        <w:rPr>
          <w:lang w:val="en-US"/>
        </w:rPr>
        <w:t xml:space="preserve">outlines how </w:t>
      </w:r>
      <w:r w:rsidR="00137926" w:rsidRPr="00E0204F">
        <w:rPr>
          <w:lang w:val="en-US"/>
        </w:rPr>
        <w:t>the legislation and its objectives</w:t>
      </w:r>
      <w:r w:rsidR="00137926">
        <w:rPr>
          <w:lang w:val="en-US"/>
        </w:rPr>
        <w:t xml:space="preserve"> have evolved</w:t>
      </w:r>
      <w:r w:rsidR="00F85FA3">
        <w:rPr>
          <w:lang w:val="en-US"/>
        </w:rPr>
        <w:t xml:space="preserve"> since the legislation was introduced in 2007</w:t>
      </w:r>
      <w:r w:rsidR="00137926" w:rsidRPr="00E0204F">
        <w:rPr>
          <w:lang w:val="en-US"/>
        </w:rPr>
        <w:t>.</w:t>
      </w:r>
    </w:p>
    <w:p w14:paraId="1126CFC6" w14:textId="77777777" w:rsidR="000E44AA" w:rsidRPr="00E0204F" w:rsidRDefault="000E44AA" w:rsidP="004E405A">
      <w:pPr>
        <w:pStyle w:val="CCABodytext"/>
      </w:pPr>
    </w:p>
    <w:p w14:paraId="18FD897E" w14:textId="77777777" w:rsidR="0091134F" w:rsidRPr="0091134F" w:rsidRDefault="00DC66B8" w:rsidP="00532BE2">
      <w:pPr>
        <w:pStyle w:val="CCAFigureHeader"/>
      </w:pPr>
      <w:bookmarkStart w:id="211" w:name="_Ref529979247"/>
      <w:bookmarkStart w:id="212" w:name="_Toc531099289"/>
      <w:bookmarkStart w:id="213" w:name="_Toc531101698"/>
      <w:bookmarkStart w:id="214" w:name="_Toc531764131"/>
      <w:bookmarkStart w:id="215" w:name="_Toc532912056"/>
      <w:bookmarkStart w:id="216" w:name="_Toc532914025"/>
      <w:bookmarkStart w:id="217" w:name="_Toc531095523"/>
      <w:r w:rsidRPr="0091708A">
        <w:t>K</w:t>
      </w:r>
      <w:r w:rsidRPr="000D5CD5">
        <w:t>ey elements of the legislation</w:t>
      </w:r>
      <w:bookmarkEnd w:id="211"/>
      <w:bookmarkEnd w:id="212"/>
      <w:bookmarkEnd w:id="213"/>
      <w:bookmarkEnd w:id="214"/>
      <w:bookmarkEnd w:id="215"/>
      <w:bookmarkEnd w:id="216"/>
      <w:r w:rsidR="00FD7326" w:rsidRPr="00FD7326">
        <w:t xml:space="preserve"> </w:t>
      </w:r>
      <w:bookmarkEnd w:id="217"/>
      <w:r w:rsidR="00FD7326" w:rsidRPr="009113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19060D8" w14:textId="18021474" w:rsidR="00DC66B8" w:rsidRDefault="004C49D0" w:rsidP="00FA1E8C">
      <w:pPr>
        <w:pStyle w:val="CCABodytext"/>
        <w:rPr>
          <w:lang w:val="en-US"/>
        </w:rPr>
      </w:pPr>
      <w:r>
        <w:rPr>
          <w:noProof/>
          <w:lang w:eastAsia="en-AU"/>
        </w:rPr>
        <w:drawing>
          <wp:inline distT="0" distB="0" distL="0" distR="0" wp14:anchorId="49CDCDFC" wp14:editId="49F74A07">
            <wp:extent cx="6191250" cy="4819650"/>
            <wp:effectExtent l="0" t="0" r="0" b="0"/>
            <wp:docPr id="2" name="Picture 2" descr="Figure 3 is a schematic, which shows the key elements of the legislation: the National Greenhouse and Energy Reporting scheme, safeguard mechanism and administration, compliance and the audit framework. The National Greenhouse and Energy Reporting scheme is a national reporting framework for information related to greenhouse gas emissions and energy. The objective is to inform governments and the public, meet international obligations, assist with government programs and activities and avoid the duplication of similar reporting requirements. The safeguard mechanism provides a framework for Australia’s companies to measure, report and manage their emissions. The objective of the safeguard is to ensure large facilities do not exceed their greenhouse gas emissions limits (known as baselines). The Department of the Environment and Energy is responsible for policy development of the National Greenhouse and Energy Reporting Act 2007. The Clean Energy Regulator administers the Act and its instruments, and ensures compliance with the legislation. The legislation sets out an audit framework to underpin the effectiveness and integrity of the scheme and its data. The framework also sets out requirements for auditors. Under the legislation, audits are required for the reporting scheme, safeguard mechanism, the Emission Reduction Fund and the Renewable Energy Target." title="Key elements of the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1250" cy="4819650"/>
                    </a:xfrm>
                    <a:prstGeom prst="rect">
                      <a:avLst/>
                    </a:prstGeom>
                    <a:noFill/>
                    <a:ln>
                      <a:noFill/>
                    </a:ln>
                  </pic:spPr>
                </pic:pic>
              </a:graphicData>
            </a:graphic>
          </wp:inline>
        </w:drawing>
      </w:r>
    </w:p>
    <w:p w14:paraId="2AE00F8B" w14:textId="77777777" w:rsidR="00C637F3" w:rsidRDefault="00C637F3">
      <w:pPr>
        <w:spacing w:after="200" w:line="276" w:lineRule="auto"/>
        <w:rPr>
          <w:color w:val="auto"/>
          <w:sz w:val="21"/>
          <w:szCs w:val="21"/>
          <w:lang w:val="en-US"/>
        </w:rPr>
      </w:pPr>
      <w:r>
        <w:rPr>
          <w:lang w:val="en-US"/>
        </w:rPr>
        <w:br w:type="page"/>
      </w:r>
    </w:p>
    <w:tbl>
      <w:tblPr>
        <w:tblStyle w:val="TableLayout1"/>
        <w:tblpPr w:leftFromText="180" w:rightFromText="180" w:vertAnchor="text" w:tblpXSpec="center" w:tblpY="1"/>
        <w:tblOverlap w:val="never"/>
        <w:tblW w:w="49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BF4" w:themeFill="accent4" w:themeFillTint="33"/>
        <w:tblLook w:val="04A0" w:firstRow="1" w:lastRow="0" w:firstColumn="1" w:lastColumn="0" w:noHBand="0" w:noVBand="1"/>
      </w:tblPr>
      <w:tblGrid>
        <w:gridCol w:w="9833"/>
      </w:tblGrid>
      <w:tr w:rsidR="00DC66B8" w:rsidRPr="000D5CD5" w14:paraId="336B565E" w14:textId="77777777" w:rsidTr="00A33395">
        <w:trPr>
          <w:cnfStyle w:val="100000000000" w:firstRow="1" w:lastRow="0" w:firstColumn="0" w:lastColumn="0" w:oddVBand="0" w:evenVBand="0" w:oddHBand="0" w:evenHBand="0" w:firstRowFirstColumn="0" w:firstRowLastColumn="0" w:lastRowFirstColumn="0" w:lastRowLastColumn="0"/>
          <w:trHeight w:val="425"/>
          <w:jc w:val="center"/>
        </w:trPr>
        <w:tc>
          <w:tcPr>
            <w:tcW w:w="5000" w:type="pct"/>
            <w:shd w:val="clear" w:color="auto" w:fill="D4EBF4" w:themeFill="accent4" w:themeFillTint="33"/>
          </w:tcPr>
          <w:p w14:paraId="397C90B2" w14:textId="77777777" w:rsidR="00DC66B8" w:rsidRPr="009947F2" w:rsidRDefault="00DC66B8" w:rsidP="009947F2">
            <w:pPr>
              <w:pStyle w:val="CCABoxheading"/>
              <w:framePr w:hSpace="0" w:wrap="auto" w:vAnchor="margin" w:xAlign="left" w:yAlign="inline"/>
              <w:suppressOverlap w:val="0"/>
              <w:rPr>
                <w:sz w:val="22"/>
                <w:szCs w:val="22"/>
              </w:rPr>
            </w:pPr>
            <w:bookmarkStart w:id="218" w:name="_Toc529389682"/>
            <w:bookmarkStart w:id="219" w:name="_Toc531095514"/>
            <w:bookmarkStart w:id="220" w:name="_Toc531099280"/>
            <w:bookmarkStart w:id="221" w:name="_Toc531101689"/>
            <w:bookmarkStart w:id="222" w:name="_Toc531764070"/>
            <w:bookmarkStart w:id="223" w:name="_Toc532912047"/>
            <w:bookmarkStart w:id="224" w:name="_Toc532914035"/>
            <w:r w:rsidRPr="009947F2">
              <w:rPr>
                <w:sz w:val="22"/>
                <w:szCs w:val="22"/>
              </w:rPr>
              <w:lastRenderedPageBreak/>
              <w:t xml:space="preserve">Evolution of the </w:t>
            </w:r>
            <w:r w:rsidR="00CF1ECA" w:rsidRPr="009947F2">
              <w:rPr>
                <w:sz w:val="22"/>
                <w:szCs w:val="22"/>
              </w:rPr>
              <w:t xml:space="preserve">National Greenhouse and Energy Reporting </w:t>
            </w:r>
            <w:r w:rsidRPr="009947F2">
              <w:rPr>
                <w:sz w:val="22"/>
                <w:szCs w:val="22"/>
              </w:rPr>
              <w:t>legislation</w:t>
            </w:r>
            <w:bookmarkEnd w:id="218"/>
            <w:bookmarkEnd w:id="219"/>
            <w:bookmarkEnd w:id="220"/>
            <w:bookmarkEnd w:id="221"/>
            <w:bookmarkEnd w:id="222"/>
            <w:bookmarkEnd w:id="223"/>
            <w:bookmarkEnd w:id="224"/>
          </w:p>
          <w:p w14:paraId="7AC7C56B" w14:textId="66F07E68" w:rsidR="00DC66B8" w:rsidRPr="004E405A" w:rsidRDefault="00DC66B8" w:rsidP="004E405A">
            <w:pPr>
              <w:pStyle w:val="CCABodytext"/>
            </w:pPr>
            <w:r w:rsidRPr="004E405A">
              <w:t xml:space="preserve">The </w:t>
            </w:r>
            <w:r w:rsidRPr="00B15B2C">
              <w:rPr>
                <w:i/>
              </w:rPr>
              <w:t>National Greenhouse and Energy Reporting Act</w:t>
            </w:r>
            <w:r>
              <w:rPr>
                <w:i/>
              </w:rPr>
              <w:t xml:space="preserve"> </w:t>
            </w:r>
            <w:r w:rsidR="00BB0C28">
              <w:rPr>
                <w:i/>
              </w:rPr>
              <w:t>2007</w:t>
            </w:r>
            <w:r w:rsidRPr="00B15B2C">
              <w:rPr>
                <w:i/>
              </w:rPr>
              <w:t xml:space="preserve"> </w:t>
            </w:r>
            <w:r w:rsidRPr="004E405A">
              <w:t xml:space="preserve">(Cth) was introduced in 2007 (with reporting from 1 July 2008) to implement a streamlined national </w:t>
            </w:r>
            <w:r w:rsidR="00F85FA3">
              <w:t xml:space="preserve">emissions and energy </w:t>
            </w:r>
            <w:r w:rsidRPr="004E405A">
              <w:t xml:space="preserve">reporting scheme. It aimed to replace a range of industry surveys and </w:t>
            </w:r>
            <w:r w:rsidR="00746A82">
              <w:t>Australian</w:t>
            </w:r>
            <w:r w:rsidRPr="004E405A">
              <w:t xml:space="preserve">, state and territory </w:t>
            </w:r>
            <w:r w:rsidR="00CD23FE">
              <w:t xml:space="preserve">government </w:t>
            </w:r>
            <w:r w:rsidRPr="004E405A">
              <w:t>greenhouse gas emissions or energy reporting requirements. The objects of the original Act referred to the role of the reporting scheme in underpinning the introduction of an emissions trading scheme in the future.</w:t>
            </w:r>
          </w:p>
          <w:p w14:paraId="5CED8205" w14:textId="77777777" w:rsidR="00DC66B8" w:rsidRPr="004E405A" w:rsidRDefault="00DC66B8" w:rsidP="004E405A">
            <w:pPr>
              <w:pStyle w:val="CCABodytext"/>
            </w:pPr>
            <w:r w:rsidRPr="004E405A">
              <w:t xml:space="preserve">The Act also established </w:t>
            </w:r>
            <w:r w:rsidR="00F85FA3">
              <w:t xml:space="preserve">arrangements </w:t>
            </w:r>
            <w:r w:rsidRPr="004E405A">
              <w:t>for administration and compliance, including an auditing framework. Originally, the legislation was administered by the Greenhouse and Energy Data Officer on behalf of the Department of Climate Change and Energy. When the carbon pricing mechanism (an emissions trading scheme) was introduced in 2011</w:t>
            </w:r>
            <w:r w:rsidR="00010EE0" w:rsidRPr="004E405A">
              <w:t xml:space="preserve"> under the </w:t>
            </w:r>
            <w:r w:rsidR="00010EE0" w:rsidRPr="006616B6">
              <w:rPr>
                <w:i/>
              </w:rPr>
              <w:t>Clean Energy Act 2011</w:t>
            </w:r>
            <w:r w:rsidR="00712C7F">
              <w:t xml:space="preserve"> (Cth)</w:t>
            </w:r>
            <w:r w:rsidRPr="004E405A">
              <w:t>, the Officer was replaced by the Clean Energy Regulator.</w:t>
            </w:r>
          </w:p>
          <w:p w14:paraId="1EA1E63D" w14:textId="77777777" w:rsidR="00010EE0" w:rsidRPr="004E405A" w:rsidRDefault="00010EE0" w:rsidP="004E405A">
            <w:pPr>
              <w:pStyle w:val="CCABodytext"/>
            </w:pPr>
            <w:r w:rsidRPr="004E405A">
              <w:t xml:space="preserve">The Regulator was established under the </w:t>
            </w:r>
            <w:r w:rsidRPr="006616B6">
              <w:rPr>
                <w:i/>
              </w:rPr>
              <w:t>Clean Energy Regulator Act</w:t>
            </w:r>
            <w:r w:rsidRPr="00712C7F">
              <w:rPr>
                <w:i/>
              </w:rPr>
              <w:t xml:space="preserve"> 2011</w:t>
            </w:r>
            <w:r w:rsidRPr="004E405A">
              <w:t xml:space="preserve"> (Cth) to administer climate change laws, including the carbon pricing mechanism and the reporting scheme. Amendments were made to the </w:t>
            </w:r>
            <w:r w:rsidR="00CF1ECA" w:rsidRPr="004E405A">
              <w:t>legislation</w:t>
            </w:r>
            <w:r w:rsidRPr="004E405A">
              <w:t xml:space="preserve"> to ensure the objects supported the mechanism and the auditing framework was expanded to cover the carbon pricing mechanism.</w:t>
            </w:r>
          </w:p>
          <w:p w14:paraId="440A85A1" w14:textId="77777777" w:rsidR="00DC66B8" w:rsidRPr="004E405A" w:rsidRDefault="00DC66B8" w:rsidP="004E405A">
            <w:pPr>
              <w:pStyle w:val="CCABodytext"/>
            </w:pPr>
            <w:r w:rsidRPr="004E405A">
              <w:t>In 2014, the carbon pricing mechanism was repealed a</w:t>
            </w:r>
            <w:r w:rsidR="00CF1ECA" w:rsidRPr="004E405A">
              <w:t>s well as any amendments to the</w:t>
            </w:r>
            <w:r w:rsidRPr="004E405A">
              <w:t xml:space="preserve"> Act </w:t>
            </w:r>
            <w:r w:rsidR="000630F6">
              <w:t>that</w:t>
            </w:r>
            <w:r w:rsidR="000630F6" w:rsidRPr="004E405A">
              <w:t xml:space="preserve"> </w:t>
            </w:r>
            <w:r w:rsidRPr="004E405A">
              <w:t xml:space="preserve">supported the </w:t>
            </w:r>
            <w:r w:rsidRPr="006616B6">
              <w:rPr>
                <w:i/>
              </w:rPr>
              <w:t>Clean Energy Act 2011</w:t>
            </w:r>
            <w:r w:rsidR="00712C7F">
              <w:rPr>
                <w:i/>
              </w:rPr>
              <w:t xml:space="preserve"> </w:t>
            </w:r>
            <w:r w:rsidR="00712C7F" w:rsidRPr="006616B6">
              <w:t>(Cth)</w:t>
            </w:r>
            <w:r w:rsidRPr="004E405A">
              <w:t xml:space="preserve">. </w:t>
            </w:r>
          </w:p>
          <w:p w14:paraId="62B558AA" w14:textId="77777777" w:rsidR="00DC66B8" w:rsidRPr="004E405A" w:rsidRDefault="00CF2D0B" w:rsidP="004E405A">
            <w:pPr>
              <w:pStyle w:val="CCABodytext"/>
            </w:pPr>
            <w:r>
              <w:t xml:space="preserve">Legislation </w:t>
            </w:r>
            <w:r w:rsidR="00C471ED" w:rsidRPr="004E405A">
              <w:t xml:space="preserve">was </w:t>
            </w:r>
            <w:r w:rsidR="00C471ED">
              <w:t>passed</w:t>
            </w:r>
            <w:r w:rsidR="00C471ED" w:rsidRPr="004E405A">
              <w:t xml:space="preserve"> in 2014</w:t>
            </w:r>
            <w:r w:rsidR="00C471ED">
              <w:t xml:space="preserve"> </w:t>
            </w:r>
            <w:r>
              <w:t>to establish t</w:t>
            </w:r>
            <w:r w:rsidR="00DC66B8" w:rsidRPr="004E405A">
              <w:t xml:space="preserve">he Emissions Reduction Fund (which combines crediting of emission reduction units with </w:t>
            </w:r>
            <w:r w:rsidR="007201EA">
              <w:t>G</w:t>
            </w:r>
            <w:r w:rsidR="007201EA" w:rsidRPr="004E405A">
              <w:t xml:space="preserve">overnment </w:t>
            </w:r>
            <w:r w:rsidR="00DC66B8" w:rsidRPr="004E405A">
              <w:t xml:space="preserve">purchases) </w:t>
            </w:r>
            <w:r>
              <w:t>and the safeguard mechanism</w:t>
            </w:r>
            <w:r w:rsidR="00DC66B8" w:rsidRPr="004E405A">
              <w:t xml:space="preserve">. </w:t>
            </w:r>
            <w:r w:rsidR="000A5B37" w:rsidRPr="004E405A">
              <w:t>At the same time, t</w:t>
            </w:r>
            <w:r w:rsidR="00DC66B8" w:rsidRPr="004E405A">
              <w:t xml:space="preserve">he objects of the </w:t>
            </w:r>
            <w:r w:rsidR="00CF1ECA" w:rsidRPr="004E405A">
              <w:t>legislation</w:t>
            </w:r>
            <w:r w:rsidR="00DC66B8" w:rsidRPr="004E405A">
              <w:t xml:space="preserve"> were amended to support the safeguard mechanism and the auditing framework was also extended. The</w:t>
            </w:r>
            <w:r w:rsidR="00712C7F">
              <w:t xml:space="preserve"> </w:t>
            </w:r>
            <w:r w:rsidR="00712C7F" w:rsidRPr="006616B6">
              <w:rPr>
                <w:i/>
              </w:rPr>
              <w:t>National Greenhouse and</w:t>
            </w:r>
            <w:r w:rsidR="00712C7F" w:rsidRPr="00712C7F">
              <w:rPr>
                <w:i/>
              </w:rPr>
              <w:t xml:space="preserve"> Energy Reporting (</w:t>
            </w:r>
            <w:r w:rsidR="00DC66B8" w:rsidRPr="00712C7F">
              <w:rPr>
                <w:i/>
              </w:rPr>
              <w:t xml:space="preserve">Safeguard </w:t>
            </w:r>
            <w:r w:rsidR="00137926" w:rsidRPr="00712C7F">
              <w:rPr>
                <w:i/>
              </w:rPr>
              <w:t>Mechanism</w:t>
            </w:r>
            <w:r w:rsidR="00712C7F" w:rsidRPr="00712C7F">
              <w:rPr>
                <w:i/>
              </w:rPr>
              <w:t>)</w:t>
            </w:r>
            <w:r w:rsidR="00137926" w:rsidRPr="00712C7F">
              <w:rPr>
                <w:i/>
              </w:rPr>
              <w:t xml:space="preserve"> </w:t>
            </w:r>
            <w:r w:rsidR="00DC66B8" w:rsidRPr="00712C7F">
              <w:rPr>
                <w:i/>
              </w:rPr>
              <w:t>Rule</w:t>
            </w:r>
            <w:r w:rsidR="00712C7F" w:rsidRPr="00712C7F">
              <w:rPr>
                <w:i/>
              </w:rPr>
              <w:t xml:space="preserve"> 2015</w:t>
            </w:r>
            <w:r w:rsidR="00DC66B8" w:rsidRPr="004E405A">
              <w:t xml:space="preserve"> </w:t>
            </w:r>
            <w:r w:rsidR="00712C7F">
              <w:t xml:space="preserve">(Cth) </w:t>
            </w:r>
            <w:r w:rsidR="00DC66B8" w:rsidRPr="004E405A">
              <w:t>was established under the Act</w:t>
            </w:r>
            <w:r w:rsidR="00137926">
              <w:t xml:space="preserve"> in 2015</w:t>
            </w:r>
            <w:r w:rsidR="000A5B37" w:rsidRPr="004E405A">
              <w:t>. The Rule</w:t>
            </w:r>
            <w:r w:rsidR="00DC66B8" w:rsidRPr="004E405A">
              <w:t xml:space="preserve"> outlines the requirement on large facilities to avoid exceeding their emissions limit</w:t>
            </w:r>
            <w:r w:rsidR="008301C5" w:rsidRPr="004E405A">
              <w:t>s</w:t>
            </w:r>
            <w:r w:rsidR="00DC66B8" w:rsidRPr="004E405A">
              <w:t xml:space="preserve">. </w:t>
            </w:r>
            <w:r>
              <w:t>The safeguard mechanism commenced in July 2016.</w:t>
            </w:r>
          </w:p>
          <w:p w14:paraId="6217502A" w14:textId="77777777" w:rsidR="00DC66B8" w:rsidRPr="000D5CD5" w:rsidRDefault="00DC66B8" w:rsidP="004E405A">
            <w:pPr>
              <w:pStyle w:val="CCABodytext"/>
            </w:pPr>
            <w:r w:rsidRPr="004E405A">
              <w:t xml:space="preserve">The Clean Energy Regulator’s role was also expanded </w:t>
            </w:r>
            <w:r w:rsidR="000A5B37" w:rsidRPr="004E405A">
              <w:t xml:space="preserve">in 2014 </w:t>
            </w:r>
            <w:r w:rsidRPr="004E405A">
              <w:t>to administer the Fund and the safeguard.</w:t>
            </w:r>
          </w:p>
        </w:tc>
      </w:tr>
    </w:tbl>
    <w:p w14:paraId="37DD1856" w14:textId="77777777" w:rsidR="00C637F3" w:rsidRDefault="00C637F3" w:rsidP="00C637F3">
      <w:pPr>
        <w:pStyle w:val="CCABodytext"/>
      </w:pPr>
      <w:bookmarkStart w:id="225" w:name="_Toc525642972"/>
      <w:bookmarkStart w:id="226" w:name="_Toc525644040"/>
      <w:bookmarkStart w:id="227" w:name="_Toc525661488"/>
      <w:bookmarkStart w:id="228" w:name="_Toc526430695"/>
      <w:bookmarkStart w:id="229" w:name="_Toc528140791"/>
      <w:bookmarkStart w:id="230" w:name="_Toc528143272"/>
      <w:bookmarkStart w:id="231" w:name="_Toc528770220"/>
      <w:bookmarkStart w:id="232" w:name="_Toc529183855"/>
      <w:bookmarkStart w:id="233" w:name="_Toc529187667"/>
      <w:bookmarkStart w:id="234" w:name="_Toc529188093"/>
      <w:bookmarkStart w:id="235" w:name="_Toc529377743"/>
      <w:bookmarkStart w:id="236" w:name="_Toc529389683"/>
      <w:bookmarkStart w:id="237" w:name="_Toc531095558"/>
      <w:bookmarkStart w:id="238" w:name="_Toc531099324"/>
      <w:bookmarkStart w:id="239" w:name="_Toc531101733"/>
      <w:bookmarkStart w:id="240" w:name="_Toc531764001"/>
    </w:p>
    <w:p w14:paraId="37FB59F5" w14:textId="77777777" w:rsidR="0081590B" w:rsidRPr="0081590B" w:rsidRDefault="0081590B" w:rsidP="00C813C5">
      <w:pPr>
        <w:pStyle w:val="CCAHeading2"/>
      </w:pPr>
      <w:bookmarkStart w:id="241" w:name="_Toc532912093"/>
      <w:bookmarkStart w:id="242" w:name="_Toc532914935"/>
      <w:r>
        <w:t>The reporting scheme</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40B6E71E" w14:textId="77777777" w:rsidR="00FA7322" w:rsidRPr="00FA7322" w:rsidRDefault="00FA7322" w:rsidP="00FA7322">
      <w:pPr>
        <w:pStyle w:val="CCABodytext"/>
        <w:rPr>
          <w:lang w:eastAsia="en-AU"/>
        </w:rPr>
      </w:pPr>
      <w:r w:rsidRPr="00FA7322">
        <w:rPr>
          <w:lang w:eastAsia="en-AU"/>
        </w:rPr>
        <w:t>The legislation establishes rules for</w:t>
      </w:r>
      <w:r w:rsidR="00831E26">
        <w:rPr>
          <w:lang w:eastAsia="en-AU"/>
        </w:rPr>
        <w:t xml:space="preserve"> the National Greenhouse and Energy Reporting scheme, including</w:t>
      </w:r>
      <w:r w:rsidRPr="00FA7322">
        <w:rPr>
          <w:lang w:eastAsia="en-AU"/>
        </w:rPr>
        <w:t>:</w:t>
      </w:r>
    </w:p>
    <w:p w14:paraId="43CD3EF1" w14:textId="77777777" w:rsidR="00FA7322" w:rsidRPr="00FA7322" w:rsidRDefault="008301C5" w:rsidP="004E405A">
      <w:pPr>
        <w:pStyle w:val="ListBullet"/>
        <w:rPr>
          <w:lang w:val="en-US"/>
        </w:rPr>
      </w:pPr>
      <w:r>
        <w:rPr>
          <w:lang w:val="en-US"/>
        </w:rPr>
        <w:t xml:space="preserve">which </w:t>
      </w:r>
      <w:r w:rsidR="00184249">
        <w:rPr>
          <w:lang w:val="en-US"/>
        </w:rPr>
        <w:t>companies</w:t>
      </w:r>
      <w:r w:rsidR="00184249" w:rsidRPr="00FA7322">
        <w:rPr>
          <w:lang w:val="en-US"/>
        </w:rPr>
        <w:t xml:space="preserve"> </w:t>
      </w:r>
      <w:r>
        <w:rPr>
          <w:lang w:val="en-US"/>
        </w:rPr>
        <w:t>are</w:t>
      </w:r>
      <w:r w:rsidR="00FA7322" w:rsidRPr="00FA7322">
        <w:rPr>
          <w:lang w:val="en-US"/>
        </w:rPr>
        <w:t xml:space="preserve"> required to report</w:t>
      </w:r>
    </w:p>
    <w:p w14:paraId="33F4839C" w14:textId="77777777" w:rsidR="00FA7322" w:rsidRPr="00FA7322" w:rsidRDefault="00FA7322" w:rsidP="004E405A">
      <w:pPr>
        <w:pStyle w:val="ListBullet"/>
        <w:rPr>
          <w:lang w:val="en-US"/>
        </w:rPr>
      </w:pPr>
      <w:r w:rsidRPr="00FA7322">
        <w:rPr>
          <w:lang w:val="en-US"/>
        </w:rPr>
        <w:t xml:space="preserve">what </w:t>
      </w:r>
      <w:r w:rsidR="000A5B37">
        <w:rPr>
          <w:lang w:val="en-US"/>
        </w:rPr>
        <w:t xml:space="preserve">and how </w:t>
      </w:r>
      <w:r w:rsidR="00ED34CB">
        <w:rPr>
          <w:lang w:val="en-US"/>
        </w:rPr>
        <w:t>to</w:t>
      </w:r>
      <w:r w:rsidR="000A5B37">
        <w:rPr>
          <w:lang w:val="en-US"/>
        </w:rPr>
        <w:t xml:space="preserve"> report</w:t>
      </w:r>
    </w:p>
    <w:p w14:paraId="4669CC44" w14:textId="77777777" w:rsidR="00FA7322" w:rsidRDefault="000A5B37" w:rsidP="004E405A">
      <w:pPr>
        <w:pStyle w:val="ListBullet"/>
        <w:rPr>
          <w:lang w:val="en-US"/>
        </w:rPr>
      </w:pPr>
      <w:r>
        <w:rPr>
          <w:lang w:val="en-US"/>
        </w:rPr>
        <w:t>what data is shared and published.</w:t>
      </w:r>
    </w:p>
    <w:p w14:paraId="63CE2950" w14:textId="77777777" w:rsidR="0081590B" w:rsidRPr="000D5CD5" w:rsidRDefault="00BB0C28" w:rsidP="00C813C5">
      <w:pPr>
        <w:pStyle w:val="CCAHeading3"/>
      </w:pPr>
      <w:bookmarkStart w:id="243" w:name="_Ref529518574"/>
      <w:r>
        <w:lastRenderedPageBreak/>
        <w:t xml:space="preserve">Which </w:t>
      </w:r>
      <w:r w:rsidR="00184249">
        <w:t xml:space="preserve">companies </w:t>
      </w:r>
      <w:r>
        <w:t>are</w:t>
      </w:r>
      <w:r w:rsidRPr="000D5CD5">
        <w:t xml:space="preserve"> </w:t>
      </w:r>
      <w:r w:rsidR="0081590B" w:rsidRPr="000D5CD5">
        <w:t>required to report</w:t>
      </w:r>
      <w:bookmarkEnd w:id="243"/>
    </w:p>
    <w:p w14:paraId="7713CF61" w14:textId="77777777" w:rsidR="00C72AB6" w:rsidRDefault="00BC477F" w:rsidP="00C72AB6">
      <w:pPr>
        <w:pStyle w:val="CCABodytext"/>
        <w:rPr>
          <w:lang w:val="en-GB" w:eastAsia="en-AU"/>
        </w:rPr>
      </w:pPr>
      <w:r w:rsidRPr="000D5CD5">
        <w:t>Co</w:t>
      </w:r>
      <w:r>
        <w:t>mpanies</w:t>
      </w:r>
      <w:r w:rsidR="0081590B" w:rsidRPr="000D5CD5">
        <w:t xml:space="preserve"> have to report emissions and energy data if they, or facilities they control, meet certain thresholds. There are separate </w:t>
      </w:r>
      <w:r w:rsidR="0081590B" w:rsidRPr="000D5CD5">
        <w:rPr>
          <w:rFonts w:eastAsia="Calibri" w:cs="Times New Roman"/>
        </w:rPr>
        <w:t>thresholds for individual facilities and corporate groups (</w:t>
      </w:r>
      <w:r w:rsidR="008C6BA3">
        <w:rPr>
          <w:rFonts w:eastAsia="Calibri" w:cs="Times New Roman"/>
        </w:rPr>
        <w:fldChar w:fldCharType="begin"/>
      </w:r>
      <w:r w:rsidR="008C6BA3">
        <w:rPr>
          <w:rFonts w:eastAsia="Calibri" w:cs="Times New Roman"/>
        </w:rPr>
        <w:instrText xml:space="preserve"> REF _Ref526510707 \r \h </w:instrText>
      </w:r>
      <w:r w:rsidR="008C6BA3">
        <w:rPr>
          <w:rFonts w:eastAsia="Calibri" w:cs="Times New Roman"/>
        </w:rPr>
      </w:r>
      <w:r w:rsidR="008C6BA3">
        <w:rPr>
          <w:rFonts w:eastAsia="Calibri" w:cs="Times New Roman"/>
        </w:rPr>
        <w:fldChar w:fldCharType="separate"/>
      </w:r>
      <w:r w:rsidR="009A203A">
        <w:rPr>
          <w:rFonts w:eastAsia="Calibri" w:cs="Times New Roman"/>
        </w:rPr>
        <w:t>Table 1</w:t>
      </w:r>
      <w:r w:rsidR="008C6BA3">
        <w:rPr>
          <w:rFonts w:eastAsia="Calibri" w:cs="Times New Roman"/>
        </w:rPr>
        <w:fldChar w:fldCharType="end"/>
      </w:r>
      <w:r w:rsidR="0081590B">
        <w:rPr>
          <w:rFonts w:eastAsia="Calibri" w:cs="Times New Roman"/>
        </w:rPr>
        <w:t>)</w:t>
      </w:r>
      <w:r w:rsidR="00EA5BD0">
        <w:rPr>
          <w:rFonts w:eastAsia="Calibri" w:cs="Times New Roman"/>
        </w:rPr>
        <w:t xml:space="preserve"> and reporting obligations are triggered if any one of the thresholds is exceeded</w:t>
      </w:r>
      <w:r w:rsidR="0081590B">
        <w:rPr>
          <w:rFonts w:eastAsia="Calibri" w:cs="Times New Roman"/>
        </w:rPr>
        <w:t>.</w:t>
      </w:r>
      <w:r w:rsidR="0081590B" w:rsidRPr="000D5CD5">
        <w:rPr>
          <w:rFonts w:eastAsia="Calibri" w:cs="Times New Roman"/>
        </w:rPr>
        <w:t xml:space="preserve"> </w:t>
      </w:r>
      <w:r w:rsidR="00C72AB6">
        <w:rPr>
          <w:rFonts w:eastAsia="Calibri" w:cs="Times New Roman"/>
        </w:rPr>
        <w:t>In 2016</w:t>
      </w:r>
      <w:r w:rsidR="00257EA3">
        <w:rPr>
          <w:rFonts w:eastAsia="Calibri" w:cs="Times New Roman"/>
        </w:rPr>
        <w:t>–</w:t>
      </w:r>
      <w:r w:rsidR="00C72AB6">
        <w:rPr>
          <w:rFonts w:eastAsia="Calibri" w:cs="Times New Roman"/>
        </w:rPr>
        <w:t>17,</w:t>
      </w:r>
      <w:r w:rsidR="00C72AB6" w:rsidDel="00C72AB6">
        <w:rPr>
          <w:rFonts w:eastAsia="Calibri" w:cs="Times New Roman"/>
        </w:rPr>
        <w:t xml:space="preserve"> </w:t>
      </w:r>
      <w:r w:rsidR="00A009E2">
        <w:rPr>
          <w:lang w:val="en-GB" w:eastAsia="en-AU"/>
        </w:rPr>
        <w:t>748</w:t>
      </w:r>
      <w:r w:rsidR="00C72AB6" w:rsidRPr="000D5CD5">
        <w:rPr>
          <w:lang w:val="en-GB" w:eastAsia="en-AU"/>
        </w:rPr>
        <w:t xml:space="preserve"> companies representing more than 25,000 facilities</w:t>
      </w:r>
      <w:r w:rsidR="00C72AB6">
        <w:rPr>
          <w:lang w:val="en-GB" w:eastAsia="en-AU"/>
        </w:rPr>
        <w:t xml:space="preserve"> reported emissions and energy data under the scheme</w:t>
      </w:r>
      <w:r w:rsidR="00C72AB6" w:rsidRPr="000D5CD5">
        <w:rPr>
          <w:lang w:val="en-GB" w:eastAsia="en-AU"/>
        </w:rPr>
        <w:t xml:space="preserve"> (</w:t>
      </w:r>
      <w:r w:rsidR="00C72AB6">
        <w:rPr>
          <w:lang w:val="en-GB" w:eastAsia="en-AU"/>
        </w:rPr>
        <w:t>CER 201</w:t>
      </w:r>
      <w:r w:rsidR="009D0EB8">
        <w:rPr>
          <w:lang w:val="en-GB" w:eastAsia="en-AU"/>
        </w:rPr>
        <w:t>8c</w:t>
      </w:r>
      <w:r w:rsidR="00C72AB6" w:rsidRPr="000D5CD5">
        <w:rPr>
          <w:lang w:val="en-GB" w:eastAsia="en-AU"/>
        </w:rPr>
        <w:t>).</w:t>
      </w:r>
      <w:r w:rsidR="00565BF2">
        <w:rPr>
          <w:rStyle w:val="FootnoteReference"/>
          <w:lang w:val="en-GB" w:eastAsia="en-AU"/>
        </w:rPr>
        <w:footnoteReference w:id="3"/>
      </w:r>
      <w:r w:rsidR="00C72AB6" w:rsidRPr="000D5CD5">
        <w:rPr>
          <w:lang w:val="en-GB" w:eastAsia="en-AU"/>
        </w:rPr>
        <w:t xml:space="preserve"> </w:t>
      </w:r>
    </w:p>
    <w:p w14:paraId="4E07BCF7" w14:textId="77777777" w:rsidR="0081590B" w:rsidRPr="000D5CD5" w:rsidRDefault="0081590B" w:rsidP="00532BE2">
      <w:pPr>
        <w:pStyle w:val="CCATableheader"/>
      </w:pPr>
      <w:bookmarkStart w:id="244" w:name="_Ref526510707"/>
      <w:bookmarkStart w:id="245" w:name="_Toc531095533"/>
      <w:bookmarkStart w:id="246" w:name="_Toc531099299"/>
      <w:bookmarkStart w:id="247" w:name="_Toc531101708"/>
      <w:bookmarkStart w:id="248" w:name="_Toc531341077"/>
      <w:bookmarkStart w:id="249" w:name="_Toc531764045"/>
      <w:bookmarkStart w:id="250" w:name="_Toc532912066"/>
      <w:bookmarkStart w:id="251" w:name="_Toc532914010"/>
      <w:r w:rsidRPr="004D105C">
        <w:t>Corporate</w:t>
      </w:r>
      <w:r w:rsidRPr="000D5CD5">
        <w:t xml:space="preserve"> group and facility thresholds</w:t>
      </w:r>
      <w:bookmarkEnd w:id="244"/>
      <w:bookmarkEnd w:id="245"/>
      <w:bookmarkEnd w:id="246"/>
      <w:bookmarkEnd w:id="247"/>
      <w:bookmarkEnd w:id="248"/>
      <w:bookmarkEnd w:id="249"/>
      <w:bookmarkEnd w:id="250"/>
      <w:bookmarkEnd w:id="251"/>
    </w:p>
    <w:tbl>
      <w:tblPr>
        <w:tblStyle w:val="MediumShading1-Accent1211"/>
        <w:tblW w:w="5005" w:type="pct"/>
        <w:tblInd w:w="-1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383"/>
        <w:gridCol w:w="2179"/>
        <w:gridCol w:w="589"/>
        <w:gridCol w:w="2305"/>
        <w:gridCol w:w="1523"/>
      </w:tblGrid>
      <w:tr w:rsidR="0081590B" w:rsidRPr="000D5CD5" w:rsidDel="00A40142" w14:paraId="16C3E8B4" w14:textId="77777777" w:rsidTr="00017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pct"/>
            <w:tcBorders>
              <w:bottom w:val="none" w:sz="0" w:space="0" w:color="auto"/>
            </w:tcBorders>
          </w:tcPr>
          <w:p w14:paraId="19E92BF8" w14:textId="77777777" w:rsidR="0081590B" w:rsidRPr="00F973BA" w:rsidDel="00A40142" w:rsidRDefault="0081590B" w:rsidP="00017CEA">
            <w:pPr>
              <w:keepNext/>
              <w:spacing w:before="60" w:after="60" w:line="240" w:lineRule="auto"/>
              <w:rPr>
                <w:rFonts w:eastAsia="Times New Roman" w:cs="Arial"/>
                <w:color w:val="FFFFFF"/>
                <w:spacing w:val="6"/>
                <w:sz w:val="20"/>
                <w:szCs w:val="20"/>
                <w:lang w:eastAsia="en-GB"/>
              </w:rPr>
            </w:pPr>
          </w:p>
        </w:tc>
        <w:tc>
          <w:tcPr>
            <w:tcW w:w="1387" w:type="pct"/>
            <w:gridSpan w:val="2"/>
            <w:tcBorders>
              <w:bottom w:val="none" w:sz="0" w:space="0" w:color="auto"/>
            </w:tcBorders>
          </w:tcPr>
          <w:p w14:paraId="21489393" w14:textId="77777777" w:rsidR="0081590B" w:rsidRPr="00F973BA" w:rsidDel="00A40142" w:rsidRDefault="0081590B" w:rsidP="00017CEA">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pacing w:val="6"/>
                <w:sz w:val="20"/>
                <w:szCs w:val="20"/>
                <w:lang w:eastAsia="en-GB"/>
              </w:rPr>
            </w:pPr>
            <w:r w:rsidRPr="00F973BA">
              <w:rPr>
                <w:rFonts w:eastAsia="Times New Roman" w:cs="Arial"/>
                <w:color w:val="FFFFFF"/>
                <w:spacing w:val="6"/>
                <w:sz w:val="20"/>
                <w:szCs w:val="20"/>
                <w:lang w:eastAsia="en-GB"/>
              </w:rPr>
              <w:t>Scope 1 and 2 emissions combined (kt CO</w:t>
            </w:r>
            <w:r w:rsidRPr="00F973BA">
              <w:rPr>
                <w:rFonts w:eastAsia="Times New Roman" w:cs="Arial"/>
                <w:color w:val="FFFFFF"/>
                <w:spacing w:val="6"/>
                <w:sz w:val="20"/>
                <w:szCs w:val="20"/>
                <w:vertAlign w:val="subscript"/>
                <w:lang w:eastAsia="en-GB"/>
              </w:rPr>
              <w:t>2</w:t>
            </w:r>
            <w:r w:rsidRPr="00F973BA">
              <w:rPr>
                <w:rFonts w:eastAsia="Times New Roman" w:cs="Arial"/>
                <w:color w:val="FFFFFF"/>
                <w:spacing w:val="6"/>
                <w:sz w:val="20"/>
                <w:szCs w:val="20"/>
                <w:lang w:eastAsia="en-GB"/>
              </w:rPr>
              <w:t>-e/year)</w:t>
            </w:r>
          </w:p>
        </w:tc>
        <w:tc>
          <w:tcPr>
            <w:tcW w:w="1155" w:type="pct"/>
            <w:tcBorders>
              <w:bottom w:val="none" w:sz="0" w:space="0" w:color="auto"/>
            </w:tcBorders>
          </w:tcPr>
          <w:p w14:paraId="78523701" w14:textId="77777777" w:rsidR="0081590B" w:rsidRPr="00F973BA" w:rsidDel="00A40142" w:rsidRDefault="0081590B" w:rsidP="00017CEA">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pacing w:val="6"/>
                <w:sz w:val="20"/>
                <w:szCs w:val="20"/>
                <w:lang w:eastAsia="en-GB"/>
              </w:rPr>
            </w:pPr>
            <w:r w:rsidRPr="00F973BA">
              <w:rPr>
                <w:rFonts w:eastAsia="Times New Roman" w:cs="Arial"/>
                <w:color w:val="FFFFFF"/>
                <w:spacing w:val="6"/>
                <w:sz w:val="20"/>
                <w:szCs w:val="20"/>
                <w:lang w:eastAsia="en-GB"/>
              </w:rPr>
              <w:t>Energy production (TJ/year)</w:t>
            </w:r>
          </w:p>
        </w:tc>
        <w:tc>
          <w:tcPr>
            <w:tcW w:w="763" w:type="pct"/>
            <w:tcBorders>
              <w:bottom w:val="none" w:sz="0" w:space="0" w:color="auto"/>
            </w:tcBorders>
          </w:tcPr>
          <w:p w14:paraId="051521F2" w14:textId="77777777" w:rsidR="0081590B" w:rsidRPr="00F973BA" w:rsidDel="00A40142" w:rsidRDefault="0081590B" w:rsidP="00017CEA">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pacing w:val="6"/>
                <w:sz w:val="20"/>
                <w:szCs w:val="20"/>
                <w:lang w:eastAsia="en-GB"/>
              </w:rPr>
            </w:pPr>
            <w:r w:rsidRPr="00F973BA">
              <w:rPr>
                <w:rFonts w:eastAsia="Times New Roman" w:cs="Arial"/>
                <w:color w:val="FFFFFF"/>
                <w:spacing w:val="6"/>
                <w:sz w:val="20"/>
                <w:szCs w:val="20"/>
                <w:lang w:eastAsia="en-GB"/>
              </w:rPr>
              <w:t>Energy use (TJ/year)</w:t>
            </w:r>
          </w:p>
        </w:tc>
      </w:tr>
      <w:tr w:rsidR="0081590B" w:rsidRPr="000D5CD5" w:rsidDel="00A40142" w14:paraId="282F2A04" w14:textId="77777777" w:rsidTr="00FA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gridSpan w:val="2"/>
            <w:tcBorders>
              <w:bottom w:val="dotted" w:sz="4" w:space="0" w:color="0C9FCD"/>
            </w:tcBorders>
            <w:shd w:val="clear" w:color="auto" w:fill="auto"/>
            <w:vAlign w:val="center"/>
          </w:tcPr>
          <w:p w14:paraId="74C3062C" w14:textId="77777777" w:rsidR="0081590B" w:rsidRPr="00D44F2B" w:rsidDel="00A40142" w:rsidRDefault="0081590B" w:rsidP="00017CEA">
            <w:pPr>
              <w:spacing w:before="60" w:after="60" w:line="276" w:lineRule="auto"/>
              <w:rPr>
                <w:rFonts w:eastAsia="Calibri" w:cs="Arial"/>
                <w:b w:val="0"/>
                <w:color w:val="auto"/>
                <w:sz w:val="20"/>
                <w:szCs w:val="20"/>
              </w:rPr>
            </w:pPr>
            <w:r w:rsidRPr="00D44F2B">
              <w:rPr>
                <w:rFonts w:eastAsia="Calibri" w:cs="Arial"/>
                <w:b w:val="0"/>
                <w:color w:val="auto"/>
                <w:sz w:val="20"/>
                <w:szCs w:val="20"/>
              </w:rPr>
              <w:t>Corporate group threshold</w:t>
            </w:r>
          </w:p>
        </w:tc>
        <w:tc>
          <w:tcPr>
            <w:tcW w:w="295" w:type="pct"/>
            <w:tcBorders>
              <w:bottom w:val="dotted" w:sz="4" w:space="0" w:color="0C9FCD"/>
            </w:tcBorders>
            <w:shd w:val="clear" w:color="auto" w:fill="auto"/>
            <w:vAlign w:val="center"/>
          </w:tcPr>
          <w:p w14:paraId="78D0BC71" w14:textId="77777777" w:rsidR="0081590B" w:rsidRPr="00F973BA" w:rsidDel="00A40142" w:rsidRDefault="0081590B" w:rsidP="00017CEA">
            <w:pPr>
              <w:spacing w:before="60" w:after="60" w:line="276" w:lineRule="auto"/>
              <w:ind w:right="33"/>
              <w:jc w:val="center"/>
              <w:cnfStyle w:val="000000100000" w:firstRow="0" w:lastRow="0" w:firstColumn="0" w:lastColumn="0" w:oddVBand="0" w:evenVBand="0" w:oddHBand="1" w:evenHBand="0" w:firstRowFirstColumn="0" w:firstRowLastColumn="0" w:lastRowFirstColumn="0" w:lastRowLastColumn="0"/>
              <w:rPr>
                <w:rFonts w:eastAsia="Calibri" w:cs="Arial"/>
                <w:color w:val="auto"/>
                <w:sz w:val="20"/>
                <w:szCs w:val="20"/>
              </w:rPr>
            </w:pPr>
            <w:r w:rsidRPr="00F973BA" w:rsidDel="00A40142">
              <w:rPr>
                <w:rFonts w:eastAsia="Calibri" w:cs="Arial"/>
                <w:color w:val="auto"/>
                <w:sz w:val="20"/>
                <w:szCs w:val="20"/>
              </w:rPr>
              <w:t>50</w:t>
            </w:r>
          </w:p>
        </w:tc>
        <w:tc>
          <w:tcPr>
            <w:tcW w:w="1155" w:type="pct"/>
            <w:tcBorders>
              <w:bottom w:val="dotted" w:sz="4" w:space="0" w:color="0C9FCD"/>
            </w:tcBorders>
            <w:shd w:val="clear" w:color="auto" w:fill="auto"/>
            <w:vAlign w:val="center"/>
          </w:tcPr>
          <w:p w14:paraId="7ADA41FE" w14:textId="77777777" w:rsidR="0081590B" w:rsidRPr="00F973BA" w:rsidDel="00A40142" w:rsidRDefault="0081590B" w:rsidP="00F973BA">
            <w:pPr>
              <w:spacing w:before="60" w:after="60" w:line="276" w:lineRule="auto"/>
              <w:ind w:right="33"/>
              <w:jc w:val="right"/>
              <w:cnfStyle w:val="000000100000" w:firstRow="0" w:lastRow="0" w:firstColumn="0" w:lastColumn="0" w:oddVBand="0" w:evenVBand="0" w:oddHBand="1" w:evenHBand="0" w:firstRowFirstColumn="0" w:firstRowLastColumn="0" w:lastRowFirstColumn="0" w:lastRowLastColumn="0"/>
              <w:rPr>
                <w:rFonts w:eastAsia="Calibri" w:cs="Arial"/>
                <w:color w:val="auto"/>
                <w:sz w:val="20"/>
                <w:szCs w:val="20"/>
              </w:rPr>
            </w:pPr>
            <w:r w:rsidRPr="00F973BA">
              <w:rPr>
                <w:rFonts w:eastAsia="Calibri" w:cs="Arial"/>
                <w:color w:val="auto"/>
                <w:sz w:val="20"/>
                <w:szCs w:val="20"/>
              </w:rPr>
              <w:t>200</w:t>
            </w:r>
          </w:p>
        </w:tc>
        <w:tc>
          <w:tcPr>
            <w:tcW w:w="763" w:type="pct"/>
            <w:tcBorders>
              <w:bottom w:val="dotted" w:sz="4" w:space="0" w:color="0C9FCD"/>
            </w:tcBorders>
            <w:shd w:val="clear" w:color="auto" w:fill="auto"/>
          </w:tcPr>
          <w:p w14:paraId="2222B2B9" w14:textId="77777777" w:rsidR="0081590B" w:rsidRPr="00F973BA" w:rsidRDefault="0081590B" w:rsidP="00F973BA">
            <w:pPr>
              <w:spacing w:before="60" w:after="60" w:line="276" w:lineRule="auto"/>
              <w:ind w:right="33"/>
              <w:jc w:val="right"/>
              <w:cnfStyle w:val="000000100000" w:firstRow="0" w:lastRow="0" w:firstColumn="0" w:lastColumn="0" w:oddVBand="0" w:evenVBand="0" w:oddHBand="1" w:evenHBand="0" w:firstRowFirstColumn="0" w:firstRowLastColumn="0" w:lastRowFirstColumn="0" w:lastRowLastColumn="0"/>
              <w:rPr>
                <w:rFonts w:eastAsia="Calibri" w:cs="Arial"/>
                <w:color w:val="auto"/>
                <w:sz w:val="20"/>
                <w:szCs w:val="20"/>
              </w:rPr>
            </w:pPr>
            <w:r w:rsidRPr="00F973BA">
              <w:rPr>
                <w:rFonts w:eastAsia="Calibri" w:cs="Arial"/>
                <w:color w:val="auto"/>
                <w:sz w:val="20"/>
                <w:szCs w:val="20"/>
              </w:rPr>
              <w:t>200</w:t>
            </w:r>
          </w:p>
        </w:tc>
      </w:tr>
      <w:tr w:rsidR="0081590B" w:rsidRPr="000D5CD5" w:rsidDel="00A40142" w14:paraId="769DE6E0" w14:textId="77777777" w:rsidTr="00FA1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gridSpan w:val="2"/>
            <w:tcBorders>
              <w:top w:val="dotted" w:sz="4" w:space="0" w:color="0C9FCD"/>
            </w:tcBorders>
            <w:shd w:val="clear" w:color="auto" w:fill="auto"/>
            <w:vAlign w:val="center"/>
          </w:tcPr>
          <w:p w14:paraId="346BA7E2" w14:textId="77777777" w:rsidR="0081590B" w:rsidRPr="00D44F2B" w:rsidDel="00A40142" w:rsidRDefault="0081590B" w:rsidP="00017CEA">
            <w:pPr>
              <w:spacing w:before="60" w:after="60" w:line="276" w:lineRule="auto"/>
              <w:rPr>
                <w:rFonts w:eastAsia="Calibri" w:cs="Arial"/>
                <w:b w:val="0"/>
                <w:color w:val="auto"/>
                <w:sz w:val="20"/>
                <w:szCs w:val="20"/>
              </w:rPr>
            </w:pPr>
            <w:r w:rsidRPr="00D44F2B">
              <w:rPr>
                <w:rFonts w:eastAsia="Calibri" w:cs="Arial"/>
                <w:b w:val="0"/>
                <w:color w:val="auto"/>
                <w:sz w:val="20"/>
                <w:szCs w:val="20"/>
              </w:rPr>
              <w:t>Facility threshold</w:t>
            </w:r>
          </w:p>
        </w:tc>
        <w:tc>
          <w:tcPr>
            <w:tcW w:w="295" w:type="pct"/>
            <w:tcBorders>
              <w:top w:val="dotted" w:sz="4" w:space="0" w:color="0C9FCD"/>
            </w:tcBorders>
            <w:vAlign w:val="center"/>
          </w:tcPr>
          <w:p w14:paraId="21144712" w14:textId="77777777" w:rsidR="0081590B" w:rsidRPr="00F973BA" w:rsidDel="00A40142" w:rsidRDefault="0081590B" w:rsidP="00017CEA">
            <w:pPr>
              <w:spacing w:before="60" w:after="60" w:line="276" w:lineRule="auto"/>
              <w:ind w:right="33"/>
              <w:jc w:val="center"/>
              <w:cnfStyle w:val="000000010000" w:firstRow="0" w:lastRow="0" w:firstColumn="0" w:lastColumn="0" w:oddVBand="0" w:evenVBand="0" w:oddHBand="0" w:evenHBand="1" w:firstRowFirstColumn="0" w:firstRowLastColumn="0" w:lastRowFirstColumn="0" w:lastRowLastColumn="0"/>
              <w:rPr>
                <w:rFonts w:eastAsia="Calibri" w:cs="Arial"/>
                <w:color w:val="auto"/>
                <w:sz w:val="20"/>
                <w:szCs w:val="20"/>
              </w:rPr>
            </w:pPr>
            <w:r w:rsidRPr="00F973BA">
              <w:rPr>
                <w:rFonts w:eastAsia="Calibri" w:cs="Arial"/>
                <w:color w:val="auto"/>
                <w:sz w:val="20"/>
                <w:szCs w:val="20"/>
              </w:rPr>
              <w:t>25</w:t>
            </w:r>
          </w:p>
        </w:tc>
        <w:tc>
          <w:tcPr>
            <w:tcW w:w="1155" w:type="pct"/>
            <w:tcBorders>
              <w:top w:val="dotted" w:sz="4" w:space="0" w:color="0C9FCD"/>
            </w:tcBorders>
            <w:shd w:val="clear" w:color="auto" w:fill="auto"/>
            <w:vAlign w:val="center"/>
          </w:tcPr>
          <w:p w14:paraId="21F73956" w14:textId="77777777" w:rsidR="0081590B" w:rsidRPr="00F973BA" w:rsidDel="00A40142" w:rsidRDefault="0081590B" w:rsidP="00F973BA">
            <w:pPr>
              <w:spacing w:before="60" w:after="60" w:line="276" w:lineRule="auto"/>
              <w:ind w:right="33"/>
              <w:jc w:val="right"/>
              <w:cnfStyle w:val="000000010000" w:firstRow="0" w:lastRow="0" w:firstColumn="0" w:lastColumn="0" w:oddVBand="0" w:evenVBand="0" w:oddHBand="0" w:evenHBand="1" w:firstRowFirstColumn="0" w:firstRowLastColumn="0" w:lastRowFirstColumn="0" w:lastRowLastColumn="0"/>
              <w:rPr>
                <w:rFonts w:eastAsia="Calibri" w:cs="Arial"/>
                <w:color w:val="auto"/>
                <w:sz w:val="20"/>
                <w:szCs w:val="20"/>
              </w:rPr>
            </w:pPr>
            <w:r w:rsidRPr="00F973BA" w:rsidDel="00A40142">
              <w:rPr>
                <w:rFonts w:eastAsia="Calibri" w:cs="Arial"/>
                <w:color w:val="auto"/>
                <w:sz w:val="20"/>
                <w:szCs w:val="20"/>
              </w:rPr>
              <w:t>100</w:t>
            </w:r>
          </w:p>
        </w:tc>
        <w:tc>
          <w:tcPr>
            <w:tcW w:w="763" w:type="pct"/>
            <w:tcBorders>
              <w:top w:val="dotted" w:sz="4" w:space="0" w:color="0C9FCD"/>
            </w:tcBorders>
          </w:tcPr>
          <w:p w14:paraId="245F49C6" w14:textId="77777777" w:rsidR="0081590B" w:rsidRPr="00F973BA" w:rsidRDefault="0081590B" w:rsidP="00F973BA">
            <w:pPr>
              <w:spacing w:before="60" w:after="60" w:line="276" w:lineRule="auto"/>
              <w:ind w:right="33"/>
              <w:jc w:val="right"/>
              <w:cnfStyle w:val="000000010000" w:firstRow="0" w:lastRow="0" w:firstColumn="0" w:lastColumn="0" w:oddVBand="0" w:evenVBand="0" w:oddHBand="0" w:evenHBand="1" w:firstRowFirstColumn="0" w:firstRowLastColumn="0" w:lastRowFirstColumn="0" w:lastRowLastColumn="0"/>
              <w:rPr>
                <w:rFonts w:eastAsia="Calibri" w:cs="Arial"/>
                <w:color w:val="auto"/>
                <w:sz w:val="20"/>
                <w:szCs w:val="20"/>
              </w:rPr>
            </w:pPr>
            <w:r w:rsidRPr="00F973BA">
              <w:rPr>
                <w:rFonts w:eastAsia="Calibri" w:cs="Arial"/>
                <w:color w:val="auto"/>
                <w:sz w:val="20"/>
                <w:szCs w:val="20"/>
              </w:rPr>
              <w:t>100</w:t>
            </w:r>
          </w:p>
        </w:tc>
      </w:tr>
    </w:tbl>
    <w:p w14:paraId="22AF1730" w14:textId="0CC487BB" w:rsidR="0081590B" w:rsidRPr="00E0204F" w:rsidRDefault="0081590B" w:rsidP="001D17FB">
      <w:pPr>
        <w:pStyle w:val="CCANotesource"/>
        <w:rPr>
          <w:b/>
        </w:rPr>
      </w:pPr>
      <w:r w:rsidRPr="00E0204F">
        <w:rPr>
          <w:b/>
        </w:rPr>
        <w:t>Note</w:t>
      </w:r>
      <w:r w:rsidRPr="00E0204F">
        <w:t>: To provide companies time to transition into the reporting scheme, the corporate group thresholds were gradually reduced from 125</w:t>
      </w:r>
      <w:r w:rsidR="009C220D">
        <w:t>,000</w:t>
      </w:r>
      <w:r w:rsidR="008B40B4">
        <w:t xml:space="preserve"> </w:t>
      </w:r>
      <w:r w:rsidR="00EA5BD0">
        <w:t xml:space="preserve">t </w:t>
      </w:r>
      <w:r w:rsidRPr="00E0204F">
        <w:t>CO</w:t>
      </w:r>
      <w:r w:rsidRPr="00DC0822">
        <w:rPr>
          <w:rFonts w:ascii="Cambria Math" w:hAnsi="Cambria Math" w:cs="Cambria Math"/>
        </w:rPr>
        <w:t>₂</w:t>
      </w:r>
      <w:r w:rsidRPr="00E0204F">
        <w:t xml:space="preserve">-e and 500 </w:t>
      </w:r>
      <w:r w:rsidR="000A5B37">
        <w:t>terajoules</w:t>
      </w:r>
      <w:r w:rsidRPr="00E0204F">
        <w:t xml:space="preserve"> in 2008</w:t>
      </w:r>
      <w:r w:rsidR="00257EA3">
        <w:t>–</w:t>
      </w:r>
      <w:r w:rsidRPr="00E0204F">
        <w:t>09 to current threshold levels in 2010</w:t>
      </w:r>
      <w:r w:rsidR="00257EA3">
        <w:t>–</w:t>
      </w:r>
      <w:r w:rsidRPr="00E0204F">
        <w:t>11.</w:t>
      </w:r>
      <w:r w:rsidR="0071430A">
        <w:br/>
      </w:r>
      <w:r w:rsidRPr="00E0204F">
        <w:rPr>
          <w:b/>
        </w:rPr>
        <w:t>Source</w:t>
      </w:r>
      <w:r w:rsidRPr="00E0204F">
        <w:t xml:space="preserve">: </w:t>
      </w:r>
      <w:r w:rsidR="00137926" w:rsidRPr="00B15B2C">
        <w:rPr>
          <w:i/>
        </w:rPr>
        <w:t>National Greenhouse and Energy Reporting Act</w:t>
      </w:r>
      <w:r w:rsidR="00137926">
        <w:rPr>
          <w:i/>
        </w:rPr>
        <w:t xml:space="preserve"> 2007</w:t>
      </w:r>
      <w:r w:rsidR="00137926" w:rsidRPr="00B15B2C">
        <w:rPr>
          <w:i/>
        </w:rPr>
        <w:t xml:space="preserve"> </w:t>
      </w:r>
      <w:r w:rsidR="00137926" w:rsidRPr="004E405A">
        <w:t>(Cth)</w:t>
      </w:r>
    </w:p>
    <w:p w14:paraId="32195100" w14:textId="77777777" w:rsidR="0081590B" w:rsidRPr="000D5CD5" w:rsidRDefault="00184249" w:rsidP="00605160">
      <w:pPr>
        <w:pStyle w:val="CCABodytext"/>
        <w:rPr>
          <w:rFonts w:eastAsia="Calibri" w:cs="Times New Roman"/>
        </w:rPr>
      </w:pPr>
      <w:r>
        <w:t>Companies</w:t>
      </w:r>
      <w:r w:rsidR="007A0AF7">
        <w:t xml:space="preserve"> are required to report at the facility level</w:t>
      </w:r>
      <w:r w:rsidR="0081590B" w:rsidRPr="000D5CD5">
        <w:t xml:space="preserve">. Facilities are defined as an activity or series of activities that generate greenhouse gas emissions or produce or </w:t>
      </w:r>
      <w:r w:rsidR="0081590B" w:rsidRPr="000D5CD5">
        <w:rPr>
          <w:rFonts w:eastAsia="Calibri" w:cs="Times New Roman"/>
        </w:rPr>
        <w:t>use energy and form a single enterprise. Examples of facilities include factories, electricity generators, manufacturing plants, landfill and construction sites,</w:t>
      </w:r>
      <w:r w:rsidR="0081590B" w:rsidRPr="000D5CD5" w:rsidDel="00831E26">
        <w:rPr>
          <w:rFonts w:eastAsia="Calibri" w:cs="Times New Roman"/>
        </w:rPr>
        <w:t xml:space="preserve"> </w:t>
      </w:r>
      <w:r w:rsidR="0081590B" w:rsidRPr="000D5CD5">
        <w:rPr>
          <w:rFonts w:eastAsia="Calibri" w:cs="Times New Roman"/>
        </w:rPr>
        <w:t>retail outlets</w:t>
      </w:r>
      <w:r w:rsidR="00831E26">
        <w:rPr>
          <w:rFonts w:eastAsia="Calibri" w:cs="Times New Roman"/>
        </w:rPr>
        <w:t xml:space="preserve"> and tr</w:t>
      </w:r>
      <w:r w:rsidR="000A5B37">
        <w:rPr>
          <w:rFonts w:eastAsia="Calibri" w:cs="Times New Roman"/>
        </w:rPr>
        <w:t>ansport</w:t>
      </w:r>
      <w:r w:rsidR="00831E26">
        <w:rPr>
          <w:rFonts w:eastAsia="Calibri" w:cs="Times New Roman"/>
        </w:rPr>
        <w:t xml:space="preserve"> companies</w:t>
      </w:r>
      <w:r w:rsidR="0081590B" w:rsidRPr="000D5CD5">
        <w:rPr>
          <w:rFonts w:eastAsia="Calibri" w:cs="Times New Roman"/>
        </w:rPr>
        <w:t>. Activities that constitute a single facility may not be on the same physical site</w:t>
      </w:r>
      <w:r w:rsidR="00475DDB">
        <w:rPr>
          <w:rFonts w:eastAsia="Calibri" w:cs="Times New Roman"/>
        </w:rPr>
        <w:t>;</w:t>
      </w:r>
      <w:r w:rsidR="0081590B" w:rsidRPr="000D5CD5">
        <w:rPr>
          <w:rFonts w:eastAsia="Calibri" w:cs="Times New Roman"/>
        </w:rPr>
        <w:t xml:space="preserve"> for example, </w:t>
      </w:r>
      <w:r w:rsidR="00711B3D">
        <w:rPr>
          <w:rFonts w:eastAsia="Calibri" w:cs="Times New Roman"/>
        </w:rPr>
        <w:t>transport operations</w:t>
      </w:r>
      <w:r w:rsidR="0081590B" w:rsidRPr="000D5CD5">
        <w:rPr>
          <w:rFonts w:eastAsia="Calibri" w:cs="Times New Roman"/>
        </w:rPr>
        <w:t xml:space="preserve">. </w:t>
      </w:r>
    </w:p>
    <w:p w14:paraId="10452832" w14:textId="77777777" w:rsidR="0081590B" w:rsidRPr="000D5CD5" w:rsidRDefault="0081590B" w:rsidP="00605160">
      <w:pPr>
        <w:pStyle w:val="CCABodytext"/>
        <w:rPr>
          <w:rFonts w:eastAsia="Calibri" w:cs="Times New Roman"/>
        </w:rPr>
      </w:pPr>
      <w:r w:rsidRPr="000D5CD5">
        <w:t>Reporters or ‘controlling corporations’ are generally the companies (at the head of the corporate group) that have operational control over one or more facilities that meet the threshold</w:t>
      </w:r>
      <w:r w:rsidR="00605160">
        <w:t>s</w:t>
      </w:r>
      <w:r w:rsidRPr="000D5CD5">
        <w:t xml:space="preserve">. Operational control refers to the ability to introduce and implement operating, health and safety or environmental policies at a facility. </w:t>
      </w:r>
    </w:p>
    <w:p w14:paraId="4823CCAC" w14:textId="77777777" w:rsidR="0081590B" w:rsidRPr="000D5CD5" w:rsidRDefault="0081590B" w:rsidP="00605160">
      <w:pPr>
        <w:pStyle w:val="CCABodytext"/>
        <w:rPr>
          <w:rFonts w:eastAsia="Calibri" w:cs="Times New Roman"/>
        </w:rPr>
      </w:pPr>
      <w:r w:rsidRPr="000D5CD5">
        <w:t xml:space="preserve">If the corporate group threshold is met, data on all facilities (even if they individually do not meet the facility threshold) must be reported. If the facility threshold is met but the corporate group threshold is not, only </w:t>
      </w:r>
      <w:r w:rsidR="006613EC">
        <w:t xml:space="preserve">data for </w:t>
      </w:r>
      <w:r w:rsidRPr="000D5CD5">
        <w:t xml:space="preserve">facilities that meet the threshold need to be reported. </w:t>
      </w:r>
    </w:p>
    <w:p w14:paraId="206FB967" w14:textId="77777777" w:rsidR="0081590B" w:rsidRPr="000D5CD5" w:rsidRDefault="0081590B" w:rsidP="00605160">
      <w:pPr>
        <w:pStyle w:val="CCABodytext"/>
        <w:rPr>
          <w:rFonts w:eastAsia="Calibri" w:cs="Times New Roman"/>
        </w:rPr>
      </w:pPr>
      <w:r w:rsidRPr="000D5CD5">
        <w:t xml:space="preserve">Companies must register with the Regulator by 31 August following the financial year in which they first meet a reporting threshold. For example, if a company exceeded a threshold for the first time in </w:t>
      </w:r>
      <w:r w:rsidR="002D07B8">
        <w:t xml:space="preserve">     </w:t>
      </w:r>
      <w:r w:rsidRPr="000C0CDD">
        <w:t>2017</w:t>
      </w:r>
      <w:r w:rsidR="00257EA3" w:rsidRPr="000C0CDD">
        <w:t>–</w:t>
      </w:r>
      <w:r w:rsidRPr="000C0CDD">
        <w:t>18</w:t>
      </w:r>
      <w:r w:rsidRPr="000D5CD5">
        <w:t>, they must register by 31 August 2018 (</w:t>
      </w:r>
      <w:r w:rsidR="002566CB">
        <w:t>CER 2016</w:t>
      </w:r>
      <w:r w:rsidR="009D0EB8">
        <w:t>a</w:t>
      </w:r>
      <w:r w:rsidRPr="000D5CD5">
        <w:t xml:space="preserve">). </w:t>
      </w:r>
    </w:p>
    <w:p w14:paraId="792872DD" w14:textId="77777777" w:rsidR="0081590B" w:rsidRPr="004234D6" w:rsidRDefault="0081590B" w:rsidP="00605160">
      <w:pPr>
        <w:pStyle w:val="CCABodytext"/>
        <w:rPr>
          <w:rFonts w:eastAsia="Calibri" w:cs="Times New Roman"/>
        </w:rPr>
      </w:pPr>
      <w:r w:rsidRPr="000D5CD5">
        <w:lastRenderedPageBreak/>
        <w:t xml:space="preserve">A company can apply to be de-registered if they expect to be below the threshold for three years in a row. In certain circumstances, a company can transfer responsibility for reporting to another </w:t>
      </w:r>
      <w:r w:rsidR="00220BC2">
        <w:t xml:space="preserve">company </w:t>
      </w:r>
      <w:r w:rsidR="00C471ED">
        <w:rPr>
          <w:rFonts w:eastAsia="Calibri" w:cs="Times New Roman"/>
        </w:rPr>
        <w:t>—</w:t>
      </w:r>
      <w:r w:rsidR="004234D6">
        <w:rPr>
          <w:rFonts w:eastAsia="Calibri" w:cs="Times New Roman"/>
        </w:rPr>
        <w:t xml:space="preserve">who must also register. </w:t>
      </w:r>
    </w:p>
    <w:p w14:paraId="1FCB8F4F" w14:textId="77777777" w:rsidR="00FA7322" w:rsidRPr="00FA7322" w:rsidRDefault="00ED34CB" w:rsidP="00C813C5">
      <w:pPr>
        <w:pStyle w:val="CCAHeading3"/>
      </w:pPr>
      <w:r>
        <w:t>W</w:t>
      </w:r>
      <w:r w:rsidRPr="00FA7322">
        <w:t xml:space="preserve">hat </w:t>
      </w:r>
      <w:r>
        <w:t>and how to report</w:t>
      </w:r>
    </w:p>
    <w:p w14:paraId="5F458976" w14:textId="77777777" w:rsidR="00ED7BD5" w:rsidRDefault="00FA7322" w:rsidP="00FA7322">
      <w:pPr>
        <w:pStyle w:val="CCABodytext"/>
        <w:rPr>
          <w:lang w:eastAsia="en-AU"/>
        </w:rPr>
      </w:pPr>
      <w:r w:rsidRPr="00FA7322">
        <w:rPr>
          <w:lang w:eastAsia="en-AU"/>
        </w:rPr>
        <w:t xml:space="preserve">The National Greenhouse and Energy Reporting measurement determination details how companies must measure their emissions and energy data. The measurement methods used in the determination </w:t>
      </w:r>
      <w:r w:rsidR="00831E26" w:rsidRPr="00FA7322">
        <w:rPr>
          <w:lang w:eastAsia="en-AU"/>
        </w:rPr>
        <w:t xml:space="preserve">underpin the integrity of the data </w:t>
      </w:r>
      <w:r w:rsidR="00831E26">
        <w:rPr>
          <w:lang w:eastAsia="en-AU"/>
        </w:rPr>
        <w:t xml:space="preserve">collected and </w:t>
      </w:r>
      <w:r w:rsidRPr="00FA7322">
        <w:rPr>
          <w:lang w:eastAsia="en-AU"/>
        </w:rPr>
        <w:t xml:space="preserve">are based on those used for </w:t>
      </w:r>
      <w:r w:rsidR="00460210">
        <w:rPr>
          <w:lang w:eastAsia="en-AU"/>
        </w:rPr>
        <w:t>international reporting of energy and emissions</w:t>
      </w:r>
      <w:r w:rsidR="00ED34CB">
        <w:rPr>
          <w:lang w:eastAsia="en-AU"/>
        </w:rPr>
        <w:t>. F</w:t>
      </w:r>
      <w:r w:rsidR="00460210">
        <w:rPr>
          <w:lang w:eastAsia="en-AU"/>
        </w:rPr>
        <w:t xml:space="preserve">or example, </w:t>
      </w:r>
      <w:r w:rsidR="00ED34CB">
        <w:rPr>
          <w:lang w:eastAsia="en-AU"/>
        </w:rPr>
        <w:t xml:space="preserve">they are consistent with </w:t>
      </w:r>
      <w:r w:rsidR="00460210">
        <w:rPr>
          <w:lang w:eastAsia="en-AU"/>
        </w:rPr>
        <w:t xml:space="preserve">the methods used to report energy production and consumption to the International Energy Agency and to develop </w:t>
      </w:r>
      <w:r w:rsidR="00ED34CB">
        <w:rPr>
          <w:lang w:eastAsia="en-AU"/>
        </w:rPr>
        <w:t xml:space="preserve">Australia’s </w:t>
      </w:r>
      <w:r w:rsidRPr="00FA7322">
        <w:rPr>
          <w:lang w:eastAsia="en-AU"/>
        </w:rPr>
        <w:t xml:space="preserve">national </w:t>
      </w:r>
      <w:r w:rsidR="00831E26">
        <w:rPr>
          <w:lang w:eastAsia="en-AU"/>
        </w:rPr>
        <w:t xml:space="preserve">greenhouse gas </w:t>
      </w:r>
      <w:r w:rsidRPr="00FA7322">
        <w:rPr>
          <w:lang w:eastAsia="en-AU"/>
        </w:rPr>
        <w:t>inventory</w:t>
      </w:r>
      <w:r w:rsidR="00BB0C28">
        <w:rPr>
          <w:lang w:eastAsia="en-AU"/>
        </w:rPr>
        <w:t xml:space="preserve"> submitted to the United Nations Framework Convention on Climate Change</w:t>
      </w:r>
      <w:r w:rsidR="00460210">
        <w:rPr>
          <w:lang w:eastAsia="en-AU"/>
        </w:rPr>
        <w:t>.</w:t>
      </w:r>
    </w:p>
    <w:p w14:paraId="09B763D0" w14:textId="77777777" w:rsidR="00B94FE8" w:rsidRDefault="00B94FE8" w:rsidP="00FA7322">
      <w:pPr>
        <w:pStyle w:val="CCABodytext"/>
        <w:rPr>
          <w:lang w:eastAsia="en-AU"/>
        </w:rPr>
      </w:pPr>
      <w:r w:rsidRPr="00D717A1">
        <w:t xml:space="preserve">The measurement determination provides reporters with flexibility in how they measure emissions and energy. This approach allows companies to use simplified generic emissions factors. The </w:t>
      </w:r>
      <w:r w:rsidR="00A45886">
        <w:t xml:space="preserve">National Greenhouse and Energy Reporting Regulations </w:t>
      </w:r>
      <w:r w:rsidRPr="00D717A1">
        <w:t xml:space="preserve">also includes provisions for </w:t>
      </w:r>
      <w:r w:rsidRPr="0097743C">
        <w:t xml:space="preserve">simplified reporting for small facilities or incidental emissions and energy. These provisions aim to reduce the reporting burden where it will not materially affect the quality of the data. </w:t>
      </w:r>
    </w:p>
    <w:p w14:paraId="5B7CE446" w14:textId="77777777" w:rsidR="00ED7BD5" w:rsidRPr="00FC2EA3" w:rsidRDefault="00ED7BD5" w:rsidP="00354794">
      <w:pPr>
        <w:pStyle w:val="CCAHeading4"/>
      </w:pPr>
      <w:r w:rsidRPr="00FC2EA3">
        <w:t>Types of energy</w:t>
      </w:r>
      <w:r>
        <w:t xml:space="preserve"> production and use</w:t>
      </w:r>
    </w:p>
    <w:p w14:paraId="614E36BB" w14:textId="77777777" w:rsidR="00FA7322" w:rsidRPr="00FA7322" w:rsidRDefault="00ED34CB" w:rsidP="00FA7322">
      <w:pPr>
        <w:pStyle w:val="CCABodytext"/>
        <w:rPr>
          <w:lang w:eastAsia="en-AU"/>
        </w:rPr>
      </w:pPr>
      <w:r>
        <w:rPr>
          <w:rFonts w:eastAsia="Calibri" w:cs="Times New Roman"/>
        </w:rPr>
        <w:t>T</w:t>
      </w:r>
      <w:r w:rsidR="00ED7BD5" w:rsidRPr="000D5CD5">
        <w:rPr>
          <w:rFonts w:eastAsia="Calibri" w:cs="Times New Roman"/>
        </w:rPr>
        <w:t xml:space="preserve">he production and use of various fuels and energy commodities </w:t>
      </w:r>
      <w:r>
        <w:rPr>
          <w:rFonts w:eastAsia="Calibri" w:cs="Times New Roman"/>
        </w:rPr>
        <w:t xml:space="preserve">must be reported </w:t>
      </w:r>
      <w:r w:rsidR="006613EC">
        <w:rPr>
          <w:rFonts w:eastAsia="Calibri" w:cs="Times New Roman"/>
        </w:rPr>
        <w:t xml:space="preserve">under the </w:t>
      </w:r>
      <w:r w:rsidR="00F973BA">
        <w:rPr>
          <w:rFonts w:eastAsia="Calibri" w:cs="Times New Roman"/>
        </w:rPr>
        <w:t>scheme</w:t>
      </w:r>
      <w:r w:rsidR="006613EC">
        <w:rPr>
          <w:rFonts w:eastAsia="Calibri" w:cs="Times New Roman"/>
        </w:rPr>
        <w:t xml:space="preserve"> </w:t>
      </w:r>
      <w:r w:rsidR="00ED7BD5" w:rsidRPr="000D5CD5">
        <w:rPr>
          <w:rFonts w:eastAsia="Calibri" w:cs="Times New Roman"/>
        </w:rPr>
        <w:t xml:space="preserve">including coal, petroleum, gas and biofuel. </w:t>
      </w:r>
      <w:r>
        <w:rPr>
          <w:rFonts w:eastAsia="Calibri" w:cs="Times New Roman"/>
        </w:rPr>
        <w:t>S</w:t>
      </w:r>
      <w:r w:rsidR="00ED7BD5" w:rsidRPr="000D5CD5">
        <w:rPr>
          <w:rFonts w:eastAsia="Calibri" w:cs="Times New Roman"/>
        </w:rPr>
        <w:t>ources of energy for electricity generation such as wind and solar</w:t>
      </w:r>
      <w:r>
        <w:rPr>
          <w:rFonts w:eastAsia="Calibri" w:cs="Times New Roman"/>
        </w:rPr>
        <w:t xml:space="preserve"> must also be reported</w:t>
      </w:r>
      <w:r w:rsidR="00ED7BD5" w:rsidRPr="000D5CD5">
        <w:rPr>
          <w:rFonts w:eastAsia="Calibri" w:cs="Times New Roman"/>
        </w:rPr>
        <w:t xml:space="preserve">. For example, if a coal-fired power plant uses coal to produce electricity it must report the coal used as </w:t>
      </w:r>
      <w:r>
        <w:rPr>
          <w:rFonts w:eastAsia="Calibri" w:cs="Times New Roman"/>
        </w:rPr>
        <w:t xml:space="preserve">an </w:t>
      </w:r>
      <w:r w:rsidR="00ED7BD5" w:rsidRPr="000D5CD5">
        <w:rPr>
          <w:rFonts w:eastAsia="Calibri" w:cs="Times New Roman"/>
        </w:rPr>
        <w:t xml:space="preserve">energy </w:t>
      </w:r>
      <w:r>
        <w:rPr>
          <w:rFonts w:eastAsia="Calibri" w:cs="Times New Roman"/>
        </w:rPr>
        <w:t>source</w:t>
      </w:r>
      <w:r w:rsidR="00ED7BD5" w:rsidRPr="000D5CD5">
        <w:rPr>
          <w:rFonts w:eastAsia="Calibri" w:cs="Times New Roman"/>
        </w:rPr>
        <w:t xml:space="preserve"> and the electricity g</w:t>
      </w:r>
      <w:r w:rsidR="00ED7BD5">
        <w:rPr>
          <w:rFonts w:eastAsia="Calibri" w:cs="Times New Roman"/>
        </w:rPr>
        <w:t xml:space="preserve">enerated as energy production. </w:t>
      </w:r>
      <w:r w:rsidR="00434427" w:rsidRPr="00CF3F86">
        <w:t>The reporting scheme covers</w:t>
      </w:r>
      <w:r w:rsidR="00FC11AF">
        <w:t xml:space="preserve"> most</w:t>
      </w:r>
      <w:r w:rsidR="00434427" w:rsidRPr="00CF3F86">
        <w:t xml:space="preserve"> of Australia’s energy production and consumption.</w:t>
      </w:r>
    </w:p>
    <w:p w14:paraId="109693F4" w14:textId="77777777" w:rsidR="00C72AB6" w:rsidRDefault="009613B7" w:rsidP="00C72AB6">
      <w:pPr>
        <w:pStyle w:val="CCABodytext"/>
        <w:rPr>
          <w:rStyle w:val="CCABodytextChar"/>
          <w:color w:val="auto"/>
        </w:rPr>
      </w:pPr>
      <w:r>
        <w:rPr>
          <w:rStyle w:val="CCABodytextChar"/>
          <w:color w:val="auto"/>
        </w:rPr>
        <w:fldChar w:fldCharType="begin"/>
      </w:r>
      <w:r>
        <w:rPr>
          <w:rStyle w:val="CCABodytextChar"/>
          <w:color w:val="auto"/>
        </w:rPr>
        <w:instrText xml:space="preserve"> REF _Ref529391298 \r \h </w:instrText>
      </w:r>
      <w:r>
        <w:rPr>
          <w:rStyle w:val="CCABodytextChar"/>
          <w:color w:val="auto"/>
        </w:rPr>
      </w:r>
      <w:r>
        <w:rPr>
          <w:rStyle w:val="CCABodytextChar"/>
          <w:color w:val="auto"/>
        </w:rPr>
        <w:fldChar w:fldCharType="separate"/>
      </w:r>
      <w:r w:rsidR="009A203A">
        <w:rPr>
          <w:rStyle w:val="CCABodytextChar"/>
          <w:color w:val="auto"/>
        </w:rPr>
        <w:t>Figure 4</w:t>
      </w:r>
      <w:r>
        <w:rPr>
          <w:rStyle w:val="CCABodytextChar"/>
          <w:color w:val="auto"/>
        </w:rPr>
        <w:fldChar w:fldCharType="end"/>
      </w:r>
      <w:r w:rsidR="00F70EC7">
        <w:rPr>
          <w:rStyle w:val="CCABodytextChar"/>
          <w:color w:val="auto"/>
        </w:rPr>
        <w:t xml:space="preserve"> shows the </w:t>
      </w:r>
      <w:r w:rsidR="00BE06D8">
        <w:rPr>
          <w:rStyle w:val="CCABodytextChar"/>
          <w:color w:val="auto"/>
        </w:rPr>
        <w:t xml:space="preserve">net </w:t>
      </w:r>
      <w:r w:rsidR="00F70EC7">
        <w:rPr>
          <w:rStyle w:val="CCABodytextChar"/>
          <w:color w:val="auto"/>
        </w:rPr>
        <w:t xml:space="preserve">energy consumption reported under the scheme by sector. </w:t>
      </w:r>
    </w:p>
    <w:p w14:paraId="7BB6C051" w14:textId="77777777" w:rsidR="00C72AB6" w:rsidRPr="00246502" w:rsidDel="00C72AB6" w:rsidRDefault="00F70EC7" w:rsidP="00532BE2">
      <w:pPr>
        <w:pStyle w:val="CCAFigureHeader"/>
        <w:rPr>
          <w:rStyle w:val="CCABodytextChar"/>
          <w:color w:val="159DCE"/>
          <w:sz w:val="22"/>
          <w:szCs w:val="22"/>
        </w:rPr>
      </w:pPr>
      <w:bookmarkStart w:id="252" w:name="_Ref529391298"/>
      <w:bookmarkStart w:id="253" w:name="_Toc531095524"/>
      <w:bookmarkStart w:id="254" w:name="_Toc531099290"/>
      <w:bookmarkStart w:id="255" w:name="_Toc531101699"/>
      <w:bookmarkStart w:id="256" w:name="_Toc531764132"/>
      <w:bookmarkStart w:id="257" w:name="_Toc532912057"/>
      <w:bookmarkStart w:id="258" w:name="_Toc532914026"/>
      <w:r w:rsidRPr="00246502">
        <w:rPr>
          <w:rStyle w:val="CCABodytextChar"/>
          <w:color w:val="159DCE"/>
          <w:sz w:val="22"/>
          <w:szCs w:val="22"/>
        </w:rPr>
        <w:lastRenderedPageBreak/>
        <w:t xml:space="preserve">Reported </w:t>
      </w:r>
      <w:r w:rsidR="00B603DA" w:rsidRPr="00246502">
        <w:rPr>
          <w:rStyle w:val="CCABodytextChar"/>
          <w:color w:val="159DCE"/>
          <w:sz w:val="22"/>
          <w:szCs w:val="22"/>
        </w:rPr>
        <w:t xml:space="preserve">net </w:t>
      </w:r>
      <w:r w:rsidRPr="00246502">
        <w:rPr>
          <w:rStyle w:val="CCABodytextChar"/>
          <w:color w:val="159DCE"/>
          <w:sz w:val="22"/>
          <w:szCs w:val="22"/>
        </w:rPr>
        <w:t>energy consumption by sector, 2016</w:t>
      </w:r>
      <w:r w:rsidR="00257EA3">
        <w:rPr>
          <w:rStyle w:val="CCABodytextChar"/>
          <w:color w:val="159DCE"/>
          <w:sz w:val="22"/>
          <w:szCs w:val="22"/>
        </w:rPr>
        <w:t>–</w:t>
      </w:r>
      <w:r w:rsidRPr="00246502">
        <w:rPr>
          <w:rStyle w:val="CCABodytextChar"/>
          <w:color w:val="159DCE"/>
          <w:sz w:val="22"/>
          <w:szCs w:val="22"/>
        </w:rPr>
        <w:t>17</w:t>
      </w:r>
      <w:bookmarkEnd w:id="252"/>
      <w:bookmarkEnd w:id="253"/>
      <w:bookmarkEnd w:id="254"/>
      <w:bookmarkEnd w:id="255"/>
      <w:bookmarkEnd w:id="256"/>
      <w:bookmarkEnd w:id="257"/>
      <w:bookmarkEnd w:id="258"/>
    </w:p>
    <w:p w14:paraId="2CFCEAF9" w14:textId="77777777" w:rsidR="00F70EC7" w:rsidRDefault="00F60456" w:rsidP="00246502">
      <w:pPr>
        <w:pStyle w:val="CCAFigure"/>
      </w:pPr>
      <w:r>
        <w:drawing>
          <wp:inline distT="0" distB="0" distL="0" distR="0" wp14:anchorId="59E09307" wp14:editId="15972F9B">
            <wp:extent cx="5407660" cy="3145790"/>
            <wp:effectExtent l="0" t="0" r="2540" b="0"/>
            <wp:docPr id="16" name="Picture 16" descr="Figure 4 is a column chart, which shows the reported net energy consumption by sector in 2016-17. The sectors are on the x-axis and net energy consumption in petajoules is on the y-axis. From largest to smallest, the reported net energy consumption by sector in 2016-17 was 1530 petajoules in the electricity, gas and water supply sector, 1129 petajoules in the mining sector, 1075 petajoules in the manufacturing sector, 267 petajoules in the transport sector, 88 petajoules in the services sector, 11 petjoules in the construction sector and 6 petajoules in the agriculture sector." title="Reported net energy consumption by sector,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7660" cy="3145790"/>
                    </a:xfrm>
                    <a:prstGeom prst="rect">
                      <a:avLst/>
                    </a:prstGeom>
                    <a:noFill/>
                  </pic:spPr>
                </pic:pic>
              </a:graphicData>
            </a:graphic>
          </wp:inline>
        </w:drawing>
      </w:r>
    </w:p>
    <w:p w14:paraId="7DCF1C8F" w14:textId="77777777" w:rsidR="00EA5BD0" w:rsidRPr="00FA1E8C" w:rsidRDefault="00EA5BD0" w:rsidP="00FA1E8C">
      <w:pPr>
        <w:pStyle w:val="CCANotesource"/>
        <w:rPr>
          <w:b/>
        </w:rPr>
      </w:pPr>
      <w:r w:rsidRPr="00FA1E8C">
        <w:rPr>
          <w:b/>
        </w:rPr>
        <w:t>Source:</w:t>
      </w:r>
      <w:r>
        <w:rPr>
          <w:b/>
        </w:rPr>
        <w:t xml:space="preserve"> </w:t>
      </w:r>
      <w:r w:rsidR="00F60456" w:rsidRPr="00F60456">
        <w:t>CER 2018</w:t>
      </w:r>
      <w:r w:rsidR="009D0EB8">
        <w:t>c</w:t>
      </w:r>
    </w:p>
    <w:p w14:paraId="0D878C71" w14:textId="77777777" w:rsidR="00981855" w:rsidRPr="000D5CD5" w:rsidRDefault="00981855" w:rsidP="00354794">
      <w:pPr>
        <w:pStyle w:val="CCAHeading4"/>
      </w:pPr>
      <w:r>
        <w:t>Types of emissions</w:t>
      </w:r>
    </w:p>
    <w:p w14:paraId="24239382" w14:textId="77777777" w:rsidR="00C637F3" w:rsidRDefault="000D5CD5" w:rsidP="00025615">
      <w:pPr>
        <w:pStyle w:val="CCABodytext"/>
        <w:rPr>
          <w:rFonts w:eastAsia="Calibri" w:cs="Times New Roman"/>
        </w:rPr>
      </w:pPr>
      <w:r w:rsidRPr="000D5CD5">
        <w:t xml:space="preserve">Companies </w:t>
      </w:r>
      <w:r w:rsidR="005404F8">
        <w:t>that meet the reporting threshold</w:t>
      </w:r>
      <w:r w:rsidR="005404F8" w:rsidRPr="000D5CD5">
        <w:t xml:space="preserve"> </w:t>
      </w:r>
      <w:r w:rsidRPr="000D5CD5">
        <w:t>are required to report their emissions of carbon dioxide, methane, nitrous oxide, sulphur hexafluoride, and certain hydrofluorocarbons and perfluorocarbons. This broadly aligns with the gases currently covered under the Kyoto Protocol of the United Nations Framewor</w:t>
      </w:r>
      <w:r w:rsidR="00ED34CB">
        <w:t xml:space="preserve">k Convention on Climate Change </w:t>
      </w:r>
      <w:r w:rsidRPr="000D5CD5">
        <w:t>and those reported in Australia’s greenhouse gas inventory. Companies</w:t>
      </w:r>
      <w:r w:rsidR="005404F8">
        <w:t xml:space="preserve"> </w:t>
      </w:r>
      <w:r w:rsidRPr="000D5CD5">
        <w:t>must report their direct (or scope 1) emissions</w:t>
      </w:r>
      <w:r w:rsidR="00460210">
        <w:t>. These are emissions</w:t>
      </w:r>
      <w:r w:rsidRPr="000D5CD5">
        <w:t xml:space="preserve"> released as a direct result of an activity at their facility. For example, </w:t>
      </w:r>
      <w:r w:rsidR="00460210">
        <w:t xml:space="preserve">a coal-fired electricity generator </w:t>
      </w:r>
      <w:r w:rsidRPr="000D5CD5">
        <w:t>releas</w:t>
      </w:r>
      <w:r w:rsidR="00460210">
        <w:t>es</w:t>
      </w:r>
      <w:r w:rsidRPr="000D5CD5">
        <w:t xml:space="preserve"> emissions by burning fossil fuels to produce energy</w:t>
      </w:r>
      <w:r w:rsidR="004F3D35">
        <w:t>;</w:t>
      </w:r>
      <w:r w:rsidRPr="000D5CD5">
        <w:t xml:space="preserve"> or </w:t>
      </w:r>
      <w:r w:rsidR="00460210">
        <w:t xml:space="preserve">a </w:t>
      </w:r>
      <w:r w:rsidR="0035180D">
        <w:t>chemical</w:t>
      </w:r>
      <w:r w:rsidR="00460210">
        <w:t xml:space="preserve"> producer </w:t>
      </w:r>
      <w:r w:rsidR="00ED34CB">
        <w:t>releases</w:t>
      </w:r>
      <w:r w:rsidRPr="000D5CD5">
        <w:t xml:space="preserve"> emissions </w:t>
      </w:r>
      <w:r w:rsidR="0035180D">
        <w:t>as a by-product of producing nitric acid</w:t>
      </w:r>
      <w:r w:rsidRPr="000D5CD5">
        <w:t xml:space="preserve">. They must also report indirect (or scope 2) emissions from the use of </w:t>
      </w:r>
      <w:r w:rsidR="004E4D36">
        <w:t xml:space="preserve">purchased </w:t>
      </w:r>
      <w:r w:rsidRPr="000D5CD5">
        <w:t xml:space="preserve">electricity. For example, a large </w:t>
      </w:r>
      <w:r w:rsidR="005404F8">
        <w:t>supermarket</w:t>
      </w:r>
      <w:r w:rsidR="005404F8" w:rsidRPr="000D5CD5">
        <w:t xml:space="preserve"> </w:t>
      </w:r>
      <w:r w:rsidRPr="000D5CD5">
        <w:t>using electricity from the grid for lighting, heating or cooling must report the associated emissions (</w:t>
      </w:r>
      <w:r w:rsidR="0086475F">
        <w:fldChar w:fldCharType="begin"/>
      </w:r>
      <w:r w:rsidR="0086475F">
        <w:instrText xml:space="preserve"> REF _Ref529391317 \r \h </w:instrText>
      </w:r>
      <w:r w:rsidR="0086475F">
        <w:fldChar w:fldCharType="separate"/>
      </w:r>
      <w:r w:rsidR="009A203A">
        <w:t>Figure 5</w:t>
      </w:r>
      <w:r w:rsidR="0086475F">
        <w:fldChar w:fldCharType="end"/>
      </w:r>
      <w:r w:rsidRPr="000D5CD5">
        <w:rPr>
          <w:rFonts w:eastAsia="Calibri" w:cs="Times New Roman"/>
        </w:rPr>
        <w:t>).</w:t>
      </w:r>
      <w:r w:rsidR="00151162">
        <w:rPr>
          <w:rFonts w:eastAsia="Calibri" w:cs="Times New Roman"/>
        </w:rPr>
        <w:t xml:space="preserve"> </w:t>
      </w:r>
    </w:p>
    <w:p w14:paraId="03DEAE82" w14:textId="77777777" w:rsidR="00C637F3" w:rsidRDefault="00C637F3">
      <w:pPr>
        <w:spacing w:after="200" w:line="276" w:lineRule="auto"/>
        <w:rPr>
          <w:rFonts w:eastAsia="Calibri" w:cs="Times New Roman"/>
          <w:color w:val="auto"/>
          <w:sz w:val="21"/>
          <w:szCs w:val="21"/>
        </w:rPr>
      </w:pPr>
      <w:r>
        <w:rPr>
          <w:rFonts w:eastAsia="Calibri" w:cs="Times New Roman"/>
        </w:rPr>
        <w:br w:type="page"/>
      </w:r>
    </w:p>
    <w:p w14:paraId="10D96142" w14:textId="77777777" w:rsidR="000D5CD5" w:rsidRDefault="000D5CD5" w:rsidP="00532BE2">
      <w:pPr>
        <w:pStyle w:val="CCAFigureHeader"/>
      </w:pPr>
      <w:bookmarkStart w:id="259" w:name="_Toc519166207"/>
      <w:bookmarkStart w:id="260" w:name="_Toc519240574"/>
      <w:bookmarkStart w:id="261" w:name="_Toc519240649"/>
      <w:bookmarkStart w:id="262" w:name="_Toc520448550"/>
      <w:bookmarkStart w:id="263" w:name="_Toc520455226"/>
      <w:bookmarkStart w:id="264" w:name="_Toc520459419"/>
      <w:bookmarkStart w:id="265" w:name="_Toc520461417"/>
      <w:bookmarkStart w:id="266" w:name="_Toc520461783"/>
      <w:bookmarkStart w:id="267" w:name="_Toc520707672"/>
      <w:bookmarkStart w:id="268" w:name="_Toc520716686"/>
      <w:bookmarkStart w:id="269" w:name="_Toc520720334"/>
      <w:bookmarkStart w:id="270" w:name="_Toc520721585"/>
      <w:bookmarkStart w:id="271" w:name="_Toc520724118"/>
      <w:bookmarkStart w:id="272" w:name="_Toc520735222"/>
      <w:bookmarkStart w:id="273" w:name="_Toc520736255"/>
      <w:bookmarkStart w:id="274" w:name="_Toc520736674"/>
      <w:bookmarkStart w:id="275" w:name="_Ref528074060"/>
      <w:bookmarkStart w:id="276" w:name="_Ref529391317"/>
      <w:bookmarkStart w:id="277" w:name="_Toc531095525"/>
      <w:bookmarkStart w:id="278" w:name="_Toc531099291"/>
      <w:bookmarkStart w:id="279" w:name="_Toc531101700"/>
      <w:bookmarkStart w:id="280" w:name="_Toc531764133"/>
      <w:bookmarkStart w:id="281" w:name="_Toc532912058"/>
      <w:bookmarkStart w:id="282" w:name="_Toc532914027"/>
      <w:r w:rsidRPr="000D5CD5">
        <w:lastRenderedPageBreak/>
        <w:t>Scope 1 and 2 emissions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3299A92" w14:textId="611254E5" w:rsidR="009D06BE" w:rsidRPr="00E0204F" w:rsidRDefault="009D06BE" w:rsidP="007006CB">
      <w:pPr>
        <w:pStyle w:val="CCAFigure"/>
      </w:pPr>
      <w:r>
        <w:drawing>
          <wp:inline distT="0" distB="0" distL="0" distR="0" wp14:anchorId="174FB2B4" wp14:editId="640A0FEB">
            <wp:extent cx="5848350" cy="3048000"/>
            <wp:effectExtent l="0" t="0" r="0" b="0"/>
            <wp:docPr id="14" name="Picture 14" descr="Figure 5 is a schematic, which explains scope 1 emissions are those released as a direct result of an activity and scope 2 emissions are indirect emissions associated with the use of electricity at a facility." title="Scope 1 and 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48350" cy="3048000"/>
                    </a:xfrm>
                    <a:prstGeom prst="rect">
                      <a:avLst/>
                    </a:prstGeom>
                  </pic:spPr>
                </pic:pic>
              </a:graphicData>
            </a:graphic>
          </wp:inline>
        </w:drawing>
      </w:r>
    </w:p>
    <w:tbl>
      <w:tblPr>
        <w:tblStyle w:val="TableLayout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D5CD5" w:rsidRPr="000D5CD5" w14:paraId="59B4D5D9" w14:textId="77777777" w:rsidTr="000D5CD5">
        <w:trPr>
          <w:cnfStyle w:val="100000000000" w:firstRow="1" w:lastRow="0" w:firstColumn="0" w:lastColumn="0" w:oddVBand="0" w:evenVBand="0" w:oddHBand="0" w:evenHBand="0" w:firstRowFirstColumn="0" w:firstRowLastColumn="0" w:lastRowFirstColumn="0" w:lastRowLastColumn="0"/>
        </w:trPr>
        <w:tc>
          <w:tcPr>
            <w:tcW w:w="4678" w:type="dxa"/>
            <w:tcMar>
              <w:left w:w="170" w:type="dxa"/>
              <w:right w:w="170" w:type="dxa"/>
            </w:tcMar>
          </w:tcPr>
          <w:p w14:paraId="222939EC" w14:textId="21596618" w:rsidR="009D06BE" w:rsidRDefault="009D06BE" w:rsidP="009D06BE">
            <w:pPr>
              <w:spacing w:after="0" w:line="276" w:lineRule="auto"/>
              <w:rPr>
                <w:rFonts w:ascii="Calibri" w:hAnsi="Calibri"/>
                <w:b/>
                <w:color w:val="3E3E3E"/>
                <w:sz w:val="21"/>
                <w:szCs w:val="21"/>
              </w:rPr>
            </w:pPr>
          </w:p>
          <w:p w14:paraId="2ED0C3D7" w14:textId="77777777" w:rsidR="000D5CD5" w:rsidRPr="00E0204F" w:rsidRDefault="000D5CD5" w:rsidP="000D5CD5">
            <w:pPr>
              <w:spacing w:after="0" w:line="276" w:lineRule="auto"/>
              <w:jc w:val="center"/>
              <w:rPr>
                <w:rFonts w:ascii="Calibri" w:hAnsi="Calibri"/>
                <w:b/>
                <w:color w:val="3E3E3E"/>
                <w:sz w:val="21"/>
                <w:szCs w:val="21"/>
              </w:rPr>
            </w:pPr>
            <w:r w:rsidRPr="00E0204F">
              <w:rPr>
                <w:rFonts w:ascii="Calibri" w:hAnsi="Calibri"/>
                <w:b/>
                <w:color w:val="3E3E3E"/>
                <w:sz w:val="21"/>
                <w:szCs w:val="21"/>
              </w:rPr>
              <w:t>EXAMPLES OF SCOPE 1 EMISSIONS</w:t>
            </w:r>
          </w:p>
        </w:tc>
        <w:tc>
          <w:tcPr>
            <w:tcW w:w="4678" w:type="dxa"/>
            <w:tcMar>
              <w:left w:w="170" w:type="dxa"/>
              <w:right w:w="170" w:type="dxa"/>
            </w:tcMar>
          </w:tcPr>
          <w:p w14:paraId="692F898D" w14:textId="21AEB2E7" w:rsidR="00C204F4" w:rsidRDefault="00C204F4" w:rsidP="009D06BE">
            <w:pPr>
              <w:spacing w:after="0" w:line="276" w:lineRule="auto"/>
              <w:rPr>
                <w:rFonts w:ascii="Calibri" w:hAnsi="Calibri"/>
                <w:b/>
                <w:color w:val="3E3E3E"/>
                <w:sz w:val="21"/>
                <w:szCs w:val="21"/>
              </w:rPr>
            </w:pPr>
          </w:p>
          <w:p w14:paraId="67ADD125" w14:textId="2B88BB7F" w:rsidR="003F515E" w:rsidRDefault="009D06BE" w:rsidP="009D06BE">
            <w:pPr>
              <w:tabs>
                <w:tab w:val="center" w:pos="2169"/>
              </w:tabs>
              <w:spacing w:after="0" w:line="276" w:lineRule="auto"/>
              <w:rPr>
                <w:rFonts w:ascii="Calibri" w:hAnsi="Calibri"/>
                <w:b/>
                <w:color w:val="3E3E3E"/>
                <w:sz w:val="21"/>
                <w:szCs w:val="21"/>
              </w:rPr>
            </w:pPr>
            <w:r>
              <w:rPr>
                <w:rFonts w:ascii="Calibri" w:hAnsi="Calibri"/>
                <w:b/>
                <w:color w:val="3E3E3E"/>
                <w:sz w:val="21"/>
                <w:szCs w:val="21"/>
              </w:rPr>
              <w:tab/>
            </w:r>
            <w:r w:rsidR="000D5CD5" w:rsidRPr="00E0204F">
              <w:rPr>
                <w:rFonts w:ascii="Calibri" w:hAnsi="Calibri"/>
                <w:b/>
                <w:color w:val="3E3E3E"/>
                <w:sz w:val="21"/>
                <w:szCs w:val="21"/>
              </w:rPr>
              <w:t>EXAMPLES OF SCOPE 2 EMISSIONS</w:t>
            </w:r>
          </w:p>
          <w:p w14:paraId="123D6E15" w14:textId="77777777" w:rsidR="000D5CD5" w:rsidRPr="00E0204F" w:rsidRDefault="000D5CD5" w:rsidP="000D5CD5">
            <w:pPr>
              <w:spacing w:after="0" w:line="276" w:lineRule="auto"/>
              <w:jc w:val="center"/>
              <w:rPr>
                <w:rFonts w:ascii="Calibri" w:hAnsi="Calibri"/>
                <w:b/>
                <w:color w:val="3E3E3E"/>
                <w:sz w:val="21"/>
                <w:szCs w:val="21"/>
              </w:rPr>
            </w:pPr>
          </w:p>
        </w:tc>
      </w:tr>
      <w:tr w:rsidR="000D5CD5" w:rsidRPr="000D5CD5" w14:paraId="75B1775A" w14:textId="77777777" w:rsidTr="000D5CD5">
        <w:trPr>
          <w:cnfStyle w:val="000000100000" w:firstRow="0" w:lastRow="0" w:firstColumn="0" w:lastColumn="0" w:oddVBand="0" w:evenVBand="0" w:oddHBand="1" w:evenHBand="0" w:firstRowFirstColumn="0" w:firstRowLastColumn="0" w:lastRowFirstColumn="0" w:lastRowLastColumn="0"/>
        </w:trPr>
        <w:tc>
          <w:tcPr>
            <w:tcW w:w="4678" w:type="dxa"/>
            <w:tcMar>
              <w:left w:w="170" w:type="dxa"/>
              <w:right w:w="170" w:type="dxa"/>
            </w:tcMar>
          </w:tcPr>
          <w:p w14:paraId="097CC4D8" w14:textId="77777777" w:rsidR="000D5CD5" w:rsidRPr="00402A0B" w:rsidRDefault="000D5CD5" w:rsidP="000D5CD5">
            <w:pPr>
              <w:spacing w:after="80" w:line="240" w:lineRule="auto"/>
              <w:rPr>
                <w:rFonts w:asciiTheme="majorHAnsi" w:hAnsiTheme="majorHAnsi" w:cstheme="majorHAnsi"/>
                <w:color w:val="000000"/>
                <w:sz w:val="21"/>
                <w:szCs w:val="21"/>
              </w:rPr>
            </w:pPr>
            <w:r w:rsidRPr="00402A0B">
              <w:rPr>
                <w:rFonts w:asciiTheme="majorHAnsi" w:hAnsiTheme="majorHAnsi" w:cstheme="majorHAnsi"/>
                <w:color w:val="000000"/>
                <w:sz w:val="21"/>
                <w:szCs w:val="21"/>
              </w:rPr>
              <w:t>Emissions from:</w:t>
            </w:r>
          </w:p>
          <w:p w14:paraId="1298523C" w14:textId="77777777" w:rsidR="000D5CD5" w:rsidRPr="00402A0B" w:rsidRDefault="000D5CD5" w:rsidP="003B5936">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the production of electricity by burning coal</w:t>
            </w:r>
          </w:p>
          <w:p w14:paraId="78979160" w14:textId="77777777" w:rsidR="000D5CD5" w:rsidRPr="00402A0B" w:rsidRDefault="000D5CD5" w:rsidP="003B5936">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 xml:space="preserve">burning natural gas to heat up </w:t>
            </w:r>
            <w:r w:rsidRPr="00402A0B" w:rsidDel="004131C0">
              <w:rPr>
                <w:rFonts w:asciiTheme="majorHAnsi" w:hAnsiTheme="majorHAnsi" w:cstheme="majorHAnsi"/>
                <w:color w:val="000000"/>
                <w:sz w:val="21"/>
                <w:szCs w:val="21"/>
              </w:rPr>
              <w:t xml:space="preserve">a </w:t>
            </w:r>
            <w:r w:rsidRPr="00402A0B">
              <w:rPr>
                <w:rFonts w:asciiTheme="majorHAnsi" w:hAnsiTheme="majorHAnsi" w:cstheme="majorHAnsi"/>
                <w:color w:val="000000"/>
                <w:sz w:val="21"/>
                <w:szCs w:val="21"/>
              </w:rPr>
              <w:t>hardware store</w:t>
            </w:r>
          </w:p>
          <w:p w14:paraId="69B0F7F3" w14:textId="77777777" w:rsidR="000D5CD5" w:rsidRPr="00402A0B" w:rsidRDefault="000D5CD5" w:rsidP="003B5936">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 xml:space="preserve">manufacturing processes such as cement </w:t>
            </w:r>
          </w:p>
          <w:p w14:paraId="45250AA8" w14:textId="77777777" w:rsidR="000D5CD5" w:rsidRPr="00402A0B" w:rsidRDefault="000D5CD5" w:rsidP="003B5936">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 xml:space="preserve">the burning of diesel fuel in trucks </w:t>
            </w:r>
          </w:p>
          <w:p w14:paraId="39169FA8" w14:textId="77777777" w:rsidR="000D5CD5" w:rsidRPr="00402A0B" w:rsidRDefault="004C0DE3" w:rsidP="003B5936">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 xml:space="preserve">fugitive emissions from </w:t>
            </w:r>
            <w:r w:rsidR="000D5CD5" w:rsidRPr="00402A0B">
              <w:rPr>
                <w:rFonts w:asciiTheme="majorHAnsi" w:hAnsiTheme="majorHAnsi" w:cstheme="majorHAnsi"/>
                <w:color w:val="000000"/>
                <w:sz w:val="21"/>
                <w:szCs w:val="21"/>
              </w:rPr>
              <w:t xml:space="preserve">coal mining </w:t>
            </w:r>
          </w:p>
          <w:p w14:paraId="33F7B497" w14:textId="77777777" w:rsidR="000D5CD5" w:rsidRPr="00E0204F" w:rsidRDefault="00F47917" w:rsidP="003B5936">
            <w:pPr>
              <w:numPr>
                <w:ilvl w:val="0"/>
                <w:numId w:val="14"/>
              </w:numPr>
              <w:tabs>
                <w:tab w:val="num" w:pos="360"/>
              </w:tabs>
              <w:spacing w:after="240" w:line="240" w:lineRule="auto"/>
              <w:ind w:left="170" w:hanging="170"/>
              <w:rPr>
                <w:rFonts w:ascii="Calibri" w:hAnsi="Calibri"/>
                <w:color w:val="000000"/>
                <w:sz w:val="21"/>
                <w:szCs w:val="21"/>
              </w:rPr>
            </w:pPr>
            <w:r w:rsidRPr="00402A0B">
              <w:rPr>
                <w:rFonts w:asciiTheme="majorHAnsi" w:hAnsiTheme="majorHAnsi" w:cstheme="majorHAnsi"/>
                <w:color w:val="000000"/>
                <w:sz w:val="21"/>
                <w:szCs w:val="21"/>
              </w:rPr>
              <w:t xml:space="preserve">process emissions from </w:t>
            </w:r>
            <w:r w:rsidR="00771345" w:rsidRPr="00402A0B">
              <w:rPr>
                <w:rFonts w:asciiTheme="majorHAnsi" w:hAnsiTheme="majorHAnsi" w:cstheme="majorHAnsi"/>
                <w:color w:val="000000"/>
                <w:sz w:val="21"/>
                <w:szCs w:val="21"/>
              </w:rPr>
              <w:t>smelting aluminium</w:t>
            </w:r>
            <w:r w:rsidR="005926EE" w:rsidRPr="00402A0B">
              <w:rPr>
                <w:rFonts w:asciiTheme="majorHAnsi" w:hAnsiTheme="majorHAnsi" w:cstheme="majorHAnsi"/>
                <w:color w:val="000000"/>
                <w:sz w:val="21"/>
                <w:szCs w:val="21"/>
              </w:rPr>
              <w:t>.</w:t>
            </w:r>
            <w:r w:rsidR="000D5CD5" w:rsidRPr="00E0204F">
              <w:rPr>
                <w:rFonts w:ascii="Calibri" w:hAnsi="Calibri"/>
                <w:color w:val="000000"/>
                <w:sz w:val="21"/>
                <w:szCs w:val="21"/>
              </w:rPr>
              <w:t xml:space="preserve"> </w:t>
            </w:r>
          </w:p>
        </w:tc>
        <w:tc>
          <w:tcPr>
            <w:tcW w:w="4678" w:type="dxa"/>
            <w:tcMar>
              <w:left w:w="170" w:type="dxa"/>
              <w:right w:w="170" w:type="dxa"/>
            </w:tcMar>
          </w:tcPr>
          <w:p w14:paraId="40D7E66A" w14:textId="77777777" w:rsidR="000D5CD5" w:rsidRPr="00402A0B" w:rsidRDefault="000D5CD5" w:rsidP="000D5CD5">
            <w:pPr>
              <w:spacing w:after="80" w:line="240" w:lineRule="auto"/>
              <w:rPr>
                <w:rFonts w:asciiTheme="majorHAnsi" w:hAnsiTheme="majorHAnsi" w:cstheme="majorHAnsi"/>
                <w:color w:val="000000"/>
                <w:sz w:val="21"/>
                <w:szCs w:val="21"/>
              </w:rPr>
            </w:pPr>
            <w:r w:rsidRPr="00402A0B">
              <w:rPr>
                <w:rFonts w:asciiTheme="majorHAnsi" w:hAnsiTheme="majorHAnsi" w:cstheme="majorHAnsi"/>
                <w:color w:val="000000"/>
                <w:sz w:val="21"/>
                <w:szCs w:val="21"/>
              </w:rPr>
              <w:t>Emissions from</w:t>
            </w:r>
            <w:r w:rsidR="004E4D36" w:rsidRPr="00402A0B">
              <w:rPr>
                <w:rFonts w:asciiTheme="majorHAnsi" w:hAnsiTheme="majorHAnsi" w:cstheme="majorHAnsi"/>
                <w:color w:val="000000"/>
                <w:sz w:val="21"/>
                <w:szCs w:val="21"/>
              </w:rPr>
              <w:t xml:space="preserve"> </w:t>
            </w:r>
            <w:r w:rsidRPr="00402A0B">
              <w:rPr>
                <w:rFonts w:asciiTheme="majorHAnsi" w:hAnsiTheme="majorHAnsi" w:cstheme="majorHAnsi"/>
                <w:color w:val="000000"/>
                <w:sz w:val="21"/>
                <w:szCs w:val="21"/>
              </w:rPr>
              <w:t>electricity</w:t>
            </w:r>
            <w:r w:rsidRPr="00402A0B" w:rsidDel="004E4D36">
              <w:rPr>
                <w:rFonts w:asciiTheme="majorHAnsi" w:hAnsiTheme="majorHAnsi" w:cstheme="majorHAnsi"/>
                <w:color w:val="000000"/>
                <w:sz w:val="21"/>
                <w:szCs w:val="21"/>
              </w:rPr>
              <w:t xml:space="preserve"> </w:t>
            </w:r>
            <w:r w:rsidR="004E4D36" w:rsidRPr="00402A0B">
              <w:rPr>
                <w:rFonts w:asciiTheme="majorHAnsi" w:hAnsiTheme="majorHAnsi" w:cstheme="majorHAnsi"/>
                <w:color w:val="000000"/>
                <w:sz w:val="21"/>
                <w:szCs w:val="21"/>
              </w:rPr>
              <w:t xml:space="preserve">purchased </w:t>
            </w:r>
            <w:r w:rsidRPr="00402A0B">
              <w:rPr>
                <w:rFonts w:asciiTheme="majorHAnsi" w:hAnsiTheme="majorHAnsi" w:cstheme="majorHAnsi"/>
                <w:color w:val="000000"/>
                <w:sz w:val="21"/>
                <w:szCs w:val="21"/>
              </w:rPr>
              <w:t xml:space="preserve">and used by: </w:t>
            </w:r>
          </w:p>
          <w:p w14:paraId="35AF3704" w14:textId="77777777" w:rsidR="000D5CD5" w:rsidRPr="00402A0B" w:rsidRDefault="000D5CD5" w:rsidP="003B5936">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 xml:space="preserve">a large </w:t>
            </w:r>
            <w:r w:rsidR="005404F8" w:rsidRPr="00402A0B">
              <w:rPr>
                <w:rFonts w:asciiTheme="majorHAnsi" w:hAnsiTheme="majorHAnsi" w:cstheme="majorHAnsi"/>
                <w:color w:val="000000"/>
                <w:sz w:val="21"/>
                <w:szCs w:val="21"/>
              </w:rPr>
              <w:t xml:space="preserve">supermarket </w:t>
            </w:r>
            <w:r w:rsidRPr="00402A0B">
              <w:rPr>
                <w:rFonts w:asciiTheme="majorHAnsi" w:hAnsiTheme="majorHAnsi" w:cstheme="majorHAnsi"/>
                <w:color w:val="000000"/>
                <w:sz w:val="21"/>
                <w:szCs w:val="21"/>
              </w:rPr>
              <w:t>for lighting, heating or cooling</w:t>
            </w:r>
          </w:p>
          <w:p w14:paraId="1DDE6B5F" w14:textId="77777777" w:rsidR="000D5CD5" w:rsidRPr="00402A0B" w:rsidRDefault="000D5CD5" w:rsidP="00F47917">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 xml:space="preserve">an aluminium smelter </w:t>
            </w:r>
            <w:r w:rsidR="00F47917" w:rsidRPr="00402A0B">
              <w:rPr>
                <w:rFonts w:asciiTheme="majorHAnsi" w:hAnsiTheme="majorHAnsi" w:cstheme="majorHAnsi"/>
                <w:color w:val="000000"/>
                <w:sz w:val="21"/>
                <w:szCs w:val="21"/>
              </w:rPr>
              <w:t>to power electrolytic processes</w:t>
            </w:r>
          </w:p>
          <w:p w14:paraId="78C9E9F5" w14:textId="77777777" w:rsidR="000D5CD5" w:rsidRPr="00402A0B" w:rsidRDefault="000D5CD5" w:rsidP="003B5936">
            <w:pPr>
              <w:numPr>
                <w:ilvl w:val="0"/>
                <w:numId w:val="14"/>
              </w:numPr>
              <w:tabs>
                <w:tab w:val="num" w:pos="360"/>
              </w:tabs>
              <w:spacing w:after="80" w:line="240" w:lineRule="auto"/>
              <w:ind w:left="170" w:hanging="170"/>
              <w:rPr>
                <w:rFonts w:asciiTheme="majorHAnsi" w:hAnsiTheme="majorHAnsi" w:cstheme="majorHAnsi"/>
                <w:color w:val="000000"/>
                <w:sz w:val="21"/>
                <w:szCs w:val="21"/>
              </w:rPr>
            </w:pPr>
            <w:r w:rsidRPr="00402A0B">
              <w:rPr>
                <w:rFonts w:asciiTheme="majorHAnsi" w:hAnsiTheme="majorHAnsi" w:cstheme="majorHAnsi"/>
                <w:color w:val="000000"/>
                <w:sz w:val="21"/>
                <w:szCs w:val="21"/>
              </w:rPr>
              <w:t xml:space="preserve"> a cement </w:t>
            </w:r>
            <w:r w:rsidR="00771345" w:rsidRPr="00402A0B">
              <w:rPr>
                <w:rFonts w:asciiTheme="majorHAnsi" w:hAnsiTheme="majorHAnsi" w:cstheme="majorHAnsi"/>
                <w:color w:val="000000"/>
                <w:sz w:val="21"/>
                <w:szCs w:val="21"/>
              </w:rPr>
              <w:t>producer to grind raw materials</w:t>
            </w:r>
            <w:r w:rsidR="005926EE" w:rsidRPr="00402A0B">
              <w:rPr>
                <w:rFonts w:asciiTheme="majorHAnsi" w:hAnsiTheme="majorHAnsi" w:cstheme="majorHAnsi"/>
                <w:color w:val="000000"/>
                <w:sz w:val="21"/>
                <w:szCs w:val="21"/>
              </w:rPr>
              <w:t>.</w:t>
            </w:r>
            <w:r w:rsidRPr="00402A0B">
              <w:rPr>
                <w:rFonts w:asciiTheme="majorHAnsi" w:hAnsiTheme="majorHAnsi" w:cstheme="majorHAnsi"/>
                <w:color w:val="000000"/>
                <w:sz w:val="21"/>
                <w:szCs w:val="21"/>
              </w:rPr>
              <w:t xml:space="preserve"> </w:t>
            </w:r>
          </w:p>
          <w:p w14:paraId="75216306" w14:textId="77777777" w:rsidR="000D5CD5" w:rsidRPr="00E0204F" w:rsidRDefault="000D5CD5" w:rsidP="000D5CD5">
            <w:pPr>
              <w:spacing w:after="80" w:line="240" w:lineRule="auto"/>
              <w:rPr>
                <w:rFonts w:ascii="Calibri" w:hAnsi="Calibri"/>
                <w:color w:val="000000"/>
                <w:sz w:val="21"/>
                <w:szCs w:val="21"/>
              </w:rPr>
            </w:pPr>
          </w:p>
          <w:p w14:paraId="1CE0C34F" w14:textId="77777777" w:rsidR="000D5CD5" w:rsidRPr="000D5CD5" w:rsidRDefault="000D5CD5" w:rsidP="000D5CD5">
            <w:pPr>
              <w:spacing w:after="80" w:line="240" w:lineRule="auto"/>
              <w:rPr>
                <w:rFonts w:ascii="Calibri" w:hAnsi="Calibri"/>
                <w:color w:val="000000"/>
                <w:sz w:val="21"/>
                <w:szCs w:val="21"/>
              </w:rPr>
            </w:pPr>
          </w:p>
        </w:tc>
      </w:tr>
    </w:tbl>
    <w:p w14:paraId="343CA6BD" w14:textId="10485964" w:rsidR="000D5CD5" w:rsidRPr="000D5CD5" w:rsidRDefault="000D5CD5" w:rsidP="00605160">
      <w:pPr>
        <w:pStyle w:val="CCABodytext"/>
        <w:rPr>
          <w:rFonts w:eastAsia="Calibri" w:cs="Times New Roman"/>
        </w:rPr>
      </w:pPr>
      <w:r w:rsidRPr="000D5CD5">
        <w:t xml:space="preserve">Reporting scope 2 emissions introduces duplication where emissions from electricity production are already covered by scope 1 reporting obligations on electricity generators. However, it </w:t>
      </w:r>
      <w:r w:rsidR="00865B35">
        <w:t>helps</w:t>
      </w:r>
      <w:r w:rsidRPr="000D5CD5">
        <w:t xml:space="preserve"> decision</w:t>
      </w:r>
      <w:r w:rsidR="00926447">
        <w:noBreakHyphen/>
      </w:r>
      <w:r w:rsidRPr="000D5CD5">
        <w:t xml:space="preserve">makers to </w:t>
      </w:r>
      <w:r w:rsidR="008301C5">
        <w:t>identify</w:t>
      </w:r>
      <w:r w:rsidRPr="000D5CD5">
        <w:t xml:space="preserve"> the large energy users and </w:t>
      </w:r>
      <w:r w:rsidR="00865B35">
        <w:t>the</w:t>
      </w:r>
      <w:r w:rsidRPr="000D5CD5">
        <w:t xml:space="preserve"> amount of emissions from energy </w:t>
      </w:r>
      <w:r w:rsidR="008301C5">
        <w:t xml:space="preserve">for which </w:t>
      </w:r>
      <w:r w:rsidRPr="000D5CD5">
        <w:t xml:space="preserve">they are responsible. For example, </w:t>
      </w:r>
      <w:r w:rsidR="00410FAA">
        <w:t>alumina and</w:t>
      </w:r>
      <w:r w:rsidRPr="000D5CD5">
        <w:t xml:space="preserve"> aluminium production accounts for about 20 per cent of all scope</w:t>
      </w:r>
      <w:r w:rsidR="00410FAA">
        <w:t> </w:t>
      </w:r>
      <w:r w:rsidRPr="000D5CD5">
        <w:t xml:space="preserve">2 emissions reported under the scheme but </w:t>
      </w:r>
      <w:r w:rsidR="00410FAA">
        <w:t>less than</w:t>
      </w:r>
      <w:r w:rsidRPr="000D5CD5">
        <w:t xml:space="preserve"> </w:t>
      </w:r>
      <w:r w:rsidR="006C6924">
        <w:t>5</w:t>
      </w:r>
      <w:r w:rsidRPr="000D5CD5">
        <w:t xml:space="preserve"> per cent of scope 1 emissions (</w:t>
      </w:r>
      <w:r w:rsidR="002566CB">
        <w:t>CER 201</w:t>
      </w:r>
      <w:r w:rsidR="009D0EB8">
        <w:t>8c</w:t>
      </w:r>
      <w:r w:rsidRPr="000D5CD5">
        <w:t xml:space="preserve">). </w:t>
      </w:r>
      <w:r w:rsidR="00605160">
        <w:t>Reporting only</w:t>
      </w:r>
      <w:r w:rsidRPr="000D5CD5">
        <w:t xml:space="preserve"> on scope 1 emissions for </w:t>
      </w:r>
      <w:r w:rsidR="00D44F2B">
        <w:t xml:space="preserve">alumina and </w:t>
      </w:r>
      <w:r w:rsidRPr="000D5CD5">
        <w:t xml:space="preserve">aluminium </w:t>
      </w:r>
      <w:r w:rsidR="00025615">
        <w:t>would provide much less than a full picture</w:t>
      </w:r>
      <w:r w:rsidRPr="000D5CD5">
        <w:t xml:space="preserve"> of the sector’s contribution to Australia’s energy use and emissions profile.</w:t>
      </w:r>
    </w:p>
    <w:p w14:paraId="15D581FF" w14:textId="77777777" w:rsidR="000D5CD5" w:rsidRPr="000D5CD5" w:rsidRDefault="000D5CD5" w:rsidP="00354794">
      <w:pPr>
        <w:pStyle w:val="CCAHeading4"/>
      </w:pPr>
      <w:r w:rsidRPr="000D5CD5">
        <w:lastRenderedPageBreak/>
        <w:t>Emissions sources</w:t>
      </w:r>
    </w:p>
    <w:p w14:paraId="3AE8C53D" w14:textId="77777777" w:rsidR="00865B35" w:rsidRDefault="00865B35">
      <w:pPr>
        <w:pStyle w:val="CCABodytext"/>
      </w:pPr>
      <w:r>
        <w:t xml:space="preserve">International greenhouse gas inventories group emissions into </w:t>
      </w:r>
      <w:r w:rsidR="00C931D0">
        <w:t xml:space="preserve">five </w:t>
      </w:r>
      <w:r>
        <w:t xml:space="preserve">source categories: </w:t>
      </w:r>
    </w:p>
    <w:p w14:paraId="0EE39872" w14:textId="77777777" w:rsidR="00865B35" w:rsidRPr="00FC2EA3" w:rsidRDefault="00865B35" w:rsidP="000D7F42">
      <w:pPr>
        <w:pStyle w:val="ListBullet"/>
        <w:rPr>
          <w:rFonts w:eastAsia="Calibri"/>
        </w:rPr>
      </w:pPr>
      <w:r>
        <w:t>energy (including fuel combustion</w:t>
      </w:r>
      <w:r w:rsidR="00ED7BD5">
        <w:t xml:space="preserve"> for electricity generation, transport and other purposes,</w:t>
      </w:r>
      <w:r>
        <w:t xml:space="preserve"> and </w:t>
      </w:r>
      <w:r w:rsidRPr="000D5CD5">
        <w:rPr>
          <w:rFonts w:eastAsia="Calibri"/>
        </w:rPr>
        <w:t>fugitive emissions resulting from mining, and oil and gas production and distribution</w:t>
      </w:r>
      <w:r>
        <w:t>)</w:t>
      </w:r>
    </w:p>
    <w:p w14:paraId="4C5BF460" w14:textId="77777777" w:rsidR="00865B35" w:rsidRDefault="000D5CD5" w:rsidP="000D7F42">
      <w:pPr>
        <w:pStyle w:val="ListBullet"/>
        <w:rPr>
          <w:rFonts w:eastAsia="Calibri"/>
        </w:rPr>
      </w:pPr>
      <w:r w:rsidRPr="000D5CD5">
        <w:rPr>
          <w:rFonts w:eastAsia="Calibri"/>
        </w:rPr>
        <w:t>industrial processes</w:t>
      </w:r>
    </w:p>
    <w:p w14:paraId="7EBAF218" w14:textId="77777777" w:rsidR="00865B35" w:rsidRDefault="00D02E13" w:rsidP="000D7F42">
      <w:pPr>
        <w:pStyle w:val="ListBullet"/>
        <w:rPr>
          <w:rFonts w:eastAsia="Calibri"/>
        </w:rPr>
      </w:pPr>
      <w:r>
        <w:rPr>
          <w:rFonts w:eastAsia="Calibri"/>
        </w:rPr>
        <w:t>agriculture</w:t>
      </w:r>
      <w:r w:rsidRPr="000D5CD5">
        <w:rPr>
          <w:rFonts w:eastAsia="Calibri"/>
        </w:rPr>
        <w:t xml:space="preserve"> </w:t>
      </w:r>
    </w:p>
    <w:p w14:paraId="64E68026" w14:textId="77777777" w:rsidR="00D02E13" w:rsidRDefault="00865B35" w:rsidP="000D7F42">
      <w:pPr>
        <w:pStyle w:val="ListBullet"/>
        <w:rPr>
          <w:rFonts w:eastAsia="Calibri"/>
        </w:rPr>
      </w:pPr>
      <w:r>
        <w:rPr>
          <w:rFonts w:eastAsia="Calibri"/>
        </w:rPr>
        <w:t>land use, land use change and forestry</w:t>
      </w:r>
      <w:r w:rsidR="00D02E13">
        <w:rPr>
          <w:rFonts w:eastAsia="Calibri"/>
        </w:rPr>
        <w:t xml:space="preserve"> </w:t>
      </w:r>
    </w:p>
    <w:p w14:paraId="79CF0E57" w14:textId="77777777" w:rsidR="000D5CD5" w:rsidRPr="000D5CD5" w:rsidRDefault="00D02E13" w:rsidP="000D7F42">
      <w:pPr>
        <w:pStyle w:val="ListBullet"/>
        <w:rPr>
          <w:rFonts w:eastAsia="Calibri"/>
        </w:rPr>
      </w:pPr>
      <w:r w:rsidRPr="000D5CD5">
        <w:rPr>
          <w:rFonts w:eastAsia="Calibri"/>
        </w:rPr>
        <w:t>waste</w:t>
      </w:r>
      <w:r w:rsidR="00865B35">
        <w:rPr>
          <w:rFonts w:eastAsia="Calibri"/>
        </w:rPr>
        <w:t>.</w:t>
      </w:r>
      <w:r w:rsidR="000D5CD5" w:rsidRPr="000D5CD5">
        <w:rPr>
          <w:rFonts w:eastAsia="Calibri"/>
        </w:rPr>
        <w:t xml:space="preserve"> </w:t>
      </w:r>
    </w:p>
    <w:p w14:paraId="176605F6" w14:textId="77777777" w:rsidR="00ED7BD5" w:rsidRDefault="006613EC" w:rsidP="00605160">
      <w:pPr>
        <w:pStyle w:val="CCABodytext"/>
      </w:pPr>
      <w:r>
        <w:t xml:space="preserve">The measurement determination, and therefore emissions reporting under the scheme, covers </w:t>
      </w:r>
      <w:r w:rsidR="00865B35">
        <w:t xml:space="preserve">emissions arising from energy, industrial processes and waste. </w:t>
      </w:r>
      <w:r>
        <w:t xml:space="preserve">It does not include emissions arising from agriculture or land use, land use change and forestry activities (for example </w:t>
      </w:r>
      <w:r w:rsidRPr="000D5CD5">
        <w:t>methane from livestock or carbon emissions and sequestration from land management</w:t>
      </w:r>
      <w:r>
        <w:t>).</w:t>
      </w:r>
      <w:r w:rsidDel="006613EC">
        <w:rPr>
          <w:rFonts w:eastAsia="Calibri" w:cs="Times New Roman"/>
        </w:rPr>
        <w:t xml:space="preserve"> </w:t>
      </w:r>
    </w:p>
    <w:p w14:paraId="3FFF66A3" w14:textId="77777777" w:rsidR="000D5CD5" w:rsidRDefault="00ED34CB" w:rsidP="00246502">
      <w:pPr>
        <w:pStyle w:val="CCABodytext"/>
      </w:pPr>
      <w:r>
        <w:t xml:space="preserve">This means </w:t>
      </w:r>
      <w:r w:rsidR="000D5CD5" w:rsidRPr="000D5CD5">
        <w:t xml:space="preserve">land and agriculture businesses </w:t>
      </w:r>
      <w:r w:rsidR="006A26E6">
        <w:t>are not required to report emissions arising from agricultural activities such as methane from livestock, but they</w:t>
      </w:r>
      <w:r w:rsidR="006A26E6" w:rsidRPr="000D5CD5">
        <w:t xml:space="preserve"> </w:t>
      </w:r>
      <w:r w:rsidR="000D5CD5" w:rsidRPr="000D5CD5">
        <w:t xml:space="preserve">are required to report their scope 1 </w:t>
      </w:r>
      <w:r w:rsidR="00A301EA">
        <w:t xml:space="preserve">emissions (from energy, industrial processes and waste), </w:t>
      </w:r>
      <w:r w:rsidR="000D5CD5" w:rsidRPr="000D5CD5">
        <w:t>scope 2 emissions and energy use</w:t>
      </w:r>
      <w:r w:rsidR="00BD02A5">
        <w:t xml:space="preserve"> and production</w:t>
      </w:r>
      <w:r w:rsidR="000D5CD5" w:rsidRPr="000D5CD5">
        <w:t xml:space="preserve"> if they meet the reporting thresholds</w:t>
      </w:r>
      <w:r w:rsidR="006A26E6">
        <w:t>.</w:t>
      </w:r>
      <w:r>
        <w:t xml:space="preserve"> </w:t>
      </w:r>
    </w:p>
    <w:p w14:paraId="441164DD" w14:textId="77777777" w:rsidR="005142C8" w:rsidRPr="00A81FAD" w:rsidRDefault="005142C8" w:rsidP="00246502">
      <w:pPr>
        <w:pStyle w:val="CCABodytext"/>
      </w:pPr>
      <w:r w:rsidRPr="00E0204F">
        <w:t>In 2016</w:t>
      </w:r>
      <w:r w:rsidR="002A15F5">
        <w:t>–</w:t>
      </w:r>
      <w:r w:rsidRPr="00E0204F">
        <w:t>17, 6</w:t>
      </w:r>
      <w:r w:rsidR="00B804ED">
        <w:t>3</w:t>
      </w:r>
      <w:r w:rsidRPr="00E0204F">
        <w:t> per cent of Australia’s emissions</w:t>
      </w:r>
      <w:r>
        <w:t xml:space="preserve"> </w:t>
      </w:r>
      <w:r w:rsidRPr="00FD135A">
        <w:t>(or 33</w:t>
      </w:r>
      <w:r w:rsidR="00B804ED">
        <w:t>5</w:t>
      </w:r>
      <w:r w:rsidRPr="00FD135A">
        <w:t xml:space="preserve"> million tonnes of carbon dioxide</w:t>
      </w:r>
      <w:r w:rsidR="00155350">
        <w:t>-</w:t>
      </w:r>
      <w:r w:rsidRPr="00FD135A">
        <w:t>equivalent (Mt</w:t>
      </w:r>
      <w:r w:rsidR="006A26E6">
        <w:t> </w:t>
      </w:r>
      <w:r w:rsidRPr="00FD135A">
        <w:t>CO</w:t>
      </w:r>
      <w:r w:rsidRPr="00914472">
        <w:rPr>
          <w:vertAlign w:val="subscript"/>
        </w:rPr>
        <w:t>2</w:t>
      </w:r>
      <w:r w:rsidRPr="00FD135A">
        <w:t>-e</w:t>
      </w:r>
      <w:r w:rsidR="00A33395">
        <w:t>)</w:t>
      </w:r>
      <w:r w:rsidRPr="00FD135A">
        <w:t xml:space="preserve">) were reported </w:t>
      </w:r>
      <w:r w:rsidR="006A26E6">
        <w:t xml:space="preserve">as scope 1 emissions </w:t>
      </w:r>
      <w:r w:rsidRPr="00FD135A">
        <w:t>under the scheme</w:t>
      </w:r>
      <w:r w:rsidRPr="00E0204F">
        <w:t xml:space="preserve">. </w:t>
      </w:r>
    </w:p>
    <w:p w14:paraId="6A575078" w14:textId="77777777" w:rsidR="00924633" w:rsidRDefault="00CF77D6" w:rsidP="00151162">
      <w:pPr>
        <w:pStyle w:val="CCABodytext"/>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_Ref529390565 \r \h </w:instrText>
      </w:r>
      <w:r>
        <w:rPr>
          <w:rFonts w:asciiTheme="minorHAnsi" w:hAnsiTheme="minorHAnsi" w:cstheme="minorHAnsi"/>
        </w:rPr>
      </w:r>
      <w:r>
        <w:rPr>
          <w:rFonts w:asciiTheme="minorHAnsi" w:hAnsiTheme="minorHAnsi" w:cstheme="minorHAnsi"/>
        </w:rPr>
        <w:fldChar w:fldCharType="separate"/>
      </w:r>
      <w:r w:rsidR="009A203A">
        <w:rPr>
          <w:rFonts w:asciiTheme="minorHAnsi" w:hAnsiTheme="minorHAnsi" w:cstheme="minorHAnsi"/>
        </w:rPr>
        <w:t>Table 2</w:t>
      </w:r>
      <w:r>
        <w:rPr>
          <w:rFonts w:asciiTheme="minorHAnsi" w:hAnsiTheme="minorHAnsi" w:cstheme="minorHAnsi"/>
        </w:rPr>
        <w:fldChar w:fldCharType="end"/>
      </w:r>
      <w:r>
        <w:rPr>
          <w:rFonts w:asciiTheme="minorHAnsi" w:hAnsiTheme="minorHAnsi" w:cstheme="minorHAnsi"/>
        </w:rPr>
        <w:t xml:space="preserve"> </w:t>
      </w:r>
      <w:r w:rsidR="00151162">
        <w:rPr>
          <w:rFonts w:asciiTheme="minorHAnsi" w:hAnsiTheme="minorHAnsi" w:cstheme="minorHAnsi"/>
        </w:rPr>
        <w:t>compares the coverage of emissions sources under the reporting scheme</w:t>
      </w:r>
      <w:r w:rsidR="005142C8">
        <w:rPr>
          <w:rFonts w:asciiTheme="minorHAnsi" w:hAnsiTheme="minorHAnsi" w:cstheme="minorHAnsi"/>
        </w:rPr>
        <w:t xml:space="preserve"> in 201</w:t>
      </w:r>
      <w:r w:rsidR="00B804ED">
        <w:rPr>
          <w:rFonts w:asciiTheme="minorHAnsi" w:hAnsiTheme="minorHAnsi" w:cstheme="minorHAnsi"/>
        </w:rPr>
        <w:t>6</w:t>
      </w:r>
      <w:r w:rsidR="00927F6F">
        <w:rPr>
          <w:rFonts w:asciiTheme="minorHAnsi" w:hAnsiTheme="minorHAnsi" w:cstheme="minorHAnsi"/>
        </w:rPr>
        <w:t>–</w:t>
      </w:r>
      <w:r w:rsidR="005142C8">
        <w:rPr>
          <w:rFonts w:asciiTheme="minorHAnsi" w:hAnsiTheme="minorHAnsi" w:cstheme="minorHAnsi"/>
        </w:rPr>
        <w:t>1</w:t>
      </w:r>
      <w:r w:rsidR="00B804ED">
        <w:rPr>
          <w:rFonts w:asciiTheme="minorHAnsi" w:hAnsiTheme="minorHAnsi" w:cstheme="minorHAnsi"/>
        </w:rPr>
        <w:t>7</w:t>
      </w:r>
      <w:r w:rsidR="00151162">
        <w:rPr>
          <w:rFonts w:asciiTheme="minorHAnsi" w:hAnsiTheme="minorHAnsi" w:cstheme="minorHAnsi"/>
        </w:rPr>
        <w:t xml:space="preserve"> with the total emissions for Australia, as reported under the national greenhouse gas inventory. </w:t>
      </w:r>
      <w:r>
        <w:rPr>
          <w:rFonts w:asciiTheme="minorHAnsi" w:hAnsiTheme="minorHAnsi" w:cstheme="minorHAnsi"/>
        </w:rPr>
        <w:fldChar w:fldCharType="begin"/>
      </w:r>
      <w:r>
        <w:rPr>
          <w:rFonts w:asciiTheme="minorHAnsi" w:hAnsiTheme="minorHAnsi" w:cstheme="minorHAnsi"/>
        </w:rPr>
        <w:instrText xml:space="preserve"> REF _Ref529390565 \r \h </w:instrText>
      </w:r>
      <w:r>
        <w:rPr>
          <w:rFonts w:asciiTheme="minorHAnsi" w:hAnsiTheme="minorHAnsi" w:cstheme="minorHAnsi"/>
        </w:rPr>
      </w:r>
      <w:r>
        <w:rPr>
          <w:rFonts w:asciiTheme="minorHAnsi" w:hAnsiTheme="minorHAnsi" w:cstheme="minorHAnsi"/>
        </w:rPr>
        <w:fldChar w:fldCharType="separate"/>
      </w:r>
      <w:r w:rsidR="009A203A">
        <w:rPr>
          <w:rFonts w:asciiTheme="minorHAnsi" w:hAnsiTheme="minorHAnsi" w:cstheme="minorHAnsi"/>
        </w:rPr>
        <w:t>Table 2</w:t>
      </w:r>
      <w:r>
        <w:rPr>
          <w:rFonts w:asciiTheme="minorHAnsi" w:hAnsiTheme="minorHAnsi" w:cstheme="minorHAnsi"/>
        </w:rPr>
        <w:fldChar w:fldCharType="end"/>
      </w:r>
      <w:r>
        <w:rPr>
          <w:rFonts w:asciiTheme="minorHAnsi" w:hAnsiTheme="minorHAnsi" w:cstheme="minorHAnsi"/>
        </w:rPr>
        <w:t xml:space="preserve"> </w:t>
      </w:r>
      <w:r w:rsidR="00151162">
        <w:rPr>
          <w:rFonts w:asciiTheme="minorHAnsi" w:hAnsiTheme="minorHAnsi" w:cstheme="minorHAnsi"/>
        </w:rPr>
        <w:t>shows</w:t>
      </w:r>
      <w:r w:rsidR="00924633">
        <w:rPr>
          <w:rFonts w:asciiTheme="minorHAnsi" w:hAnsiTheme="minorHAnsi" w:cstheme="minorHAnsi"/>
        </w:rPr>
        <w:t>:</w:t>
      </w:r>
    </w:p>
    <w:p w14:paraId="32B6F1CC" w14:textId="77777777" w:rsidR="006A26E6" w:rsidRDefault="006A26E6" w:rsidP="004D105C">
      <w:pPr>
        <w:pStyle w:val="ListBullet"/>
      </w:pPr>
      <w:r>
        <w:rPr>
          <w:rFonts w:eastAsia="Calibri"/>
        </w:rPr>
        <w:t>e</w:t>
      </w:r>
      <w:r w:rsidRPr="00FD135A">
        <w:rPr>
          <w:rFonts w:eastAsia="Calibri"/>
        </w:rPr>
        <w:t>lectricity generation accounts for over half of all emissions</w:t>
      </w:r>
      <w:r w:rsidR="00FF54A3">
        <w:rPr>
          <w:rFonts w:eastAsia="Calibri"/>
        </w:rPr>
        <w:t xml:space="preserve"> reported</w:t>
      </w:r>
      <w:r w:rsidR="00C04768">
        <w:rPr>
          <w:rFonts w:eastAsia="Calibri"/>
        </w:rPr>
        <w:t xml:space="preserve"> and 35 per cent of Australia’s total emissions</w:t>
      </w:r>
    </w:p>
    <w:p w14:paraId="2F66EFA9" w14:textId="77777777" w:rsidR="00924633" w:rsidRDefault="00151162" w:rsidP="004D105C">
      <w:pPr>
        <w:pStyle w:val="ListBullet"/>
      </w:pPr>
      <w:r>
        <w:t>the majority of emissions arising from electricity generation, fugitive emissions, and industrial processes are reported under the scheme</w:t>
      </w:r>
    </w:p>
    <w:p w14:paraId="1B04E3FD" w14:textId="77777777" w:rsidR="008B40B4" w:rsidRDefault="00711B3D" w:rsidP="004D105C">
      <w:pPr>
        <w:pStyle w:val="ListBullet"/>
      </w:pPr>
      <w:r>
        <w:t>e</w:t>
      </w:r>
      <w:r w:rsidRPr="00924633">
        <w:t>missions arising from waste and transport are not well covered by the scheme</w:t>
      </w:r>
      <w:r w:rsidR="005A5EF0">
        <w:rPr>
          <w:rStyle w:val="FootnoteReference"/>
        </w:rPr>
        <w:footnoteReference w:id="4"/>
      </w:r>
    </w:p>
    <w:p w14:paraId="25AB203A" w14:textId="77777777" w:rsidR="00151162" w:rsidRPr="004D105C" w:rsidRDefault="00924633" w:rsidP="004D105C">
      <w:pPr>
        <w:pStyle w:val="ListBullet"/>
        <w:rPr>
          <w:rStyle w:val="CCABodytextChar"/>
          <w:color w:val="auto"/>
          <w:szCs w:val="24"/>
        </w:rPr>
      </w:pPr>
      <w:r>
        <w:lastRenderedPageBreak/>
        <w:t>e</w:t>
      </w:r>
      <w:r w:rsidR="00151162" w:rsidRPr="00924633">
        <w:t xml:space="preserve">missions from agricultural sources, and land use, land use change and forestry are </w:t>
      </w:r>
      <w:r w:rsidR="00CA430C">
        <w:t xml:space="preserve">not included in </w:t>
      </w:r>
      <w:r w:rsidR="00151162" w:rsidRPr="00924633">
        <w:t>the scheme.</w:t>
      </w:r>
      <w:r w:rsidR="00151162">
        <w:rPr>
          <w:rStyle w:val="CCABodytextChar"/>
        </w:rPr>
        <w:t xml:space="preserve"> </w:t>
      </w:r>
    </w:p>
    <w:p w14:paraId="31001734" w14:textId="77777777" w:rsidR="004D105C" w:rsidRPr="004D105C" w:rsidRDefault="004D105C" w:rsidP="00532BE2">
      <w:pPr>
        <w:pStyle w:val="CCATableheader"/>
      </w:pPr>
      <w:bookmarkStart w:id="283" w:name="_Ref529390565"/>
      <w:bookmarkStart w:id="284" w:name="_Ref530413901"/>
      <w:bookmarkStart w:id="285" w:name="_Toc531095534"/>
      <w:bookmarkStart w:id="286" w:name="_Toc531099300"/>
      <w:bookmarkStart w:id="287" w:name="_Toc531101709"/>
      <w:bookmarkStart w:id="288" w:name="_Toc531341078"/>
      <w:bookmarkStart w:id="289" w:name="_Toc531764046"/>
      <w:bookmarkStart w:id="290" w:name="_Toc532912067"/>
      <w:bookmarkStart w:id="291" w:name="_Toc532914011"/>
      <w:r w:rsidRPr="00532BE2">
        <w:t>Proportion</w:t>
      </w:r>
      <w:r>
        <w:t xml:space="preserve"> of Australia’s emissions captured by the reporting scheme by emissions source </w:t>
      </w:r>
      <w:r w:rsidRPr="004D105C">
        <w:t>category</w:t>
      </w:r>
      <w:r>
        <w:t>, 201</w:t>
      </w:r>
      <w:r w:rsidR="00B804ED">
        <w:t>6</w:t>
      </w:r>
      <w:r>
        <w:t>–1</w:t>
      </w:r>
      <w:r w:rsidR="00B804ED">
        <w:t>7</w:t>
      </w:r>
      <w:bookmarkEnd w:id="283"/>
      <w:bookmarkEnd w:id="284"/>
      <w:bookmarkEnd w:id="285"/>
      <w:bookmarkEnd w:id="286"/>
      <w:bookmarkEnd w:id="287"/>
      <w:bookmarkEnd w:id="288"/>
      <w:bookmarkEnd w:id="289"/>
      <w:bookmarkEnd w:id="290"/>
      <w:bookmarkEnd w:id="291"/>
    </w:p>
    <w:tbl>
      <w:tblPr>
        <w:tblStyle w:val="TableGrid"/>
        <w:tblW w:w="9781" w:type="dxa"/>
        <w:tblBorders>
          <w:top w:val="none" w:sz="0" w:space="0" w:color="auto"/>
          <w:left w:val="none" w:sz="0" w:space="0" w:color="auto"/>
          <w:bottom w:val="dotted" w:sz="4" w:space="0" w:color="0C9FCD"/>
          <w:right w:val="none" w:sz="0" w:space="0" w:color="auto"/>
          <w:insideH w:val="dotted" w:sz="8" w:space="0" w:color="auto"/>
          <w:insideV w:val="none" w:sz="0" w:space="0" w:color="auto"/>
        </w:tblBorders>
        <w:tblLayout w:type="fixed"/>
        <w:tblLook w:val="04A0" w:firstRow="1" w:lastRow="0" w:firstColumn="1" w:lastColumn="0" w:noHBand="0" w:noVBand="1"/>
      </w:tblPr>
      <w:tblGrid>
        <w:gridCol w:w="309"/>
        <w:gridCol w:w="2351"/>
        <w:gridCol w:w="1682"/>
        <w:gridCol w:w="1766"/>
        <w:gridCol w:w="1765"/>
        <w:gridCol w:w="1908"/>
      </w:tblGrid>
      <w:tr w:rsidR="00FD135A" w:rsidRPr="00506058" w14:paraId="2308C0C9" w14:textId="77777777" w:rsidTr="00C637F3">
        <w:tc>
          <w:tcPr>
            <w:tcW w:w="2660" w:type="dxa"/>
            <w:gridSpan w:val="2"/>
            <w:tcBorders>
              <w:top w:val="nil"/>
              <w:bottom w:val="nil"/>
            </w:tcBorders>
            <w:shd w:val="clear" w:color="auto" w:fill="159DCE"/>
            <w:vAlign w:val="center"/>
          </w:tcPr>
          <w:p w14:paraId="6B870054" w14:textId="77777777" w:rsidR="00FD135A" w:rsidRPr="00F14487" w:rsidRDefault="00FD135A" w:rsidP="003C5AE7">
            <w:pPr>
              <w:spacing w:before="60" w:after="60"/>
              <w:rPr>
                <w:rFonts w:asciiTheme="minorHAnsi" w:hAnsiTheme="minorHAnsi" w:cstheme="minorHAnsi"/>
                <w:b/>
                <w:color w:val="FFFFFF" w:themeColor="background1"/>
                <w:sz w:val="20"/>
                <w:szCs w:val="20"/>
              </w:rPr>
            </w:pPr>
            <w:r w:rsidRPr="00F14487">
              <w:rPr>
                <w:rFonts w:asciiTheme="minorHAnsi" w:hAnsiTheme="minorHAnsi" w:cstheme="minorHAnsi"/>
                <w:b/>
                <w:color w:val="FFFFFF" w:themeColor="background1"/>
                <w:sz w:val="20"/>
                <w:szCs w:val="20"/>
              </w:rPr>
              <w:t>Emission</w:t>
            </w:r>
            <w:r w:rsidR="00DD4FD4" w:rsidRPr="00F14487">
              <w:rPr>
                <w:rFonts w:asciiTheme="minorHAnsi" w:hAnsiTheme="minorHAnsi" w:cstheme="minorHAnsi"/>
                <w:b/>
                <w:color w:val="FFFFFF" w:themeColor="background1"/>
                <w:sz w:val="20"/>
                <w:szCs w:val="20"/>
              </w:rPr>
              <w:t>s</w:t>
            </w:r>
            <w:r w:rsidRPr="00F14487">
              <w:rPr>
                <w:rFonts w:asciiTheme="minorHAnsi" w:hAnsiTheme="minorHAnsi" w:cstheme="minorHAnsi"/>
                <w:b/>
                <w:color w:val="FFFFFF" w:themeColor="background1"/>
                <w:sz w:val="20"/>
                <w:szCs w:val="20"/>
              </w:rPr>
              <w:t xml:space="preserve"> source</w:t>
            </w:r>
          </w:p>
        </w:tc>
        <w:tc>
          <w:tcPr>
            <w:tcW w:w="1682" w:type="dxa"/>
            <w:tcBorders>
              <w:top w:val="nil"/>
              <w:bottom w:val="nil"/>
            </w:tcBorders>
            <w:shd w:val="clear" w:color="auto" w:fill="159DCE"/>
            <w:vAlign w:val="center"/>
          </w:tcPr>
          <w:p w14:paraId="35247992" w14:textId="77777777" w:rsidR="00FD135A" w:rsidRPr="00F14487" w:rsidRDefault="00FD135A" w:rsidP="003C5AE7">
            <w:pPr>
              <w:spacing w:before="60" w:after="60"/>
              <w:jc w:val="right"/>
              <w:rPr>
                <w:rFonts w:asciiTheme="minorHAnsi" w:hAnsiTheme="minorHAnsi" w:cstheme="minorHAnsi"/>
                <w:b/>
                <w:color w:val="FFFFFF" w:themeColor="background1"/>
                <w:sz w:val="20"/>
                <w:szCs w:val="20"/>
              </w:rPr>
            </w:pPr>
            <w:r w:rsidRPr="00F14487">
              <w:rPr>
                <w:rFonts w:asciiTheme="minorHAnsi" w:hAnsiTheme="minorHAnsi" w:cstheme="minorHAnsi"/>
                <w:b/>
                <w:color w:val="FFFFFF" w:themeColor="background1"/>
                <w:sz w:val="20"/>
                <w:szCs w:val="20"/>
              </w:rPr>
              <w:t>Total Australian emissions</w:t>
            </w:r>
          </w:p>
        </w:tc>
        <w:tc>
          <w:tcPr>
            <w:tcW w:w="1766" w:type="dxa"/>
            <w:tcBorders>
              <w:top w:val="nil"/>
              <w:bottom w:val="nil"/>
            </w:tcBorders>
            <w:shd w:val="clear" w:color="auto" w:fill="159DCE"/>
          </w:tcPr>
          <w:p w14:paraId="5358B4F9" w14:textId="77777777" w:rsidR="00FD135A" w:rsidRPr="00F14487" w:rsidRDefault="00FD135A" w:rsidP="003C5AE7">
            <w:pPr>
              <w:spacing w:before="60" w:after="60"/>
              <w:jc w:val="right"/>
              <w:rPr>
                <w:rFonts w:asciiTheme="minorHAnsi" w:hAnsiTheme="minorHAnsi" w:cstheme="minorHAnsi"/>
                <w:b/>
                <w:color w:val="FFFFFF" w:themeColor="background1"/>
                <w:sz w:val="20"/>
                <w:szCs w:val="20"/>
              </w:rPr>
            </w:pPr>
            <w:r w:rsidRPr="00F14487">
              <w:rPr>
                <w:rFonts w:asciiTheme="minorHAnsi" w:hAnsiTheme="minorHAnsi" w:cstheme="minorHAnsi"/>
                <w:b/>
                <w:color w:val="FFFFFF" w:themeColor="background1"/>
                <w:sz w:val="20"/>
                <w:szCs w:val="20"/>
              </w:rPr>
              <w:t>Emission</w:t>
            </w:r>
            <w:r w:rsidR="00DD4FD4" w:rsidRPr="00F14487">
              <w:rPr>
                <w:rFonts w:asciiTheme="minorHAnsi" w:hAnsiTheme="minorHAnsi" w:cstheme="minorHAnsi"/>
                <w:b/>
                <w:color w:val="FFFFFF" w:themeColor="background1"/>
                <w:sz w:val="20"/>
                <w:szCs w:val="20"/>
              </w:rPr>
              <w:t>s</w:t>
            </w:r>
            <w:r w:rsidRPr="00F14487">
              <w:rPr>
                <w:rFonts w:asciiTheme="minorHAnsi" w:hAnsiTheme="minorHAnsi" w:cstheme="minorHAnsi"/>
                <w:b/>
                <w:color w:val="FFFFFF" w:themeColor="background1"/>
                <w:sz w:val="20"/>
                <w:szCs w:val="20"/>
              </w:rPr>
              <w:t xml:space="preserve"> source contribution to Australia’s emissions</w:t>
            </w:r>
          </w:p>
        </w:tc>
        <w:tc>
          <w:tcPr>
            <w:tcW w:w="1765" w:type="dxa"/>
            <w:tcBorders>
              <w:top w:val="nil"/>
              <w:bottom w:val="nil"/>
            </w:tcBorders>
            <w:shd w:val="clear" w:color="auto" w:fill="159DCE"/>
            <w:vAlign w:val="center"/>
          </w:tcPr>
          <w:p w14:paraId="0D23939F" w14:textId="77777777" w:rsidR="00FD135A" w:rsidRPr="00F14487" w:rsidRDefault="00FD135A" w:rsidP="003C5AE7">
            <w:pPr>
              <w:spacing w:before="60" w:after="60"/>
              <w:jc w:val="right"/>
              <w:rPr>
                <w:rFonts w:asciiTheme="minorHAnsi" w:hAnsiTheme="minorHAnsi" w:cstheme="minorHAnsi"/>
                <w:b/>
                <w:color w:val="FFFFFF" w:themeColor="background1"/>
                <w:sz w:val="20"/>
                <w:szCs w:val="20"/>
              </w:rPr>
            </w:pPr>
            <w:r w:rsidRPr="00F14487">
              <w:rPr>
                <w:rFonts w:asciiTheme="minorHAnsi" w:hAnsiTheme="minorHAnsi" w:cstheme="minorHAnsi"/>
                <w:b/>
                <w:color w:val="FFFFFF" w:themeColor="background1"/>
                <w:sz w:val="20"/>
                <w:szCs w:val="20"/>
              </w:rPr>
              <w:t>Total reported emissions</w:t>
            </w:r>
          </w:p>
        </w:tc>
        <w:tc>
          <w:tcPr>
            <w:tcW w:w="1908" w:type="dxa"/>
            <w:tcBorders>
              <w:top w:val="nil"/>
              <w:bottom w:val="nil"/>
            </w:tcBorders>
            <w:shd w:val="clear" w:color="auto" w:fill="159DCE"/>
            <w:vAlign w:val="center"/>
          </w:tcPr>
          <w:p w14:paraId="28E2E21A" w14:textId="77777777" w:rsidR="00FD135A" w:rsidRPr="00F14487" w:rsidRDefault="00FD135A" w:rsidP="003C5AE7">
            <w:pPr>
              <w:spacing w:before="60" w:after="60"/>
              <w:jc w:val="right"/>
              <w:rPr>
                <w:rFonts w:asciiTheme="minorHAnsi" w:hAnsiTheme="minorHAnsi" w:cstheme="minorHAnsi"/>
                <w:b/>
                <w:color w:val="FFFFFF" w:themeColor="background1"/>
                <w:sz w:val="20"/>
                <w:szCs w:val="20"/>
              </w:rPr>
            </w:pPr>
            <w:r w:rsidRPr="00F14487">
              <w:rPr>
                <w:rFonts w:asciiTheme="minorHAnsi" w:hAnsiTheme="minorHAnsi" w:cstheme="minorHAnsi"/>
                <w:b/>
                <w:color w:val="FFFFFF" w:themeColor="background1"/>
                <w:sz w:val="20"/>
                <w:szCs w:val="20"/>
              </w:rPr>
              <w:t>Proportion of source emissions reported</w:t>
            </w:r>
          </w:p>
        </w:tc>
      </w:tr>
      <w:tr w:rsidR="00FD135A" w:rsidRPr="00506058" w14:paraId="1FA71DF2" w14:textId="77777777" w:rsidTr="00C637F3">
        <w:tc>
          <w:tcPr>
            <w:tcW w:w="2660" w:type="dxa"/>
            <w:gridSpan w:val="2"/>
            <w:tcBorders>
              <w:top w:val="nil"/>
              <w:bottom w:val="dotted" w:sz="4" w:space="0" w:color="309CC8" w:themeColor="text2"/>
            </w:tcBorders>
            <w:shd w:val="clear" w:color="auto" w:fill="159DCE"/>
            <w:vAlign w:val="center"/>
          </w:tcPr>
          <w:p w14:paraId="21D8A17C" w14:textId="77777777" w:rsidR="00FD135A" w:rsidRPr="00F14487" w:rsidRDefault="00FD135A" w:rsidP="003C5AE7">
            <w:pPr>
              <w:spacing w:before="60" w:after="60"/>
              <w:rPr>
                <w:rFonts w:asciiTheme="minorHAnsi" w:hAnsiTheme="minorHAnsi" w:cstheme="minorHAnsi"/>
                <w:b/>
                <w:color w:val="FFFFFF" w:themeColor="background1"/>
                <w:sz w:val="20"/>
                <w:szCs w:val="20"/>
              </w:rPr>
            </w:pPr>
          </w:p>
        </w:tc>
        <w:tc>
          <w:tcPr>
            <w:tcW w:w="1682" w:type="dxa"/>
            <w:tcBorders>
              <w:top w:val="nil"/>
              <w:bottom w:val="dotted" w:sz="4" w:space="0" w:color="309CC8" w:themeColor="text2"/>
            </w:tcBorders>
            <w:shd w:val="clear" w:color="auto" w:fill="159DCE"/>
            <w:vAlign w:val="center"/>
          </w:tcPr>
          <w:p w14:paraId="0EB7C9F2" w14:textId="3EE9ABEF" w:rsidR="00FD135A" w:rsidRPr="00F14487" w:rsidRDefault="00D44F2B" w:rsidP="003C5AE7">
            <w:pPr>
              <w:spacing w:before="60" w:after="60"/>
              <w:jc w:val="righ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w:t>
            </w:r>
            <w:r w:rsidR="00FD135A" w:rsidRPr="00F14487">
              <w:rPr>
                <w:rFonts w:asciiTheme="minorHAnsi" w:hAnsiTheme="minorHAnsi" w:cstheme="minorHAnsi"/>
                <w:b/>
                <w:color w:val="FFFFFF" w:themeColor="background1"/>
                <w:sz w:val="20"/>
                <w:szCs w:val="20"/>
              </w:rPr>
              <w:t>Mt CO</w:t>
            </w:r>
            <w:r w:rsidR="00FD135A" w:rsidRPr="00F14487">
              <w:rPr>
                <w:rFonts w:asciiTheme="minorHAnsi" w:hAnsiTheme="minorHAnsi" w:cstheme="minorHAnsi"/>
                <w:b/>
                <w:color w:val="FFFFFF" w:themeColor="background1"/>
                <w:sz w:val="20"/>
                <w:szCs w:val="20"/>
                <w:vertAlign w:val="subscript"/>
              </w:rPr>
              <w:t>2</w:t>
            </w:r>
            <w:r w:rsidR="00FD135A" w:rsidRPr="00F14487">
              <w:rPr>
                <w:rFonts w:asciiTheme="minorHAnsi" w:hAnsiTheme="minorHAnsi" w:cstheme="minorHAnsi"/>
                <w:b/>
                <w:color w:val="FFFFFF" w:themeColor="background1"/>
                <w:sz w:val="20"/>
                <w:szCs w:val="20"/>
              </w:rPr>
              <w:t>-e</w:t>
            </w:r>
            <w:r>
              <w:rPr>
                <w:rFonts w:asciiTheme="minorHAnsi" w:hAnsiTheme="minorHAnsi" w:cstheme="minorHAnsi"/>
                <w:b/>
                <w:color w:val="FFFFFF" w:themeColor="background1"/>
                <w:sz w:val="20"/>
                <w:szCs w:val="20"/>
              </w:rPr>
              <w:t>)</w:t>
            </w:r>
          </w:p>
        </w:tc>
        <w:tc>
          <w:tcPr>
            <w:tcW w:w="1766" w:type="dxa"/>
            <w:tcBorders>
              <w:top w:val="nil"/>
              <w:bottom w:val="dotted" w:sz="4" w:space="0" w:color="309CC8" w:themeColor="text2"/>
            </w:tcBorders>
            <w:shd w:val="clear" w:color="auto" w:fill="159DCE"/>
          </w:tcPr>
          <w:p w14:paraId="3BCB0FB9" w14:textId="6900C5AB" w:rsidR="00FD135A" w:rsidRPr="00F14487" w:rsidRDefault="00D44F2B" w:rsidP="003C5AE7">
            <w:pPr>
              <w:spacing w:before="60" w:after="60"/>
              <w:jc w:val="righ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w:t>
            </w:r>
            <w:r w:rsidR="00D85A77" w:rsidRPr="00F14487">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w:t>
            </w:r>
          </w:p>
        </w:tc>
        <w:tc>
          <w:tcPr>
            <w:tcW w:w="1765" w:type="dxa"/>
            <w:tcBorders>
              <w:top w:val="nil"/>
              <w:bottom w:val="dotted" w:sz="4" w:space="0" w:color="309CC8" w:themeColor="text2"/>
            </w:tcBorders>
            <w:shd w:val="clear" w:color="auto" w:fill="159DCE"/>
            <w:vAlign w:val="center"/>
          </w:tcPr>
          <w:p w14:paraId="7826F8A1" w14:textId="119BF797" w:rsidR="00FD135A" w:rsidRPr="00F14487" w:rsidRDefault="00D44F2B" w:rsidP="003C5AE7">
            <w:pPr>
              <w:spacing w:before="60" w:after="60"/>
              <w:jc w:val="righ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w:t>
            </w:r>
            <w:r w:rsidR="00FD135A" w:rsidRPr="00F14487">
              <w:rPr>
                <w:rFonts w:asciiTheme="minorHAnsi" w:hAnsiTheme="minorHAnsi" w:cstheme="minorHAnsi"/>
                <w:b/>
                <w:color w:val="FFFFFF" w:themeColor="background1"/>
                <w:sz w:val="20"/>
                <w:szCs w:val="20"/>
              </w:rPr>
              <w:t>Mt CO</w:t>
            </w:r>
            <w:r w:rsidR="00FD135A" w:rsidRPr="00F14487">
              <w:rPr>
                <w:rFonts w:asciiTheme="minorHAnsi" w:hAnsiTheme="minorHAnsi" w:cstheme="minorHAnsi"/>
                <w:b/>
                <w:color w:val="FFFFFF" w:themeColor="background1"/>
                <w:sz w:val="20"/>
                <w:szCs w:val="20"/>
                <w:vertAlign w:val="subscript"/>
              </w:rPr>
              <w:t>2</w:t>
            </w:r>
            <w:r w:rsidR="00FD135A" w:rsidRPr="00F14487">
              <w:rPr>
                <w:rFonts w:asciiTheme="minorHAnsi" w:hAnsiTheme="minorHAnsi" w:cstheme="minorHAnsi"/>
                <w:b/>
                <w:color w:val="FFFFFF" w:themeColor="background1"/>
                <w:sz w:val="20"/>
                <w:szCs w:val="20"/>
              </w:rPr>
              <w:t>-e</w:t>
            </w:r>
            <w:r>
              <w:rPr>
                <w:rFonts w:asciiTheme="minorHAnsi" w:hAnsiTheme="minorHAnsi" w:cstheme="minorHAnsi"/>
                <w:b/>
                <w:color w:val="FFFFFF" w:themeColor="background1"/>
                <w:sz w:val="20"/>
                <w:szCs w:val="20"/>
              </w:rPr>
              <w:t>)</w:t>
            </w:r>
          </w:p>
        </w:tc>
        <w:tc>
          <w:tcPr>
            <w:tcW w:w="1908" w:type="dxa"/>
            <w:tcBorders>
              <w:top w:val="nil"/>
              <w:bottom w:val="dotted" w:sz="4" w:space="0" w:color="309CC8" w:themeColor="text2"/>
            </w:tcBorders>
            <w:shd w:val="clear" w:color="auto" w:fill="159DCE"/>
            <w:vAlign w:val="center"/>
          </w:tcPr>
          <w:p w14:paraId="0A1D432F" w14:textId="50FD0E37" w:rsidR="00FD135A" w:rsidRPr="00F14487" w:rsidRDefault="00D44F2B" w:rsidP="003C5AE7">
            <w:pPr>
              <w:spacing w:before="60" w:after="60"/>
              <w:jc w:val="righ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w:t>
            </w:r>
            <w:r w:rsidR="00D85A77" w:rsidRPr="00F14487">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w:t>
            </w:r>
          </w:p>
        </w:tc>
      </w:tr>
      <w:tr w:rsidR="005D1DDB" w:rsidRPr="00506058" w14:paraId="6BFBC450" w14:textId="77777777" w:rsidTr="00C637F3">
        <w:tc>
          <w:tcPr>
            <w:tcW w:w="2660" w:type="dxa"/>
            <w:gridSpan w:val="2"/>
            <w:tcBorders>
              <w:top w:val="dotted" w:sz="4" w:space="0" w:color="309CC8" w:themeColor="text2"/>
              <w:bottom w:val="dotted" w:sz="4" w:space="0" w:color="309CC8" w:themeColor="text2"/>
            </w:tcBorders>
            <w:vAlign w:val="bottom"/>
          </w:tcPr>
          <w:p w14:paraId="69348568" w14:textId="77777777" w:rsidR="005D1DDB" w:rsidRPr="00F14487" w:rsidRDefault="005D1DDB" w:rsidP="005D1DDB">
            <w:pPr>
              <w:spacing w:before="60" w:after="60"/>
              <w:rPr>
                <w:rFonts w:asciiTheme="minorHAnsi" w:hAnsiTheme="minorHAnsi" w:cstheme="minorHAnsi"/>
                <w:sz w:val="20"/>
                <w:szCs w:val="20"/>
              </w:rPr>
            </w:pPr>
            <w:r w:rsidRPr="00F14487">
              <w:rPr>
                <w:rFonts w:asciiTheme="minorHAnsi" w:hAnsiTheme="minorHAnsi" w:cstheme="minorHAnsi"/>
                <w:color w:val="000000"/>
                <w:sz w:val="20"/>
                <w:szCs w:val="20"/>
              </w:rPr>
              <w:t xml:space="preserve">Energy </w:t>
            </w:r>
            <w:r w:rsidR="002053BB" w:rsidRPr="00F14487">
              <w:rPr>
                <w:rFonts w:asciiTheme="minorHAnsi" w:hAnsiTheme="minorHAnsi" w:cstheme="minorHAnsi"/>
                <w:color w:val="000000"/>
                <w:sz w:val="20"/>
                <w:szCs w:val="20"/>
              </w:rPr>
              <w:t>–</w:t>
            </w:r>
            <w:r w:rsidRPr="00F14487">
              <w:rPr>
                <w:rFonts w:asciiTheme="minorHAnsi" w:hAnsiTheme="minorHAnsi" w:cstheme="minorHAnsi"/>
                <w:color w:val="000000"/>
                <w:sz w:val="20"/>
                <w:szCs w:val="20"/>
              </w:rPr>
              <w:t xml:space="preserve"> fuel combustion</w:t>
            </w:r>
          </w:p>
        </w:tc>
        <w:tc>
          <w:tcPr>
            <w:tcW w:w="1682" w:type="dxa"/>
            <w:tcBorders>
              <w:top w:val="dotted" w:sz="4" w:space="0" w:color="309CC8" w:themeColor="text2"/>
              <w:bottom w:val="dotted" w:sz="4" w:space="0" w:color="309CC8" w:themeColor="text2"/>
            </w:tcBorders>
            <w:vAlign w:val="bottom"/>
          </w:tcPr>
          <w:p w14:paraId="1EEEE556" w14:textId="77777777" w:rsidR="005D1DDB" w:rsidRPr="00F14487" w:rsidRDefault="005D1DDB" w:rsidP="005D1DDB">
            <w:pPr>
              <w:spacing w:before="60" w:after="60"/>
              <w:jc w:val="right"/>
              <w:rPr>
                <w:rFonts w:asciiTheme="minorHAnsi" w:hAnsiTheme="minorHAnsi" w:cstheme="minorHAnsi"/>
                <w:color w:val="000000"/>
                <w:sz w:val="20"/>
                <w:szCs w:val="20"/>
              </w:rPr>
            </w:pPr>
          </w:p>
        </w:tc>
        <w:tc>
          <w:tcPr>
            <w:tcW w:w="1766" w:type="dxa"/>
            <w:tcBorders>
              <w:top w:val="dotted" w:sz="4" w:space="0" w:color="309CC8" w:themeColor="text2"/>
              <w:bottom w:val="dotted" w:sz="4" w:space="0" w:color="309CC8" w:themeColor="text2"/>
            </w:tcBorders>
            <w:vAlign w:val="bottom"/>
          </w:tcPr>
          <w:p w14:paraId="4DE0E610" w14:textId="77777777" w:rsidR="005D1DDB" w:rsidRPr="00F14487" w:rsidRDefault="005D1DDB" w:rsidP="005D1DDB">
            <w:pPr>
              <w:spacing w:before="60" w:after="60"/>
              <w:jc w:val="right"/>
              <w:rPr>
                <w:rFonts w:asciiTheme="minorHAnsi" w:hAnsiTheme="minorHAnsi" w:cstheme="minorHAnsi"/>
                <w:color w:val="000000"/>
                <w:sz w:val="20"/>
                <w:szCs w:val="20"/>
              </w:rPr>
            </w:pPr>
          </w:p>
        </w:tc>
        <w:tc>
          <w:tcPr>
            <w:tcW w:w="1765" w:type="dxa"/>
            <w:tcBorders>
              <w:top w:val="dotted" w:sz="4" w:space="0" w:color="309CC8" w:themeColor="text2"/>
              <w:bottom w:val="dotted" w:sz="4" w:space="0" w:color="309CC8" w:themeColor="text2"/>
            </w:tcBorders>
            <w:vAlign w:val="bottom"/>
          </w:tcPr>
          <w:p w14:paraId="47E6DB23" w14:textId="77777777" w:rsidR="005D1DDB" w:rsidRPr="00F14487" w:rsidRDefault="005D1DDB" w:rsidP="005D1DDB">
            <w:pPr>
              <w:spacing w:before="60" w:after="60"/>
              <w:jc w:val="right"/>
              <w:rPr>
                <w:rFonts w:asciiTheme="minorHAnsi" w:hAnsiTheme="minorHAnsi" w:cstheme="minorHAnsi"/>
                <w:color w:val="000000"/>
                <w:sz w:val="20"/>
                <w:szCs w:val="20"/>
              </w:rPr>
            </w:pPr>
          </w:p>
        </w:tc>
        <w:tc>
          <w:tcPr>
            <w:tcW w:w="1908" w:type="dxa"/>
            <w:tcBorders>
              <w:top w:val="dotted" w:sz="4" w:space="0" w:color="309CC8" w:themeColor="text2"/>
              <w:bottom w:val="dotted" w:sz="4" w:space="0" w:color="309CC8" w:themeColor="text2"/>
            </w:tcBorders>
            <w:vAlign w:val="bottom"/>
          </w:tcPr>
          <w:p w14:paraId="7E71BA0F" w14:textId="77777777" w:rsidR="005D1DDB" w:rsidRPr="00F14487" w:rsidRDefault="005D1DDB" w:rsidP="005D1DDB">
            <w:pPr>
              <w:spacing w:before="60" w:after="60"/>
              <w:jc w:val="right"/>
              <w:rPr>
                <w:rFonts w:asciiTheme="minorHAnsi" w:hAnsiTheme="minorHAnsi" w:cstheme="minorHAnsi"/>
                <w:sz w:val="20"/>
                <w:szCs w:val="20"/>
              </w:rPr>
            </w:pPr>
          </w:p>
        </w:tc>
      </w:tr>
      <w:tr w:rsidR="00E3738A" w:rsidRPr="00771345" w14:paraId="7EA619BE" w14:textId="77777777" w:rsidTr="00C637F3">
        <w:tc>
          <w:tcPr>
            <w:tcW w:w="309" w:type="dxa"/>
            <w:tcBorders>
              <w:top w:val="dotted" w:sz="4" w:space="0" w:color="309CC8" w:themeColor="text2"/>
              <w:bottom w:val="dotted" w:sz="4" w:space="0" w:color="309CC8" w:themeColor="text2"/>
            </w:tcBorders>
            <w:vAlign w:val="bottom"/>
          </w:tcPr>
          <w:p w14:paraId="34A71C70" w14:textId="77777777" w:rsidR="00E3738A" w:rsidRPr="00F14487" w:rsidRDefault="00E3738A" w:rsidP="00E3738A">
            <w:pPr>
              <w:spacing w:before="60" w:after="60"/>
              <w:rPr>
                <w:rFonts w:asciiTheme="minorHAnsi" w:hAnsiTheme="minorHAnsi" w:cstheme="minorHAnsi"/>
                <w:i/>
                <w:sz w:val="20"/>
                <w:szCs w:val="20"/>
              </w:rPr>
            </w:pPr>
          </w:p>
        </w:tc>
        <w:tc>
          <w:tcPr>
            <w:tcW w:w="2351" w:type="dxa"/>
            <w:tcBorders>
              <w:top w:val="dotted" w:sz="4" w:space="0" w:color="309CC8" w:themeColor="text2"/>
              <w:bottom w:val="dotted" w:sz="4" w:space="0" w:color="309CC8" w:themeColor="text2"/>
            </w:tcBorders>
            <w:vAlign w:val="bottom"/>
          </w:tcPr>
          <w:p w14:paraId="09FAB368" w14:textId="77777777" w:rsidR="00E3738A" w:rsidRPr="00F14487" w:rsidRDefault="00E3738A" w:rsidP="00E3738A">
            <w:pPr>
              <w:spacing w:before="60" w:after="60"/>
              <w:rPr>
                <w:rFonts w:asciiTheme="minorHAnsi" w:hAnsiTheme="minorHAnsi" w:cstheme="minorHAnsi"/>
                <w:i/>
                <w:sz w:val="20"/>
                <w:szCs w:val="20"/>
              </w:rPr>
            </w:pPr>
            <w:r w:rsidRPr="00F14487">
              <w:rPr>
                <w:rFonts w:asciiTheme="minorHAnsi" w:hAnsiTheme="minorHAnsi" w:cstheme="minorHAnsi"/>
                <w:i/>
                <w:color w:val="000000"/>
                <w:sz w:val="20"/>
                <w:szCs w:val="20"/>
              </w:rPr>
              <w:t>Electricity generation</w:t>
            </w:r>
          </w:p>
        </w:tc>
        <w:tc>
          <w:tcPr>
            <w:tcW w:w="1682" w:type="dxa"/>
            <w:tcBorders>
              <w:top w:val="dotted" w:sz="4" w:space="0" w:color="309CC8" w:themeColor="text2"/>
              <w:bottom w:val="dotted" w:sz="4" w:space="0" w:color="309CC8" w:themeColor="text2"/>
            </w:tcBorders>
            <w:vAlign w:val="bottom"/>
          </w:tcPr>
          <w:p w14:paraId="71C15187" w14:textId="77777777" w:rsidR="00E3738A" w:rsidRPr="00F14487" w:rsidRDefault="00E3738A" w:rsidP="00E3738A">
            <w:pPr>
              <w:spacing w:before="60" w:after="60"/>
              <w:jc w:val="right"/>
              <w:rPr>
                <w:rFonts w:asciiTheme="minorHAnsi" w:hAnsiTheme="minorHAnsi" w:cstheme="minorHAnsi"/>
                <w:i/>
                <w:color w:val="000000"/>
                <w:sz w:val="20"/>
                <w:szCs w:val="20"/>
              </w:rPr>
            </w:pPr>
            <w:r w:rsidRPr="00F14487">
              <w:rPr>
                <w:rFonts w:asciiTheme="minorHAnsi" w:hAnsiTheme="minorHAnsi" w:cstheme="minorHAnsi"/>
                <w:i/>
                <w:color w:val="000000"/>
                <w:sz w:val="20"/>
                <w:szCs w:val="20"/>
              </w:rPr>
              <w:t>187</w:t>
            </w:r>
          </w:p>
        </w:tc>
        <w:tc>
          <w:tcPr>
            <w:tcW w:w="1766" w:type="dxa"/>
            <w:tcBorders>
              <w:top w:val="dotted" w:sz="4" w:space="0" w:color="309CC8" w:themeColor="text2"/>
              <w:bottom w:val="dotted" w:sz="4" w:space="0" w:color="309CC8" w:themeColor="text2"/>
            </w:tcBorders>
            <w:vAlign w:val="bottom"/>
          </w:tcPr>
          <w:p w14:paraId="2061A374" w14:textId="77777777" w:rsidR="00E3738A" w:rsidRPr="00F14487" w:rsidRDefault="00E3738A" w:rsidP="00E3738A">
            <w:pPr>
              <w:spacing w:before="60" w:after="60"/>
              <w:jc w:val="right"/>
              <w:rPr>
                <w:rFonts w:asciiTheme="minorHAnsi" w:hAnsiTheme="minorHAnsi" w:cstheme="minorHAnsi"/>
                <w:i/>
                <w:color w:val="000000"/>
                <w:sz w:val="20"/>
                <w:szCs w:val="20"/>
              </w:rPr>
            </w:pPr>
            <w:r w:rsidRPr="00F14487">
              <w:rPr>
                <w:rFonts w:asciiTheme="minorHAnsi" w:hAnsiTheme="minorHAnsi" w:cstheme="minorHAnsi"/>
                <w:i/>
                <w:color w:val="000000"/>
                <w:sz w:val="20"/>
                <w:szCs w:val="20"/>
              </w:rPr>
              <w:t>35</w:t>
            </w:r>
          </w:p>
        </w:tc>
        <w:tc>
          <w:tcPr>
            <w:tcW w:w="1765" w:type="dxa"/>
            <w:tcBorders>
              <w:top w:val="dotted" w:sz="4" w:space="0" w:color="309CC8" w:themeColor="text2"/>
              <w:bottom w:val="dotted" w:sz="4" w:space="0" w:color="309CC8" w:themeColor="text2"/>
            </w:tcBorders>
            <w:vAlign w:val="bottom"/>
          </w:tcPr>
          <w:p w14:paraId="5CC852E9" w14:textId="77777777" w:rsidR="00E3738A" w:rsidRPr="00F14487" w:rsidRDefault="00E3738A" w:rsidP="00E3738A">
            <w:pPr>
              <w:spacing w:before="60" w:after="60"/>
              <w:jc w:val="right"/>
              <w:rPr>
                <w:rFonts w:asciiTheme="minorHAnsi" w:hAnsiTheme="minorHAnsi" w:cstheme="minorHAnsi"/>
                <w:i/>
                <w:color w:val="000000"/>
                <w:sz w:val="20"/>
                <w:szCs w:val="20"/>
              </w:rPr>
            </w:pPr>
            <w:r w:rsidRPr="00F14487">
              <w:rPr>
                <w:rFonts w:asciiTheme="minorHAnsi" w:hAnsiTheme="minorHAnsi" w:cstheme="minorHAnsi"/>
                <w:i/>
                <w:color w:val="000000"/>
                <w:sz w:val="20"/>
                <w:szCs w:val="20"/>
              </w:rPr>
              <w:t>188</w:t>
            </w:r>
          </w:p>
        </w:tc>
        <w:tc>
          <w:tcPr>
            <w:tcW w:w="1908" w:type="dxa"/>
            <w:tcBorders>
              <w:top w:val="dotted" w:sz="4" w:space="0" w:color="309CC8" w:themeColor="text2"/>
              <w:bottom w:val="dotted" w:sz="4" w:space="0" w:color="309CC8" w:themeColor="text2"/>
            </w:tcBorders>
            <w:vAlign w:val="bottom"/>
          </w:tcPr>
          <w:p w14:paraId="0C219036" w14:textId="77777777" w:rsidR="00E3738A" w:rsidRPr="00F14487" w:rsidRDefault="00E3738A" w:rsidP="00E3738A">
            <w:pPr>
              <w:spacing w:before="60" w:after="60"/>
              <w:jc w:val="right"/>
              <w:rPr>
                <w:rFonts w:asciiTheme="minorHAnsi" w:hAnsiTheme="minorHAnsi" w:cstheme="minorHAnsi"/>
                <w:i/>
                <w:sz w:val="20"/>
                <w:szCs w:val="20"/>
              </w:rPr>
            </w:pPr>
            <w:r w:rsidRPr="00F14487">
              <w:rPr>
                <w:rFonts w:asciiTheme="minorHAnsi" w:hAnsiTheme="minorHAnsi" w:cstheme="minorHAnsi"/>
                <w:i/>
                <w:color w:val="000000"/>
                <w:sz w:val="20"/>
                <w:szCs w:val="20"/>
              </w:rPr>
              <w:t>100</w:t>
            </w:r>
          </w:p>
        </w:tc>
      </w:tr>
      <w:tr w:rsidR="00E3738A" w:rsidRPr="00771345" w14:paraId="1CD2A5C3" w14:textId="77777777" w:rsidTr="00C637F3">
        <w:tc>
          <w:tcPr>
            <w:tcW w:w="309" w:type="dxa"/>
            <w:tcBorders>
              <w:top w:val="dotted" w:sz="4" w:space="0" w:color="309CC8" w:themeColor="text2"/>
              <w:bottom w:val="dotted" w:sz="4" w:space="0" w:color="309CC8" w:themeColor="text2"/>
            </w:tcBorders>
            <w:vAlign w:val="bottom"/>
          </w:tcPr>
          <w:p w14:paraId="45367BB8" w14:textId="77777777" w:rsidR="00E3738A" w:rsidRPr="00F14487" w:rsidRDefault="00E3738A" w:rsidP="00E3738A">
            <w:pPr>
              <w:spacing w:before="60" w:after="60"/>
              <w:rPr>
                <w:rFonts w:asciiTheme="minorHAnsi" w:hAnsiTheme="minorHAnsi" w:cstheme="minorHAnsi"/>
                <w:i/>
                <w:sz w:val="20"/>
                <w:szCs w:val="20"/>
              </w:rPr>
            </w:pPr>
          </w:p>
        </w:tc>
        <w:tc>
          <w:tcPr>
            <w:tcW w:w="2351" w:type="dxa"/>
            <w:tcBorders>
              <w:top w:val="dotted" w:sz="4" w:space="0" w:color="309CC8" w:themeColor="text2"/>
              <w:bottom w:val="dotted" w:sz="4" w:space="0" w:color="309CC8" w:themeColor="text2"/>
            </w:tcBorders>
            <w:vAlign w:val="bottom"/>
          </w:tcPr>
          <w:p w14:paraId="563518AF" w14:textId="77777777" w:rsidR="00E3738A" w:rsidRPr="00F14487" w:rsidRDefault="00E3738A" w:rsidP="00E3738A">
            <w:pPr>
              <w:spacing w:before="60" w:after="60"/>
              <w:rPr>
                <w:rFonts w:asciiTheme="minorHAnsi" w:hAnsiTheme="minorHAnsi" w:cstheme="minorHAnsi"/>
                <w:i/>
                <w:sz w:val="20"/>
                <w:szCs w:val="20"/>
              </w:rPr>
            </w:pPr>
            <w:r w:rsidRPr="00F14487">
              <w:rPr>
                <w:rFonts w:asciiTheme="minorHAnsi" w:hAnsiTheme="minorHAnsi" w:cstheme="minorHAnsi"/>
                <w:i/>
                <w:color w:val="000000"/>
                <w:sz w:val="20"/>
                <w:szCs w:val="20"/>
              </w:rPr>
              <w:t>Transport</w:t>
            </w:r>
          </w:p>
        </w:tc>
        <w:tc>
          <w:tcPr>
            <w:tcW w:w="1682" w:type="dxa"/>
            <w:tcBorders>
              <w:top w:val="dotted" w:sz="4" w:space="0" w:color="309CC8" w:themeColor="text2"/>
              <w:bottom w:val="dotted" w:sz="4" w:space="0" w:color="309CC8" w:themeColor="text2"/>
            </w:tcBorders>
            <w:vAlign w:val="bottom"/>
          </w:tcPr>
          <w:p w14:paraId="4E00DF6B" w14:textId="77777777" w:rsidR="00E3738A" w:rsidRPr="00F14487" w:rsidRDefault="00E3738A" w:rsidP="00E3738A">
            <w:pPr>
              <w:spacing w:before="60" w:after="60"/>
              <w:jc w:val="right"/>
              <w:rPr>
                <w:rFonts w:asciiTheme="minorHAnsi" w:hAnsiTheme="minorHAnsi" w:cstheme="minorHAnsi"/>
                <w:i/>
                <w:sz w:val="20"/>
                <w:szCs w:val="20"/>
              </w:rPr>
            </w:pPr>
            <w:r w:rsidRPr="00F14487">
              <w:rPr>
                <w:rFonts w:asciiTheme="minorHAnsi" w:hAnsiTheme="minorHAnsi" w:cstheme="minorHAnsi"/>
                <w:i/>
                <w:color w:val="000000"/>
                <w:sz w:val="20"/>
                <w:szCs w:val="20"/>
              </w:rPr>
              <w:t>99</w:t>
            </w:r>
          </w:p>
        </w:tc>
        <w:tc>
          <w:tcPr>
            <w:tcW w:w="1766" w:type="dxa"/>
            <w:tcBorders>
              <w:top w:val="dotted" w:sz="4" w:space="0" w:color="309CC8" w:themeColor="text2"/>
              <w:bottom w:val="dotted" w:sz="4" w:space="0" w:color="309CC8" w:themeColor="text2"/>
            </w:tcBorders>
            <w:vAlign w:val="bottom"/>
          </w:tcPr>
          <w:p w14:paraId="1287F0A7" w14:textId="77777777" w:rsidR="00E3738A" w:rsidRPr="00F14487" w:rsidRDefault="00E3738A" w:rsidP="00E3738A">
            <w:pPr>
              <w:spacing w:before="60" w:after="60"/>
              <w:jc w:val="right"/>
              <w:rPr>
                <w:rFonts w:asciiTheme="minorHAnsi" w:hAnsiTheme="minorHAnsi" w:cstheme="minorHAnsi"/>
                <w:i/>
                <w:color w:val="000000"/>
                <w:sz w:val="20"/>
                <w:szCs w:val="20"/>
              </w:rPr>
            </w:pPr>
            <w:r w:rsidRPr="00F14487">
              <w:rPr>
                <w:rFonts w:asciiTheme="minorHAnsi" w:hAnsiTheme="minorHAnsi" w:cstheme="minorHAnsi"/>
                <w:i/>
                <w:color w:val="000000"/>
                <w:sz w:val="20"/>
                <w:szCs w:val="20"/>
              </w:rPr>
              <w:t>19</w:t>
            </w:r>
          </w:p>
        </w:tc>
        <w:tc>
          <w:tcPr>
            <w:tcW w:w="1765" w:type="dxa"/>
            <w:tcBorders>
              <w:top w:val="dotted" w:sz="4" w:space="0" w:color="309CC8" w:themeColor="text2"/>
              <w:bottom w:val="dotted" w:sz="4" w:space="0" w:color="309CC8" w:themeColor="text2"/>
            </w:tcBorders>
            <w:vAlign w:val="bottom"/>
          </w:tcPr>
          <w:p w14:paraId="0427F5E9" w14:textId="77777777" w:rsidR="00E3738A" w:rsidRPr="00F14487" w:rsidRDefault="00E3738A" w:rsidP="00E3738A">
            <w:pPr>
              <w:spacing w:before="60" w:after="60"/>
              <w:jc w:val="right"/>
              <w:rPr>
                <w:rFonts w:asciiTheme="minorHAnsi" w:hAnsiTheme="minorHAnsi" w:cstheme="minorHAnsi"/>
                <w:i/>
                <w:sz w:val="20"/>
                <w:szCs w:val="20"/>
              </w:rPr>
            </w:pPr>
            <w:r w:rsidRPr="00F14487">
              <w:rPr>
                <w:rFonts w:asciiTheme="minorHAnsi" w:hAnsiTheme="minorHAnsi" w:cstheme="minorHAnsi"/>
                <w:i/>
                <w:color w:val="000000"/>
                <w:sz w:val="20"/>
                <w:szCs w:val="20"/>
              </w:rPr>
              <w:t>19</w:t>
            </w:r>
          </w:p>
        </w:tc>
        <w:tc>
          <w:tcPr>
            <w:tcW w:w="1908" w:type="dxa"/>
            <w:tcBorders>
              <w:top w:val="dotted" w:sz="4" w:space="0" w:color="309CC8" w:themeColor="text2"/>
              <w:bottom w:val="dotted" w:sz="4" w:space="0" w:color="309CC8" w:themeColor="text2"/>
            </w:tcBorders>
            <w:vAlign w:val="bottom"/>
          </w:tcPr>
          <w:p w14:paraId="0C11AAD0" w14:textId="77777777" w:rsidR="00E3738A" w:rsidRPr="00F14487" w:rsidRDefault="00E3738A" w:rsidP="00E3738A">
            <w:pPr>
              <w:spacing w:before="60" w:after="60"/>
              <w:jc w:val="right"/>
              <w:rPr>
                <w:rFonts w:asciiTheme="minorHAnsi" w:hAnsiTheme="minorHAnsi" w:cstheme="minorHAnsi"/>
                <w:i/>
                <w:sz w:val="20"/>
                <w:szCs w:val="20"/>
              </w:rPr>
            </w:pPr>
            <w:r w:rsidRPr="00F14487">
              <w:rPr>
                <w:rFonts w:asciiTheme="minorHAnsi" w:hAnsiTheme="minorHAnsi" w:cstheme="minorHAnsi"/>
                <w:i/>
                <w:color w:val="000000"/>
                <w:sz w:val="20"/>
                <w:szCs w:val="20"/>
              </w:rPr>
              <w:t>19</w:t>
            </w:r>
          </w:p>
        </w:tc>
      </w:tr>
      <w:tr w:rsidR="00E3738A" w:rsidRPr="00771345" w14:paraId="4057C17A" w14:textId="77777777" w:rsidTr="00C637F3">
        <w:tc>
          <w:tcPr>
            <w:tcW w:w="309" w:type="dxa"/>
            <w:tcBorders>
              <w:top w:val="dotted" w:sz="4" w:space="0" w:color="309CC8" w:themeColor="text2"/>
              <w:bottom w:val="dotted" w:sz="4" w:space="0" w:color="309CC8" w:themeColor="text2"/>
            </w:tcBorders>
            <w:vAlign w:val="bottom"/>
          </w:tcPr>
          <w:p w14:paraId="582DE628" w14:textId="77777777" w:rsidR="00E3738A" w:rsidRPr="00F14487" w:rsidRDefault="00E3738A" w:rsidP="00E3738A">
            <w:pPr>
              <w:spacing w:before="60" w:after="60"/>
              <w:rPr>
                <w:rFonts w:asciiTheme="minorHAnsi" w:hAnsiTheme="minorHAnsi" w:cstheme="minorHAnsi"/>
                <w:i/>
                <w:sz w:val="20"/>
                <w:szCs w:val="20"/>
              </w:rPr>
            </w:pPr>
          </w:p>
        </w:tc>
        <w:tc>
          <w:tcPr>
            <w:tcW w:w="2351" w:type="dxa"/>
            <w:tcBorders>
              <w:top w:val="dotted" w:sz="4" w:space="0" w:color="309CC8" w:themeColor="text2"/>
              <w:bottom w:val="dotted" w:sz="4" w:space="0" w:color="309CC8" w:themeColor="text2"/>
            </w:tcBorders>
            <w:vAlign w:val="bottom"/>
          </w:tcPr>
          <w:p w14:paraId="73E36ED6" w14:textId="77777777" w:rsidR="00E3738A" w:rsidRPr="00F14487" w:rsidRDefault="00E3738A" w:rsidP="00E3738A">
            <w:pPr>
              <w:spacing w:before="60" w:after="60"/>
              <w:rPr>
                <w:rFonts w:asciiTheme="minorHAnsi" w:hAnsiTheme="minorHAnsi" w:cstheme="minorHAnsi"/>
                <w:i/>
                <w:sz w:val="20"/>
                <w:szCs w:val="20"/>
              </w:rPr>
            </w:pPr>
            <w:r w:rsidRPr="00F14487">
              <w:rPr>
                <w:rFonts w:asciiTheme="minorHAnsi" w:hAnsiTheme="minorHAnsi" w:cstheme="minorHAnsi"/>
                <w:i/>
                <w:color w:val="000000"/>
                <w:sz w:val="20"/>
                <w:szCs w:val="20"/>
              </w:rPr>
              <w:t>Other fuel combustion</w:t>
            </w:r>
          </w:p>
        </w:tc>
        <w:tc>
          <w:tcPr>
            <w:tcW w:w="1682" w:type="dxa"/>
            <w:tcBorders>
              <w:top w:val="dotted" w:sz="4" w:space="0" w:color="309CC8" w:themeColor="text2"/>
              <w:bottom w:val="dotted" w:sz="4" w:space="0" w:color="309CC8" w:themeColor="text2"/>
            </w:tcBorders>
            <w:vAlign w:val="bottom"/>
          </w:tcPr>
          <w:p w14:paraId="771FED91" w14:textId="77777777" w:rsidR="00E3738A" w:rsidRPr="00F14487" w:rsidRDefault="00E3738A" w:rsidP="00E3738A">
            <w:pPr>
              <w:spacing w:before="60" w:after="60"/>
              <w:jc w:val="right"/>
              <w:rPr>
                <w:rFonts w:asciiTheme="minorHAnsi" w:hAnsiTheme="minorHAnsi" w:cstheme="minorHAnsi"/>
                <w:i/>
                <w:color w:val="000000"/>
                <w:sz w:val="20"/>
                <w:szCs w:val="20"/>
              </w:rPr>
            </w:pPr>
            <w:r w:rsidRPr="00F14487">
              <w:rPr>
                <w:rFonts w:asciiTheme="minorHAnsi" w:hAnsiTheme="minorHAnsi" w:cstheme="minorHAnsi"/>
                <w:i/>
                <w:color w:val="000000"/>
                <w:sz w:val="20"/>
                <w:szCs w:val="20"/>
              </w:rPr>
              <w:t>95</w:t>
            </w:r>
          </w:p>
        </w:tc>
        <w:tc>
          <w:tcPr>
            <w:tcW w:w="1766" w:type="dxa"/>
            <w:tcBorders>
              <w:top w:val="dotted" w:sz="4" w:space="0" w:color="309CC8" w:themeColor="text2"/>
              <w:bottom w:val="dotted" w:sz="4" w:space="0" w:color="309CC8" w:themeColor="text2"/>
            </w:tcBorders>
            <w:vAlign w:val="bottom"/>
          </w:tcPr>
          <w:p w14:paraId="1EE9CE30" w14:textId="77777777" w:rsidR="00E3738A" w:rsidRPr="00F14487" w:rsidRDefault="00E3738A" w:rsidP="00E3738A">
            <w:pPr>
              <w:spacing w:before="60" w:after="60"/>
              <w:jc w:val="right"/>
              <w:rPr>
                <w:rFonts w:asciiTheme="minorHAnsi" w:hAnsiTheme="minorHAnsi" w:cstheme="minorHAnsi"/>
                <w:i/>
                <w:color w:val="000000"/>
                <w:sz w:val="20"/>
                <w:szCs w:val="20"/>
              </w:rPr>
            </w:pPr>
            <w:r w:rsidRPr="00F14487">
              <w:rPr>
                <w:rFonts w:asciiTheme="minorHAnsi" w:hAnsiTheme="minorHAnsi" w:cstheme="minorHAnsi"/>
                <w:i/>
                <w:color w:val="000000"/>
                <w:sz w:val="20"/>
                <w:szCs w:val="20"/>
              </w:rPr>
              <w:t>18</w:t>
            </w:r>
          </w:p>
        </w:tc>
        <w:tc>
          <w:tcPr>
            <w:tcW w:w="1765" w:type="dxa"/>
            <w:tcBorders>
              <w:top w:val="dotted" w:sz="4" w:space="0" w:color="309CC8" w:themeColor="text2"/>
              <w:bottom w:val="dotted" w:sz="4" w:space="0" w:color="309CC8" w:themeColor="text2"/>
            </w:tcBorders>
            <w:vAlign w:val="bottom"/>
          </w:tcPr>
          <w:p w14:paraId="0A97BA51" w14:textId="77777777" w:rsidR="00E3738A" w:rsidRPr="00F14487" w:rsidRDefault="00E3738A" w:rsidP="00E3738A">
            <w:pPr>
              <w:spacing w:before="60" w:after="60"/>
              <w:jc w:val="right"/>
              <w:rPr>
                <w:rFonts w:asciiTheme="minorHAnsi" w:hAnsiTheme="minorHAnsi" w:cstheme="minorHAnsi"/>
                <w:i/>
                <w:color w:val="000000"/>
                <w:sz w:val="20"/>
                <w:szCs w:val="20"/>
              </w:rPr>
            </w:pPr>
            <w:r w:rsidRPr="00F14487">
              <w:rPr>
                <w:rFonts w:asciiTheme="minorHAnsi" w:hAnsiTheme="minorHAnsi" w:cstheme="minorHAnsi"/>
                <w:i/>
                <w:color w:val="000000"/>
                <w:sz w:val="20"/>
                <w:szCs w:val="20"/>
              </w:rPr>
              <w:t>61</w:t>
            </w:r>
          </w:p>
        </w:tc>
        <w:tc>
          <w:tcPr>
            <w:tcW w:w="1908" w:type="dxa"/>
            <w:tcBorders>
              <w:top w:val="dotted" w:sz="4" w:space="0" w:color="309CC8" w:themeColor="text2"/>
              <w:bottom w:val="dotted" w:sz="4" w:space="0" w:color="309CC8" w:themeColor="text2"/>
            </w:tcBorders>
            <w:vAlign w:val="bottom"/>
          </w:tcPr>
          <w:p w14:paraId="79D375B6" w14:textId="77777777" w:rsidR="00E3738A" w:rsidRPr="00F14487" w:rsidRDefault="00E3738A" w:rsidP="00E3738A">
            <w:pPr>
              <w:spacing w:before="60" w:after="60"/>
              <w:jc w:val="right"/>
              <w:rPr>
                <w:rFonts w:asciiTheme="minorHAnsi" w:hAnsiTheme="minorHAnsi" w:cstheme="minorHAnsi"/>
                <w:i/>
                <w:sz w:val="20"/>
                <w:szCs w:val="20"/>
              </w:rPr>
            </w:pPr>
            <w:r w:rsidRPr="00F14487">
              <w:rPr>
                <w:rFonts w:asciiTheme="minorHAnsi" w:hAnsiTheme="minorHAnsi" w:cstheme="minorHAnsi"/>
                <w:i/>
                <w:color w:val="000000"/>
                <w:sz w:val="20"/>
                <w:szCs w:val="20"/>
              </w:rPr>
              <w:t>64</w:t>
            </w:r>
          </w:p>
        </w:tc>
      </w:tr>
      <w:tr w:rsidR="00E3738A" w:rsidRPr="00506058" w14:paraId="5C1B1F62" w14:textId="77777777" w:rsidTr="00C637F3">
        <w:tc>
          <w:tcPr>
            <w:tcW w:w="2660" w:type="dxa"/>
            <w:gridSpan w:val="2"/>
            <w:tcBorders>
              <w:top w:val="dotted" w:sz="4" w:space="0" w:color="309CC8" w:themeColor="text2"/>
              <w:bottom w:val="dotted" w:sz="4" w:space="0" w:color="309CC8" w:themeColor="text2"/>
            </w:tcBorders>
            <w:vAlign w:val="bottom"/>
          </w:tcPr>
          <w:p w14:paraId="01A630A1" w14:textId="77777777" w:rsidR="00E3738A" w:rsidRPr="00F14487" w:rsidRDefault="00E3738A" w:rsidP="00E3738A">
            <w:pPr>
              <w:spacing w:before="60" w:after="60"/>
              <w:rPr>
                <w:rFonts w:asciiTheme="minorHAnsi" w:hAnsiTheme="minorHAnsi" w:cstheme="minorHAnsi"/>
                <w:sz w:val="20"/>
                <w:szCs w:val="20"/>
              </w:rPr>
            </w:pPr>
            <w:r w:rsidRPr="00F14487">
              <w:rPr>
                <w:rFonts w:asciiTheme="minorHAnsi" w:hAnsiTheme="minorHAnsi" w:cstheme="minorHAnsi"/>
                <w:color w:val="000000"/>
                <w:sz w:val="20"/>
                <w:szCs w:val="20"/>
              </w:rPr>
              <w:t xml:space="preserve">Energy </w:t>
            </w:r>
            <w:r w:rsidR="002053BB" w:rsidRPr="00F14487">
              <w:rPr>
                <w:rFonts w:asciiTheme="minorHAnsi" w:hAnsiTheme="minorHAnsi" w:cstheme="minorHAnsi"/>
                <w:color w:val="000000"/>
                <w:sz w:val="20"/>
                <w:szCs w:val="20"/>
              </w:rPr>
              <w:t>–</w:t>
            </w:r>
            <w:r w:rsidRPr="00F14487">
              <w:rPr>
                <w:rFonts w:asciiTheme="minorHAnsi" w:hAnsiTheme="minorHAnsi" w:cstheme="minorHAnsi"/>
                <w:color w:val="000000"/>
                <w:sz w:val="20"/>
                <w:szCs w:val="20"/>
              </w:rPr>
              <w:t xml:space="preserve"> fugitive emissions</w:t>
            </w:r>
          </w:p>
        </w:tc>
        <w:tc>
          <w:tcPr>
            <w:tcW w:w="1682" w:type="dxa"/>
            <w:tcBorders>
              <w:top w:val="dotted" w:sz="4" w:space="0" w:color="309CC8" w:themeColor="text2"/>
              <w:bottom w:val="dotted" w:sz="4" w:space="0" w:color="309CC8" w:themeColor="text2"/>
            </w:tcBorders>
            <w:vAlign w:val="bottom"/>
          </w:tcPr>
          <w:p w14:paraId="5FA432A7"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52</w:t>
            </w:r>
          </w:p>
        </w:tc>
        <w:tc>
          <w:tcPr>
            <w:tcW w:w="1766" w:type="dxa"/>
            <w:tcBorders>
              <w:top w:val="dotted" w:sz="4" w:space="0" w:color="309CC8" w:themeColor="text2"/>
              <w:bottom w:val="dotted" w:sz="4" w:space="0" w:color="309CC8" w:themeColor="text2"/>
            </w:tcBorders>
            <w:vAlign w:val="bottom"/>
          </w:tcPr>
          <w:p w14:paraId="39382A47"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10</w:t>
            </w:r>
          </w:p>
        </w:tc>
        <w:tc>
          <w:tcPr>
            <w:tcW w:w="1765" w:type="dxa"/>
            <w:tcBorders>
              <w:top w:val="dotted" w:sz="4" w:space="0" w:color="309CC8" w:themeColor="text2"/>
              <w:bottom w:val="dotted" w:sz="4" w:space="0" w:color="309CC8" w:themeColor="text2"/>
            </w:tcBorders>
            <w:vAlign w:val="bottom"/>
          </w:tcPr>
          <w:p w14:paraId="3ABAC387"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43</w:t>
            </w:r>
          </w:p>
        </w:tc>
        <w:tc>
          <w:tcPr>
            <w:tcW w:w="1908" w:type="dxa"/>
            <w:tcBorders>
              <w:top w:val="dotted" w:sz="4" w:space="0" w:color="309CC8" w:themeColor="text2"/>
              <w:bottom w:val="dotted" w:sz="4" w:space="0" w:color="309CC8" w:themeColor="text2"/>
            </w:tcBorders>
            <w:vAlign w:val="bottom"/>
          </w:tcPr>
          <w:p w14:paraId="29EBF4CD"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83</w:t>
            </w:r>
          </w:p>
        </w:tc>
      </w:tr>
      <w:tr w:rsidR="00E3738A" w:rsidRPr="00506058" w14:paraId="1F6186AB" w14:textId="77777777" w:rsidTr="00C637F3">
        <w:tc>
          <w:tcPr>
            <w:tcW w:w="2660" w:type="dxa"/>
            <w:gridSpan w:val="2"/>
            <w:tcBorders>
              <w:top w:val="dotted" w:sz="4" w:space="0" w:color="309CC8" w:themeColor="text2"/>
              <w:bottom w:val="dotted" w:sz="4" w:space="0" w:color="309CC8" w:themeColor="text2"/>
            </w:tcBorders>
            <w:vAlign w:val="bottom"/>
          </w:tcPr>
          <w:p w14:paraId="178FD450" w14:textId="77777777" w:rsidR="00E3738A" w:rsidRPr="00F14487" w:rsidRDefault="00E3738A" w:rsidP="00E3738A">
            <w:pPr>
              <w:spacing w:before="60" w:after="60"/>
              <w:rPr>
                <w:rFonts w:asciiTheme="minorHAnsi" w:hAnsiTheme="minorHAnsi" w:cstheme="minorHAnsi"/>
                <w:sz w:val="20"/>
                <w:szCs w:val="20"/>
              </w:rPr>
            </w:pPr>
            <w:r w:rsidRPr="00F14487">
              <w:rPr>
                <w:rFonts w:asciiTheme="minorHAnsi" w:hAnsiTheme="minorHAnsi" w:cstheme="minorHAnsi"/>
                <w:color w:val="000000"/>
                <w:sz w:val="20"/>
                <w:szCs w:val="20"/>
              </w:rPr>
              <w:t>Industrial processes</w:t>
            </w:r>
          </w:p>
        </w:tc>
        <w:tc>
          <w:tcPr>
            <w:tcW w:w="1682" w:type="dxa"/>
            <w:tcBorders>
              <w:top w:val="dotted" w:sz="4" w:space="0" w:color="309CC8" w:themeColor="text2"/>
              <w:bottom w:val="dotted" w:sz="4" w:space="0" w:color="309CC8" w:themeColor="text2"/>
            </w:tcBorders>
            <w:vAlign w:val="bottom"/>
          </w:tcPr>
          <w:p w14:paraId="03D0AF26"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33</w:t>
            </w:r>
          </w:p>
        </w:tc>
        <w:tc>
          <w:tcPr>
            <w:tcW w:w="1766" w:type="dxa"/>
            <w:tcBorders>
              <w:top w:val="dotted" w:sz="4" w:space="0" w:color="309CC8" w:themeColor="text2"/>
              <w:bottom w:val="dotted" w:sz="4" w:space="0" w:color="309CC8" w:themeColor="text2"/>
            </w:tcBorders>
            <w:vAlign w:val="bottom"/>
          </w:tcPr>
          <w:p w14:paraId="77DBED1D"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6</w:t>
            </w:r>
          </w:p>
        </w:tc>
        <w:tc>
          <w:tcPr>
            <w:tcW w:w="1765" w:type="dxa"/>
            <w:tcBorders>
              <w:top w:val="dotted" w:sz="4" w:space="0" w:color="309CC8" w:themeColor="text2"/>
              <w:bottom w:val="dotted" w:sz="4" w:space="0" w:color="309CC8" w:themeColor="text2"/>
            </w:tcBorders>
            <w:vAlign w:val="bottom"/>
          </w:tcPr>
          <w:p w14:paraId="4B246719"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22</w:t>
            </w:r>
          </w:p>
        </w:tc>
        <w:tc>
          <w:tcPr>
            <w:tcW w:w="1908" w:type="dxa"/>
            <w:tcBorders>
              <w:top w:val="dotted" w:sz="4" w:space="0" w:color="309CC8" w:themeColor="text2"/>
              <w:bottom w:val="dotted" w:sz="4" w:space="0" w:color="309CC8" w:themeColor="text2"/>
            </w:tcBorders>
            <w:vAlign w:val="bottom"/>
          </w:tcPr>
          <w:p w14:paraId="4E9403C5" w14:textId="77777777" w:rsidR="00E3738A" w:rsidRPr="00F14487" w:rsidRDefault="00E3738A" w:rsidP="00E3738A">
            <w:pPr>
              <w:spacing w:before="60" w:after="60"/>
              <w:jc w:val="right"/>
              <w:rPr>
                <w:rFonts w:asciiTheme="minorHAnsi" w:hAnsiTheme="minorHAnsi" w:cstheme="minorHAnsi"/>
                <w:sz w:val="20"/>
                <w:szCs w:val="20"/>
              </w:rPr>
            </w:pPr>
            <w:r w:rsidRPr="00F14487">
              <w:rPr>
                <w:rFonts w:asciiTheme="minorHAnsi" w:hAnsiTheme="minorHAnsi" w:cstheme="minorHAnsi"/>
                <w:color w:val="000000"/>
                <w:sz w:val="20"/>
                <w:szCs w:val="20"/>
              </w:rPr>
              <w:t>66</w:t>
            </w:r>
          </w:p>
        </w:tc>
      </w:tr>
      <w:tr w:rsidR="00E3738A" w:rsidRPr="00506058" w14:paraId="2BC39A53" w14:textId="77777777" w:rsidTr="00C637F3">
        <w:tc>
          <w:tcPr>
            <w:tcW w:w="2660" w:type="dxa"/>
            <w:gridSpan w:val="2"/>
            <w:tcBorders>
              <w:top w:val="dotted" w:sz="4" w:space="0" w:color="309CC8" w:themeColor="text2"/>
              <w:bottom w:val="dotted" w:sz="4" w:space="0" w:color="309CC8" w:themeColor="text2"/>
            </w:tcBorders>
            <w:vAlign w:val="bottom"/>
          </w:tcPr>
          <w:p w14:paraId="7B780963" w14:textId="77777777" w:rsidR="00E3738A" w:rsidRPr="00F14487" w:rsidRDefault="00E3738A" w:rsidP="00E3738A">
            <w:pPr>
              <w:spacing w:before="60" w:after="60"/>
              <w:rPr>
                <w:rFonts w:asciiTheme="minorHAnsi" w:hAnsiTheme="minorHAnsi" w:cstheme="minorHAnsi"/>
                <w:sz w:val="20"/>
                <w:szCs w:val="20"/>
              </w:rPr>
            </w:pPr>
            <w:r w:rsidRPr="00F14487">
              <w:rPr>
                <w:rFonts w:asciiTheme="minorHAnsi" w:hAnsiTheme="minorHAnsi" w:cstheme="minorHAnsi"/>
                <w:color w:val="000000"/>
                <w:sz w:val="20"/>
                <w:szCs w:val="20"/>
              </w:rPr>
              <w:t>Waste</w:t>
            </w:r>
          </w:p>
        </w:tc>
        <w:tc>
          <w:tcPr>
            <w:tcW w:w="1682" w:type="dxa"/>
            <w:tcBorders>
              <w:top w:val="dotted" w:sz="4" w:space="0" w:color="309CC8" w:themeColor="text2"/>
              <w:bottom w:val="dotted" w:sz="4" w:space="0" w:color="309CC8" w:themeColor="text2"/>
            </w:tcBorders>
            <w:vAlign w:val="bottom"/>
          </w:tcPr>
          <w:p w14:paraId="470D0ECE"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13</w:t>
            </w:r>
          </w:p>
        </w:tc>
        <w:tc>
          <w:tcPr>
            <w:tcW w:w="1766" w:type="dxa"/>
            <w:tcBorders>
              <w:top w:val="dotted" w:sz="4" w:space="0" w:color="309CC8" w:themeColor="text2"/>
              <w:bottom w:val="dotted" w:sz="4" w:space="0" w:color="309CC8" w:themeColor="text2"/>
            </w:tcBorders>
            <w:vAlign w:val="bottom"/>
          </w:tcPr>
          <w:p w14:paraId="5AFDC7C8"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2</w:t>
            </w:r>
          </w:p>
        </w:tc>
        <w:tc>
          <w:tcPr>
            <w:tcW w:w="1765" w:type="dxa"/>
            <w:tcBorders>
              <w:top w:val="dotted" w:sz="4" w:space="0" w:color="309CC8" w:themeColor="text2"/>
              <w:bottom w:val="dotted" w:sz="4" w:space="0" w:color="309CC8" w:themeColor="text2"/>
            </w:tcBorders>
            <w:vAlign w:val="bottom"/>
          </w:tcPr>
          <w:p w14:paraId="54E6206B"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4</w:t>
            </w:r>
          </w:p>
        </w:tc>
        <w:tc>
          <w:tcPr>
            <w:tcW w:w="1908" w:type="dxa"/>
            <w:tcBorders>
              <w:top w:val="dotted" w:sz="4" w:space="0" w:color="309CC8" w:themeColor="text2"/>
              <w:bottom w:val="dotted" w:sz="4" w:space="0" w:color="309CC8" w:themeColor="text2"/>
            </w:tcBorders>
            <w:vAlign w:val="bottom"/>
          </w:tcPr>
          <w:p w14:paraId="1B767DC4" w14:textId="77777777" w:rsidR="00E3738A" w:rsidRPr="00F14487" w:rsidRDefault="00E3738A" w:rsidP="00E3738A">
            <w:pPr>
              <w:spacing w:before="60" w:after="60"/>
              <w:jc w:val="right"/>
              <w:rPr>
                <w:rFonts w:asciiTheme="minorHAnsi" w:hAnsiTheme="minorHAnsi" w:cstheme="minorHAnsi"/>
                <w:sz w:val="20"/>
                <w:szCs w:val="20"/>
              </w:rPr>
            </w:pPr>
            <w:r w:rsidRPr="00F14487">
              <w:rPr>
                <w:rFonts w:asciiTheme="minorHAnsi" w:hAnsiTheme="minorHAnsi" w:cstheme="minorHAnsi"/>
                <w:color w:val="000000"/>
                <w:sz w:val="20"/>
                <w:szCs w:val="20"/>
              </w:rPr>
              <w:t>29</w:t>
            </w:r>
          </w:p>
        </w:tc>
      </w:tr>
      <w:tr w:rsidR="00E3738A" w:rsidRPr="007D6493" w14:paraId="53F47B69" w14:textId="77777777" w:rsidTr="00C637F3">
        <w:tc>
          <w:tcPr>
            <w:tcW w:w="2660" w:type="dxa"/>
            <w:gridSpan w:val="2"/>
            <w:tcBorders>
              <w:top w:val="dotted" w:sz="4" w:space="0" w:color="309CC8" w:themeColor="text2"/>
              <w:bottom w:val="dotted" w:sz="4" w:space="0" w:color="309CC8" w:themeColor="text2"/>
            </w:tcBorders>
            <w:vAlign w:val="bottom"/>
          </w:tcPr>
          <w:p w14:paraId="0A043EFE" w14:textId="77777777" w:rsidR="00E3738A" w:rsidRPr="00F14487" w:rsidRDefault="00E3738A" w:rsidP="00E3738A">
            <w:pPr>
              <w:spacing w:before="60" w:after="60"/>
              <w:rPr>
                <w:rFonts w:asciiTheme="minorHAnsi" w:hAnsiTheme="minorHAnsi" w:cstheme="minorHAnsi"/>
                <w:sz w:val="20"/>
                <w:szCs w:val="20"/>
              </w:rPr>
            </w:pPr>
            <w:r w:rsidRPr="00F14487">
              <w:rPr>
                <w:rFonts w:asciiTheme="minorHAnsi" w:hAnsiTheme="minorHAnsi" w:cstheme="minorHAnsi"/>
                <w:color w:val="000000"/>
                <w:sz w:val="20"/>
                <w:szCs w:val="20"/>
              </w:rPr>
              <w:t>Agriculture</w:t>
            </w:r>
          </w:p>
        </w:tc>
        <w:tc>
          <w:tcPr>
            <w:tcW w:w="1682" w:type="dxa"/>
            <w:tcBorders>
              <w:top w:val="dotted" w:sz="4" w:space="0" w:color="309CC8" w:themeColor="text2"/>
              <w:bottom w:val="dotted" w:sz="4" w:space="0" w:color="309CC8" w:themeColor="text2"/>
            </w:tcBorders>
            <w:vAlign w:val="bottom"/>
          </w:tcPr>
          <w:p w14:paraId="5FF14BC5"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72</w:t>
            </w:r>
          </w:p>
        </w:tc>
        <w:tc>
          <w:tcPr>
            <w:tcW w:w="1766" w:type="dxa"/>
            <w:tcBorders>
              <w:top w:val="dotted" w:sz="4" w:space="0" w:color="309CC8" w:themeColor="text2"/>
              <w:bottom w:val="dotted" w:sz="4" w:space="0" w:color="309CC8" w:themeColor="text2"/>
            </w:tcBorders>
            <w:vAlign w:val="bottom"/>
          </w:tcPr>
          <w:p w14:paraId="46F4B8EE"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14</w:t>
            </w:r>
          </w:p>
        </w:tc>
        <w:tc>
          <w:tcPr>
            <w:tcW w:w="1765" w:type="dxa"/>
            <w:tcBorders>
              <w:top w:val="dotted" w:sz="4" w:space="0" w:color="309CC8" w:themeColor="text2"/>
              <w:bottom w:val="dotted" w:sz="4" w:space="0" w:color="309CC8" w:themeColor="text2"/>
            </w:tcBorders>
            <w:vAlign w:val="bottom"/>
          </w:tcPr>
          <w:p w14:paraId="35675FAC"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0</w:t>
            </w:r>
          </w:p>
        </w:tc>
        <w:tc>
          <w:tcPr>
            <w:tcW w:w="1908" w:type="dxa"/>
            <w:tcBorders>
              <w:top w:val="dotted" w:sz="4" w:space="0" w:color="309CC8" w:themeColor="text2"/>
              <w:bottom w:val="dotted" w:sz="4" w:space="0" w:color="309CC8" w:themeColor="text2"/>
            </w:tcBorders>
            <w:vAlign w:val="bottom"/>
          </w:tcPr>
          <w:p w14:paraId="59CE21D3" w14:textId="77777777" w:rsidR="00E3738A" w:rsidRPr="00F14487" w:rsidRDefault="00E3738A" w:rsidP="00E3738A">
            <w:pPr>
              <w:spacing w:before="60" w:after="60"/>
              <w:jc w:val="right"/>
              <w:rPr>
                <w:rFonts w:asciiTheme="minorHAnsi" w:hAnsiTheme="minorHAnsi" w:cstheme="minorHAnsi"/>
                <w:sz w:val="20"/>
                <w:szCs w:val="20"/>
              </w:rPr>
            </w:pPr>
            <w:r w:rsidRPr="00F14487">
              <w:rPr>
                <w:rFonts w:asciiTheme="minorHAnsi" w:hAnsiTheme="minorHAnsi" w:cstheme="minorHAnsi"/>
                <w:color w:val="000000"/>
                <w:sz w:val="20"/>
                <w:szCs w:val="20"/>
              </w:rPr>
              <w:t>0</w:t>
            </w:r>
          </w:p>
        </w:tc>
      </w:tr>
      <w:tr w:rsidR="00E3738A" w:rsidRPr="00212386" w14:paraId="6C062DC0" w14:textId="77777777" w:rsidTr="00C637F3">
        <w:tc>
          <w:tcPr>
            <w:tcW w:w="2660" w:type="dxa"/>
            <w:gridSpan w:val="2"/>
            <w:tcBorders>
              <w:top w:val="dotted" w:sz="4" w:space="0" w:color="309CC8" w:themeColor="text2"/>
              <w:bottom w:val="dotted" w:sz="4" w:space="0" w:color="309CC8" w:themeColor="text2"/>
            </w:tcBorders>
            <w:vAlign w:val="bottom"/>
          </w:tcPr>
          <w:p w14:paraId="652F4A3A" w14:textId="77777777" w:rsidR="00E3738A" w:rsidRPr="00F14487" w:rsidRDefault="00E3738A" w:rsidP="00E3738A">
            <w:pPr>
              <w:spacing w:after="0" w:line="240" w:lineRule="auto"/>
              <w:rPr>
                <w:rFonts w:asciiTheme="minorHAnsi" w:hAnsiTheme="minorHAnsi" w:cstheme="minorHAnsi"/>
                <w:color w:val="000000"/>
                <w:sz w:val="20"/>
                <w:szCs w:val="20"/>
              </w:rPr>
            </w:pPr>
            <w:r w:rsidRPr="00F14487">
              <w:rPr>
                <w:rFonts w:asciiTheme="minorHAnsi" w:hAnsiTheme="minorHAnsi" w:cstheme="minorHAnsi"/>
                <w:color w:val="000000"/>
                <w:sz w:val="20"/>
                <w:szCs w:val="20"/>
              </w:rPr>
              <w:t>Land use, land use change and forestry</w:t>
            </w:r>
          </w:p>
        </w:tc>
        <w:tc>
          <w:tcPr>
            <w:tcW w:w="1682" w:type="dxa"/>
            <w:tcBorders>
              <w:top w:val="dotted" w:sz="4" w:space="0" w:color="309CC8" w:themeColor="text2"/>
              <w:bottom w:val="dotted" w:sz="4" w:space="0" w:color="309CC8" w:themeColor="text2"/>
            </w:tcBorders>
            <w:vAlign w:val="bottom"/>
          </w:tcPr>
          <w:p w14:paraId="623F802A" w14:textId="77777777" w:rsidR="00E3738A" w:rsidRPr="00F14487" w:rsidRDefault="00927F6F"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w:t>
            </w:r>
            <w:r w:rsidR="00E3738A" w:rsidRPr="00F14487">
              <w:rPr>
                <w:rFonts w:asciiTheme="minorHAnsi" w:hAnsiTheme="minorHAnsi" w:cstheme="minorHAnsi"/>
                <w:color w:val="000000"/>
                <w:sz w:val="20"/>
                <w:szCs w:val="20"/>
              </w:rPr>
              <w:t>22</w:t>
            </w:r>
          </w:p>
        </w:tc>
        <w:tc>
          <w:tcPr>
            <w:tcW w:w="1766" w:type="dxa"/>
            <w:tcBorders>
              <w:top w:val="dotted" w:sz="4" w:space="0" w:color="309CC8" w:themeColor="text2"/>
              <w:bottom w:val="dotted" w:sz="4" w:space="0" w:color="309CC8" w:themeColor="text2"/>
            </w:tcBorders>
            <w:vAlign w:val="bottom"/>
          </w:tcPr>
          <w:p w14:paraId="3924B715" w14:textId="77777777" w:rsidR="00E3738A" w:rsidRPr="00F14487" w:rsidRDefault="00927F6F"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w:t>
            </w:r>
            <w:r w:rsidR="00E3738A" w:rsidRPr="00F14487">
              <w:rPr>
                <w:rFonts w:asciiTheme="minorHAnsi" w:hAnsiTheme="minorHAnsi" w:cstheme="minorHAnsi"/>
                <w:color w:val="000000"/>
                <w:sz w:val="20"/>
                <w:szCs w:val="20"/>
              </w:rPr>
              <w:t>4</w:t>
            </w:r>
          </w:p>
        </w:tc>
        <w:tc>
          <w:tcPr>
            <w:tcW w:w="1765" w:type="dxa"/>
            <w:tcBorders>
              <w:top w:val="dotted" w:sz="4" w:space="0" w:color="309CC8" w:themeColor="text2"/>
              <w:bottom w:val="dotted" w:sz="4" w:space="0" w:color="309CC8" w:themeColor="text2"/>
            </w:tcBorders>
            <w:vAlign w:val="bottom"/>
          </w:tcPr>
          <w:p w14:paraId="509062B7" w14:textId="77777777" w:rsidR="00E3738A" w:rsidRPr="00F14487" w:rsidRDefault="00E3738A" w:rsidP="00E3738A">
            <w:pPr>
              <w:spacing w:before="60" w:after="60"/>
              <w:jc w:val="right"/>
              <w:rPr>
                <w:rFonts w:asciiTheme="minorHAnsi" w:hAnsiTheme="minorHAnsi" w:cstheme="minorHAnsi"/>
                <w:color w:val="000000"/>
                <w:sz w:val="20"/>
                <w:szCs w:val="20"/>
              </w:rPr>
            </w:pPr>
            <w:r w:rsidRPr="00F14487">
              <w:rPr>
                <w:rFonts w:asciiTheme="minorHAnsi" w:hAnsiTheme="minorHAnsi" w:cstheme="minorHAnsi"/>
                <w:color w:val="000000"/>
                <w:sz w:val="20"/>
                <w:szCs w:val="20"/>
              </w:rPr>
              <w:t>0</w:t>
            </w:r>
          </w:p>
        </w:tc>
        <w:tc>
          <w:tcPr>
            <w:tcW w:w="1908" w:type="dxa"/>
            <w:tcBorders>
              <w:top w:val="dotted" w:sz="4" w:space="0" w:color="309CC8" w:themeColor="text2"/>
              <w:bottom w:val="dotted" w:sz="4" w:space="0" w:color="309CC8" w:themeColor="text2"/>
            </w:tcBorders>
            <w:vAlign w:val="bottom"/>
          </w:tcPr>
          <w:p w14:paraId="4E27E843" w14:textId="77777777" w:rsidR="00E3738A" w:rsidRPr="00F14487" w:rsidRDefault="00E3738A" w:rsidP="00E3738A">
            <w:pPr>
              <w:spacing w:before="60" w:after="60"/>
              <w:jc w:val="right"/>
              <w:rPr>
                <w:rFonts w:asciiTheme="minorHAnsi" w:hAnsiTheme="minorHAnsi" w:cstheme="minorHAnsi"/>
                <w:sz w:val="20"/>
                <w:szCs w:val="20"/>
              </w:rPr>
            </w:pPr>
            <w:r w:rsidRPr="00F14487">
              <w:rPr>
                <w:rFonts w:asciiTheme="minorHAnsi" w:hAnsiTheme="minorHAnsi" w:cstheme="minorHAnsi"/>
                <w:color w:val="000000"/>
                <w:sz w:val="20"/>
                <w:szCs w:val="20"/>
              </w:rPr>
              <w:t>0</w:t>
            </w:r>
          </w:p>
        </w:tc>
      </w:tr>
      <w:tr w:rsidR="00E3738A" w:rsidRPr="00771345" w14:paraId="778D5359" w14:textId="77777777" w:rsidTr="00C637F3">
        <w:tc>
          <w:tcPr>
            <w:tcW w:w="2660" w:type="dxa"/>
            <w:gridSpan w:val="2"/>
            <w:tcBorders>
              <w:top w:val="dotted" w:sz="4" w:space="0" w:color="309CC8" w:themeColor="text2"/>
              <w:bottom w:val="nil"/>
            </w:tcBorders>
            <w:vAlign w:val="bottom"/>
          </w:tcPr>
          <w:p w14:paraId="44160FAB" w14:textId="77777777" w:rsidR="00E3738A" w:rsidRPr="00F14487" w:rsidRDefault="00E3738A" w:rsidP="00A33395">
            <w:pPr>
              <w:spacing w:before="60" w:after="60"/>
              <w:rPr>
                <w:rFonts w:asciiTheme="minorHAnsi" w:hAnsiTheme="minorHAnsi" w:cstheme="minorHAnsi"/>
                <w:b/>
                <w:sz w:val="20"/>
                <w:szCs w:val="20"/>
              </w:rPr>
            </w:pPr>
            <w:r w:rsidRPr="00F14487">
              <w:rPr>
                <w:rFonts w:asciiTheme="minorHAnsi" w:hAnsiTheme="minorHAnsi" w:cstheme="minorHAnsi"/>
                <w:b/>
                <w:color w:val="000000"/>
                <w:sz w:val="20"/>
                <w:szCs w:val="20"/>
              </w:rPr>
              <w:t>Total</w:t>
            </w:r>
          </w:p>
        </w:tc>
        <w:tc>
          <w:tcPr>
            <w:tcW w:w="1682" w:type="dxa"/>
            <w:tcBorders>
              <w:top w:val="dotted" w:sz="4" w:space="0" w:color="309CC8" w:themeColor="text2"/>
              <w:bottom w:val="nil"/>
            </w:tcBorders>
            <w:vAlign w:val="bottom"/>
          </w:tcPr>
          <w:p w14:paraId="1D63E2C6" w14:textId="77777777" w:rsidR="00E3738A" w:rsidRPr="00F14487" w:rsidRDefault="00E3738A" w:rsidP="00E3738A">
            <w:pPr>
              <w:spacing w:before="60" w:after="60"/>
              <w:jc w:val="right"/>
              <w:rPr>
                <w:rFonts w:asciiTheme="minorHAnsi" w:hAnsiTheme="minorHAnsi" w:cstheme="minorHAnsi"/>
                <w:b/>
                <w:sz w:val="20"/>
                <w:szCs w:val="20"/>
              </w:rPr>
            </w:pPr>
            <w:r w:rsidRPr="00F14487">
              <w:rPr>
                <w:rFonts w:asciiTheme="minorHAnsi" w:hAnsiTheme="minorHAnsi" w:cstheme="minorHAnsi"/>
                <w:b/>
                <w:color w:val="000000"/>
                <w:sz w:val="20"/>
                <w:szCs w:val="20"/>
              </w:rPr>
              <w:t>529</w:t>
            </w:r>
          </w:p>
        </w:tc>
        <w:tc>
          <w:tcPr>
            <w:tcW w:w="1766" w:type="dxa"/>
            <w:tcBorders>
              <w:top w:val="dotted" w:sz="4" w:space="0" w:color="309CC8" w:themeColor="text2"/>
              <w:bottom w:val="nil"/>
            </w:tcBorders>
            <w:vAlign w:val="bottom"/>
          </w:tcPr>
          <w:p w14:paraId="1BFF7CA1" w14:textId="77777777" w:rsidR="00E3738A" w:rsidRPr="00F14487" w:rsidRDefault="00E3738A" w:rsidP="00E3738A">
            <w:pPr>
              <w:spacing w:before="60" w:after="60"/>
              <w:jc w:val="right"/>
              <w:rPr>
                <w:rFonts w:asciiTheme="minorHAnsi" w:hAnsiTheme="minorHAnsi" w:cstheme="minorHAnsi"/>
                <w:b/>
                <w:sz w:val="20"/>
                <w:szCs w:val="20"/>
              </w:rPr>
            </w:pPr>
            <w:r w:rsidRPr="00F14487">
              <w:rPr>
                <w:rFonts w:asciiTheme="minorHAnsi" w:hAnsiTheme="minorHAnsi" w:cstheme="minorHAnsi"/>
                <w:b/>
                <w:color w:val="000000"/>
                <w:sz w:val="20"/>
                <w:szCs w:val="20"/>
              </w:rPr>
              <w:t>100</w:t>
            </w:r>
          </w:p>
        </w:tc>
        <w:tc>
          <w:tcPr>
            <w:tcW w:w="1765" w:type="dxa"/>
            <w:tcBorders>
              <w:top w:val="dotted" w:sz="4" w:space="0" w:color="309CC8" w:themeColor="text2"/>
              <w:bottom w:val="nil"/>
            </w:tcBorders>
            <w:vAlign w:val="bottom"/>
          </w:tcPr>
          <w:p w14:paraId="335CF6E5" w14:textId="77777777" w:rsidR="00E3738A" w:rsidRPr="00F14487" w:rsidRDefault="00E3738A" w:rsidP="00E3738A">
            <w:pPr>
              <w:spacing w:before="60" w:after="60"/>
              <w:jc w:val="right"/>
              <w:rPr>
                <w:rFonts w:asciiTheme="minorHAnsi" w:hAnsiTheme="minorHAnsi" w:cstheme="minorHAnsi"/>
                <w:b/>
                <w:sz w:val="20"/>
                <w:szCs w:val="20"/>
              </w:rPr>
            </w:pPr>
            <w:r w:rsidRPr="00F14487">
              <w:rPr>
                <w:rFonts w:asciiTheme="minorHAnsi" w:hAnsiTheme="minorHAnsi" w:cstheme="minorHAnsi"/>
                <w:b/>
                <w:color w:val="000000"/>
                <w:sz w:val="20"/>
                <w:szCs w:val="20"/>
              </w:rPr>
              <w:t>335</w:t>
            </w:r>
          </w:p>
        </w:tc>
        <w:tc>
          <w:tcPr>
            <w:tcW w:w="1908" w:type="dxa"/>
            <w:tcBorders>
              <w:top w:val="dotted" w:sz="4" w:space="0" w:color="309CC8" w:themeColor="text2"/>
              <w:bottom w:val="nil"/>
            </w:tcBorders>
            <w:vAlign w:val="bottom"/>
          </w:tcPr>
          <w:p w14:paraId="107870D5" w14:textId="77777777" w:rsidR="00E3738A" w:rsidRPr="00F14487" w:rsidRDefault="00E3738A" w:rsidP="00E3738A">
            <w:pPr>
              <w:spacing w:before="60" w:after="60"/>
              <w:jc w:val="right"/>
              <w:rPr>
                <w:rFonts w:asciiTheme="minorHAnsi" w:hAnsiTheme="minorHAnsi" w:cstheme="minorHAnsi"/>
                <w:b/>
                <w:sz w:val="20"/>
                <w:szCs w:val="20"/>
              </w:rPr>
            </w:pPr>
            <w:r w:rsidRPr="00F14487">
              <w:rPr>
                <w:rFonts w:asciiTheme="minorHAnsi" w:hAnsiTheme="minorHAnsi" w:cstheme="minorHAnsi"/>
                <w:b/>
                <w:color w:val="000000"/>
                <w:sz w:val="20"/>
                <w:szCs w:val="20"/>
              </w:rPr>
              <w:t>63</w:t>
            </w:r>
          </w:p>
        </w:tc>
      </w:tr>
    </w:tbl>
    <w:p w14:paraId="03C3717A" w14:textId="77777777" w:rsidR="00151162" w:rsidRPr="006C0ABD" w:rsidRDefault="00151162" w:rsidP="001D17FB">
      <w:pPr>
        <w:pStyle w:val="CCANotesource"/>
        <w:rPr>
          <w:rStyle w:val="CCABodytextChar"/>
          <w:rFonts w:cstheme="minorBidi"/>
          <w:sz w:val="18"/>
          <w:szCs w:val="18"/>
          <w:lang w:eastAsia="en-US"/>
        </w:rPr>
      </w:pPr>
      <w:r w:rsidRPr="00D925B4">
        <w:rPr>
          <w:rStyle w:val="CCABodytextChar"/>
          <w:b/>
          <w:color w:val="000000" w:themeColor="text1"/>
          <w:sz w:val="18"/>
          <w:szCs w:val="18"/>
        </w:rPr>
        <w:t>Sources</w:t>
      </w:r>
      <w:r w:rsidRPr="00655028">
        <w:rPr>
          <w:rStyle w:val="CCABodytextChar"/>
          <w:color w:val="000000" w:themeColor="text1"/>
          <w:sz w:val="18"/>
          <w:szCs w:val="18"/>
        </w:rPr>
        <w:t xml:space="preserve">: </w:t>
      </w:r>
      <w:r w:rsidRPr="00D44F2B">
        <w:rPr>
          <w:rStyle w:val="CCABodytextChar"/>
          <w:color w:val="000000" w:themeColor="text1"/>
          <w:sz w:val="18"/>
          <w:szCs w:val="18"/>
        </w:rPr>
        <w:t>CER 2018</w:t>
      </w:r>
      <w:r w:rsidR="009D0EB8" w:rsidRPr="00D44F2B">
        <w:rPr>
          <w:rStyle w:val="CCABodytextChar"/>
          <w:color w:val="000000" w:themeColor="text1"/>
          <w:sz w:val="18"/>
          <w:szCs w:val="18"/>
        </w:rPr>
        <w:t>c</w:t>
      </w:r>
      <w:r w:rsidR="00DD73D7" w:rsidRPr="00D44F2B">
        <w:rPr>
          <w:rStyle w:val="CCABodytextChar"/>
          <w:color w:val="000000" w:themeColor="text1"/>
          <w:sz w:val="18"/>
          <w:szCs w:val="18"/>
        </w:rPr>
        <w:t>;</w:t>
      </w:r>
      <w:r w:rsidRPr="00D44F2B">
        <w:rPr>
          <w:rStyle w:val="CCABodytextChar"/>
          <w:color w:val="000000" w:themeColor="text1"/>
          <w:sz w:val="18"/>
          <w:szCs w:val="18"/>
        </w:rPr>
        <w:t xml:space="preserve"> </w:t>
      </w:r>
      <w:r w:rsidR="009D0EB8" w:rsidRPr="00D44F2B">
        <w:rPr>
          <w:rStyle w:val="RefChar"/>
          <w:sz w:val="18"/>
          <w:szCs w:val="18"/>
        </w:rPr>
        <w:t xml:space="preserve">Commonwealth of Australia </w:t>
      </w:r>
      <w:r w:rsidRPr="00D44F2B">
        <w:rPr>
          <w:rStyle w:val="RefChar"/>
          <w:sz w:val="18"/>
          <w:szCs w:val="18"/>
        </w:rPr>
        <w:t>2018</w:t>
      </w:r>
      <w:r w:rsidR="009D0EB8" w:rsidRPr="00D44F2B">
        <w:rPr>
          <w:rStyle w:val="RefChar"/>
          <w:sz w:val="18"/>
          <w:szCs w:val="18"/>
        </w:rPr>
        <w:t>d</w:t>
      </w:r>
    </w:p>
    <w:p w14:paraId="7BE4F769" w14:textId="77777777" w:rsidR="00A301EA" w:rsidRPr="000D5CD5" w:rsidRDefault="00A301EA" w:rsidP="00354794">
      <w:pPr>
        <w:pStyle w:val="CCAHeading4"/>
      </w:pPr>
      <w:r w:rsidRPr="000D5CD5">
        <w:t>How and when companies report</w:t>
      </w:r>
    </w:p>
    <w:p w14:paraId="19F469CA" w14:textId="77777777" w:rsidR="00A301EA" w:rsidRDefault="00BD02A5" w:rsidP="00A301EA">
      <w:pPr>
        <w:pStyle w:val="CCABodytext"/>
      </w:pPr>
      <w:r w:rsidRPr="000D5CD5">
        <w:t xml:space="preserve">Companies report </w:t>
      </w:r>
      <w:r>
        <w:t xml:space="preserve">their emissions and energy data </w:t>
      </w:r>
      <w:r w:rsidRPr="000D5CD5">
        <w:t>electronically using the Emissions and Energy Reporting System, which is administered by the Regulator (</w:t>
      </w:r>
      <w:r>
        <w:t>CER 2016</w:t>
      </w:r>
      <w:r w:rsidR="009D0EB8">
        <w:t>b</w:t>
      </w:r>
      <w:r w:rsidRPr="000D5CD5">
        <w:t xml:space="preserve">). </w:t>
      </w:r>
      <w:r w:rsidR="00A301EA" w:rsidRPr="000D5CD5">
        <w:t>Companies must submit their reports to the Regulator by 31 October for the preceding financial year.</w:t>
      </w:r>
    </w:p>
    <w:p w14:paraId="508B1A90" w14:textId="77777777" w:rsidR="00ED7BD5" w:rsidRDefault="00BD02A5" w:rsidP="00C813C5">
      <w:pPr>
        <w:pStyle w:val="CCAHeading3"/>
      </w:pPr>
      <w:r>
        <w:t>What data is shared and published</w:t>
      </w:r>
    </w:p>
    <w:p w14:paraId="0386D84A" w14:textId="77777777" w:rsidR="00ED7BD5" w:rsidRDefault="00EF0F0D">
      <w:pPr>
        <w:pStyle w:val="CCABodytext"/>
      </w:pPr>
      <w:r>
        <w:t xml:space="preserve">For each </w:t>
      </w:r>
      <w:r w:rsidR="00A57BF2">
        <w:t xml:space="preserve">corporate group </w:t>
      </w:r>
      <w:r>
        <w:t xml:space="preserve">that meets </w:t>
      </w:r>
      <w:r w:rsidR="00711B3D">
        <w:t xml:space="preserve">the </w:t>
      </w:r>
      <w:r>
        <w:t xml:space="preserve">publication thresholds, the Regulator must publish data </w:t>
      </w:r>
      <w:r w:rsidR="00ED7BD5">
        <w:t xml:space="preserve">on </w:t>
      </w:r>
      <w:r>
        <w:t xml:space="preserve">the </w:t>
      </w:r>
      <w:r w:rsidR="00A57BF2">
        <w:t xml:space="preserve">group’s </w:t>
      </w:r>
      <w:r w:rsidR="00ED7BD5">
        <w:t>total scope 1 emissions, total scope 2 emissions and net energy consumption</w:t>
      </w:r>
      <w:r w:rsidR="00565BF2">
        <w:t>.</w:t>
      </w:r>
      <w:r w:rsidR="003368EF">
        <w:rPr>
          <w:rStyle w:val="FootnoteReference"/>
        </w:rPr>
        <w:footnoteReference w:id="5"/>
      </w:r>
      <w:r w:rsidR="00ED7BD5">
        <w:t xml:space="preserve"> </w:t>
      </w:r>
      <w:r w:rsidR="00711B3D">
        <w:t xml:space="preserve">The publication threshold for </w:t>
      </w:r>
      <w:r w:rsidR="00A57BF2">
        <w:t>corporate groups</w:t>
      </w:r>
      <w:r w:rsidR="00711B3D">
        <w:t xml:space="preserve"> are combined </w:t>
      </w:r>
      <w:r w:rsidR="00711B3D">
        <w:lastRenderedPageBreak/>
        <w:t>scope 1 and 2 emissions equal to or greater than 50</w:t>
      </w:r>
      <w:r w:rsidR="005A5EF0">
        <w:t>,000</w:t>
      </w:r>
      <w:r w:rsidR="00711B3D">
        <w:t> t</w:t>
      </w:r>
      <w:r w:rsidR="002743E2">
        <w:t> </w:t>
      </w:r>
      <w:r w:rsidR="00711B3D">
        <w:t>CO</w:t>
      </w:r>
      <w:r w:rsidR="00711B3D">
        <w:rPr>
          <w:vertAlign w:val="subscript"/>
        </w:rPr>
        <w:t>2</w:t>
      </w:r>
      <w:r w:rsidR="00711B3D">
        <w:t>-e</w:t>
      </w:r>
      <w:r w:rsidR="00D85A77">
        <w:t xml:space="preserve"> per year</w:t>
      </w:r>
      <w:r w:rsidR="00711B3D">
        <w:t xml:space="preserve"> </w:t>
      </w:r>
      <w:r w:rsidR="00CA430C">
        <w:t>(CER 2017</w:t>
      </w:r>
      <w:r w:rsidR="009D0EB8">
        <w:t>b</w:t>
      </w:r>
      <w:r w:rsidR="005629CE">
        <w:t>)</w:t>
      </w:r>
      <w:r w:rsidR="00E00CAC">
        <w:t>.</w:t>
      </w:r>
      <w:r w:rsidR="00E00CAC">
        <w:rPr>
          <w:rStyle w:val="FootnoteReference"/>
        </w:rPr>
        <w:footnoteReference w:id="6"/>
      </w:r>
      <w:r w:rsidR="00711B3D">
        <w:t xml:space="preserve"> </w:t>
      </w:r>
      <w:r w:rsidR="000209A3">
        <w:t>More detailed reported data is available for use by governments under strict confidentiality conditions.</w:t>
      </w:r>
      <w:r>
        <w:t xml:space="preserve"> </w:t>
      </w:r>
    </w:p>
    <w:p w14:paraId="6724376B" w14:textId="77777777" w:rsidR="00ED7BD5" w:rsidRDefault="00C931D0">
      <w:pPr>
        <w:pStyle w:val="CCABodytext"/>
      </w:pPr>
      <w:r>
        <w:t>The Regulator is also required to publish data on scope 1 e</w:t>
      </w:r>
      <w:r w:rsidRPr="00C931D0">
        <w:t xml:space="preserve">missions and </w:t>
      </w:r>
      <w:r>
        <w:t xml:space="preserve">electricity </w:t>
      </w:r>
      <w:r w:rsidRPr="00C931D0">
        <w:t xml:space="preserve">generation </w:t>
      </w:r>
      <w:r>
        <w:t>by all facilities</w:t>
      </w:r>
      <w:r w:rsidRPr="00C931D0">
        <w:t xml:space="preserve"> in the electricity sector</w:t>
      </w:r>
      <w:r>
        <w:t>.</w:t>
      </w:r>
    </w:p>
    <w:p w14:paraId="736EE7F9" w14:textId="77777777" w:rsidR="00C931D0" w:rsidRDefault="00C931D0">
      <w:pPr>
        <w:pStyle w:val="CCABodytext"/>
      </w:pPr>
      <w:r>
        <w:t xml:space="preserve">Data must be published by the </w:t>
      </w:r>
      <w:r w:rsidR="00F56D6D">
        <w:t>R</w:t>
      </w:r>
      <w:r>
        <w:t xml:space="preserve">egulator </w:t>
      </w:r>
      <w:r w:rsidR="00F56D6D">
        <w:t>by the end of February</w:t>
      </w:r>
      <w:r w:rsidR="00EF0F0D">
        <w:t xml:space="preserve"> for the preceding financial year</w:t>
      </w:r>
      <w:r w:rsidR="00F56D6D">
        <w:t>.</w:t>
      </w:r>
    </w:p>
    <w:p w14:paraId="00C62F13" w14:textId="77777777" w:rsidR="000D5CD5" w:rsidRDefault="00040AE2" w:rsidP="00C813C5">
      <w:pPr>
        <w:pStyle w:val="CCAHeading2"/>
      </w:pPr>
      <w:bookmarkStart w:id="292" w:name="_Toc525642973"/>
      <w:bookmarkStart w:id="293" w:name="_Toc525644041"/>
      <w:bookmarkStart w:id="294" w:name="_Toc525661489"/>
      <w:bookmarkStart w:id="295" w:name="_Toc526430696"/>
      <w:bookmarkStart w:id="296" w:name="_Toc528140792"/>
      <w:bookmarkStart w:id="297" w:name="_Toc528143273"/>
      <w:bookmarkStart w:id="298" w:name="_Toc528770221"/>
      <w:bookmarkStart w:id="299" w:name="_Toc529183856"/>
      <w:bookmarkStart w:id="300" w:name="_Toc529187668"/>
      <w:bookmarkStart w:id="301" w:name="_Toc529188094"/>
      <w:bookmarkStart w:id="302" w:name="_Toc529377744"/>
      <w:bookmarkStart w:id="303" w:name="_Toc529389684"/>
      <w:bookmarkStart w:id="304" w:name="_Toc531095559"/>
      <w:bookmarkStart w:id="305" w:name="_Toc531099325"/>
      <w:bookmarkStart w:id="306" w:name="_Toc531101734"/>
      <w:bookmarkStart w:id="307" w:name="_Toc531764002"/>
      <w:bookmarkStart w:id="308" w:name="_Toc532912094"/>
      <w:bookmarkStart w:id="309" w:name="_Toc532914936"/>
      <w:r>
        <w:t>The s</w:t>
      </w:r>
      <w:r w:rsidR="000D5CD5" w:rsidRPr="000D5CD5">
        <w:t>afeguard mechanism</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4E08A9DE" w14:textId="77777777" w:rsidR="000F1216" w:rsidRDefault="000F1216">
      <w:pPr>
        <w:pStyle w:val="CCABodytext"/>
        <w:rPr>
          <w:rFonts w:eastAsia="Calibri" w:cs="Times New Roman"/>
        </w:rPr>
      </w:pPr>
      <w:r w:rsidRPr="000D5CD5">
        <w:t>The safeguard mechanism commenced on 1 July 2016.</w:t>
      </w:r>
      <w:r>
        <w:t xml:space="preserve"> It </w:t>
      </w:r>
      <w:r w:rsidRPr="000D5CD5">
        <w:rPr>
          <w:rFonts w:eastAsia="Calibri" w:cs="Times New Roman"/>
        </w:rPr>
        <w:t>aims to ensure emissions reductions purchased under the Emissions Reduction Fund are not offset by significant increases in emissions above business</w:t>
      </w:r>
      <w:r w:rsidR="006C6924">
        <w:rPr>
          <w:rFonts w:eastAsia="Calibri" w:cs="Times New Roman"/>
        </w:rPr>
        <w:t>-</w:t>
      </w:r>
      <w:r w:rsidRPr="000D5CD5">
        <w:rPr>
          <w:rFonts w:eastAsia="Calibri" w:cs="Times New Roman"/>
        </w:rPr>
        <w:t>as</w:t>
      </w:r>
      <w:r w:rsidR="006C6924">
        <w:rPr>
          <w:rFonts w:eastAsia="Calibri" w:cs="Times New Roman"/>
        </w:rPr>
        <w:t>-</w:t>
      </w:r>
      <w:r w:rsidRPr="000D5CD5">
        <w:rPr>
          <w:rFonts w:eastAsia="Calibri" w:cs="Times New Roman"/>
        </w:rPr>
        <w:t xml:space="preserve">usual levels elsewhere in the economy. The safeguard was designed to allow businesses to continue normal operations while at the same time providing an incentive to keep their emissions </w:t>
      </w:r>
      <w:r w:rsidR="0099250F">
        <w:rPr>
          <w:rFonts w:eastAsia="Calibri" w:cs="Times New Roman"/>
        </w:rPr>
        <w:t xml:space="preserve">at or </w:t>
      </w:r>
      <w:r w:rsidRPr="000D5CD5">
        <w:rPr>
          <w:rFonts w:eastAsia="Calibri" w:cs="Times New Roman"/>
        </w:rPr>
        <w:t>below their baseline.</w:t>
      </w:r>
    </w:p>
    <w:p w14:paraId="3D698BCE" w14:textId="77777777" w:rsidR="004F1D2C" w:rsidRPr="00667101" w:rsidRDefault="004F1D2C" w:rsidP="00E45370">
      <w:pPr>
        <w:pStyle w:val="Refno"/>
        <w:rPr>
          <w:rStyle w:val="CCABodytextChar"/>
          <w:i w:val="0"/>
          <w:color w:val="auto"/>
        </w:rPr>
      </w:pPr>
      <w:r w:rsidRPr="00667101">
        <w:rPr>
          <w:rStyle w:val="CCABodytextChar"/>
          <w:i w:val="0"/>
          <w:color w:val="auto"/>
        </w:rPr>
        <w:t>The National Greenhouse and Energy Reporting legislation establishes rules for:</w:t>
      </w:r>
    </w:p>
    <w:p w14:paraId="15254132" w14:textId="77777777" w:rsidR="004F1D2C" w:rsidRPr="002A7215" w:rsidRDefault="00184249" w:rsidP="00246502">
      <w:pPr>
        <w:pStyle w:val="ListBullet"/>
        <w:rPr>
          <w:rStyle w:val="CCABodytextChar"/>
          <w:szCs w:val="22"/>
        </w:rPr>
      </w:pPr>
      <w:r>
        <w:rPr>
          <w:rStyle w:val="CCABodytextChar"/>
          <w:color w:val="auto"/>
        </w:rPr>
        <w:t xml:space="preserve">facilities </w:t>
      </w:r>
      <w:r w:rsidR="00A6022A">
        <w:rPr>
          <w:rStyle w:val="CCABodytextChar"/>
          <w:color w:val="auto"/>
        </w:rPr>
        <w:t>and emissions to which the safeguard applies</w:t>
      </w:r>
    </w:p>
    <w:p w14:paraId="5142C918" w14:textId="77777777" w:rsidR="004F1D2C" w:rsidRPr="000552DC" w:rsidRDefault="004F1D2C" w:rsidP="00246502">
      <w:pPr>
        <w:pStyle w:val="ListBullet"/>
        <w:rPr>
          <w:rStyle w:val="CCABodytextChar"/>
          <w:szCs w:val="22"/>
        </w:rPr>
      </w:pPr>
      <w:r>
        <w:rPr>
          <w:rStyle w:val="CCABodytextChar"/>
          <w:color w:val="auto"/>
        </w:rPr>
        <w:t xml:space="preserve">setting </w:t>
      </w:r>
      <w:r w:rsidR="00A6022A">
        <w:rPr>
          <w:rStyle w:val="CCABodytextChar"/>
          <w:color w:val="auto"/>
        </w:rPr>
        <w:t xml:space="preserve">and publishing emissions limits (called </w:t>
      </w:r>
      <w:r w:rsidRPr="00437A54">
        <w:rPr>
          <w:rStyle w:val="CCABodytextChar"/>
          <w:color w:val="auto"/>
        </w:rPr>
        <w:t>baselines</w:t>
      </w:r>
      <w:r w:rsidR="00A6022A">
        <w:rPr>
          <w:rStyle w:val="CCABodytextChar"/>
          <w:color w:val="auto"/>
        </w:rPr>
        <w:t>)</w:t>
      </w:r>
      <w:r w:rsidR="00771345">
        <w:rPr>
          <w:rStyle w:val="CCABodytextChar"/>
          <w:color w:val="auto"/>
        </w:rPr>
        <w:t xml:space="preserve"> and</w:t>
      </w:r>
    </w:p>
    <w:p w14:paraId="0A2984D3" w14:textId="77777777" w:rsidR="004F1D2C" w:rsidRPr="004F1D2C" w:rsidRDefault="004F1D2C" w:rsidP="00246502">
      <w:pPr>
        <w:pStyle w:val="ListBullet"/>
        <w:rPr>
          <w:color w:val="414141"/>
          <w:szCs w:val="22"/>
        </w:rPr>
      </w:pPr>
      <w:r w:rsidRPr="00437A54">
        <w:rPr>
          <w:rStyle w:val="CCABodytextChar"/>
          <w:color w:val="auto"/>
        </w:rPr>
        <w:t>managing net emissions</w:t>
      </w:r>
      <w:r w:rsidR="00A6022A">
        <w:rPr>
          <w:rStyle w:val="CCABodytextChar"/>
          <w:color w:val="auto"/>
        </w:rPr>
        <w:t xml:space="preserve"> to comply with the safeguard</w:t>
      </w:r>
      <w:r w:rsidRPr="00437A54">
        <w:rPr>
          <w:rStyle w:val="CCABodytextChar"/>
          <w:color w:val="auto"/>
        </w:rPr>
        <w:t xml:space="preserve">. </w:t>
      </w:r>
    </w:p>
    <w:p w14:paraId="75D943BA" w14:textId="77777777" w:rsidR="00183A7C" w:rsidRPr="008A2660" w:rsidRDefault="00184249" w:rsidP="00C813C5">
      <w:pPr>
        <w:pStyle w:val="CCAHeading3"/>
      </w:pPr>
      <w:r>
        <w:t xml:space="preserve">Facilities </w:t>
      </w:r>
      <w:r w:rsidR="00A6022A" w:rsidRPr="008A2660">
        <w:t>and emissions</w:t>
      </w:r>
      <w:r w:rsidR="00D1781C" w:rsidRPr="008A2660">
        <w:t xml:space="preserve"> to which </w:t>
      </w:r>
      <w:r w:rsidR="00183A7C" w:rsidRPr="008A2660">
        <w:t>the safeguard mechanism applies</w:t>
      </w:r>
    </w:p>
    <w:p w14:paraId="2B0835CD" w14:textId="77777777" w:rsidR="0084198E" w:rsidRDefault="00F56D6D" w:rsidP="0084198E">
      <w:pPr>
        <w:pStyle w:val="CCABodytext"/>
        <w:rPr>
          <w:rFonts w:eastAsia="Calibri" w:cs="Times New Roman"/>
        </w:rPr>
      </w:pPr>
      <w:r w:rsidDel="003368EF">
        <w:t>The safeguard mechanism</w:t>
      </w:r>
      <w:r w:rsidDel="000F1216">
        <w:t xml:space="preserve"> </w:t>
      </w:r>
      <w:r>
        <w:t>applies to facilities whose scope 1 emissions are more than 100,000</w:t>
      </w:r>
      <w:r w:rsidRPr="00F56D6D">
        <w:t xml:space="preserve"> </w:t>
      </w:r>
      <w:r w:rsidRPr="000D5CD5">
        <w:t>t CO</w:t>
      </w:r>
      <w:r w:rsidRPr="000D5CD5">
        <w:rPr>
          <w:rFonts w:eastAsia="Calibri" w:cs="Times New Roman"/>
          <w:vertAlign w:val="subscript"/>
        </w:rPr>
        <w:t>2</w:t>
      </w:r>
      <w:r w:rsidRPr="000D5CD5">
        <w:rPr>
          <w:rFonts w:eastAsia="Calibri" w:cs="Times New Roman"/>
        </w:rPr>
        <w:t>-e a year</w:t>
      </w:r>
      <w:r>
        <w:rPr>
          <w:rFonts w:eastAsia="Calibri" w:cs="Times New Roman"/>
        </w:rPr>
        <w:t>.</w:t>
      </w:r>
      <w:r w:rsidR="0084198E">
        <w:rPr>
          <w:rFonts w:eastAsia="Calibri" w:cs="Times New Roman"/>
        </w:rPr>
        <w:t xml:space="preserve"> </w:t>
      </w:r>
      <w:r w:rsidR="0084198E" w:rsidRPr="000D5CD5">
        <w:t xml:space="preserve">Facilities </w:t>
      </w:r>
      <w:r w:rsidR="0084198E">
        <w:t xml:space="preserve">are required to ensure their scope 1 emissions do not exceed the baseline set by the </w:t>
      </w:r>
      <w:r w:rsidR="00667101">
        <w:t>R</w:t>
      </w:r>
      <w:r w:rsidR="0084198E">
        <w:t>egulator.</w:t>
      </w:r>
      <w:r w:rsidR="00667101">
        <w:t xml:space="preserve"> </w:t>
      </w:r>
      <w:r w:rsidR="00667101">
        <w:rPr>
          <w:rFonts w:eastAsia="Calibri" w:cs="Times New Roman"/>
        </w:rPr>
        <w:t>For most facilities, baselines are</w:t>
      </w:r>
      <w:r w:rsidR="00667101">
        <w:t xml:space="preserve"> set based on their historical emissions</w:t>
      </w:r>
      <w:r w:rsidR="00082B5B">
        <w:t xml:space="preserve"> (CER </w:t>
      </w:r>
      <w:r w:rsidR="00D776E8">
        <w:t>2018i</w:t>
      </w:r>
      <w:r w:rsidR="00082B5B">
        <w:t>)</w:t>
      </w:r>
      <w:r w:rsidR="00667101">
        <w:rPr>
          <w:rFonts w:eastAsia="Calibri" w:cs="Times New Roman"/>
        </w:rPr>
        <w:t>.</w:t>
      </w:r>
    </w:p>
    <w:p w14:paraId="7504BD6E" w14:textId="2BAABC0A" w:rsidR="003368EF" w:rsidRPr="00921F7A" w:rsidRDefault="003368EF" w:rsidP="003368EF">
      <w:pPr>
        <w:pStyle w:val="CCABodytext"/>
        <w:rPr>
          <w:rFonts w:asciiTheme="minorHAnsi" w:hAnsiTheme="minorHAnsi" w:cstheme="minorHAnsi"/>
        </w:rPr>
      </w:pPr>
      <w:r>
        <w:rPr>
          <w:rFonts w:asciiTheme="minorHAnsi" w:hAnsiTheme="minorHAnsi" w:cstheme="minorHAnsi"/>
        </w:rPr>
        <w:t>In 2016</w:t>
      </w:r>
      <w:r w:rsidR="00927F6F">
        <w:rPr>
          <w:rFonts w:asciiTheme="minorHAnsi" w:hAnsiTheme="minorHAnsi" w:cstheme="minorHAnsi"/>
        </w:rPr>
        <w:t>–</w:t>
      </w:r>
      <w:r>
        <w:rPr>
          <w:rFonts w:asciiTheme="minorHAnsi" w:hAnsiTheme="minorHAnsi" w:cstheme="minorHAnsi"/>
        </w:rPr>
        <w:t xml:space="preserve">17, </w:t>
      </w:r>
      <w:r w:rsidR="00A6022A">
        <w:rPr>
          <w:rFonts w:asciiTheme="minorHAnsi" w:hAnsiTheme="minorHAnsi" w:cstheme="minorHAnsi"/>
        </w:rPr>
        <w:t xml:space="preserve">the safeguard applied to </w:t>
      </w:r>
      <w:r>
        <w:rPr>
          <w:rFonts w:asciiTheme="minorHAnsi" w:hAnsiTheme="minorHAnsi" w:cstheme="minorHAnsi"/>
        </w:rPr>
        <w:t>203</w:t>
      </w:r>
      <w:r w:rsidR="00A6022A">
        <w:rPr>
          <w:rFonts w:asciiTheme="minorHAnsi" w:hAnsiTheme="minorHAnsi" w:cstheme="minorHAnsi"/>
        </w:rPr>
        <w:t xml:space="preserve"> </w:t>
      </w:r>
      <w:r w:rsidR="00BC0D9C">
        <w:rPr>
          <w:rFonts w:asciiTheme="minorHAnsi" w:hAnsiTheme="minorHAnsi" w:cstheme="minorHAnsi"/>
        </w:rPr>
        <w:t>large</w:t>
      </w:r>
      <w:r>
        <w:rPr>
          <w:rFonts w:asciiTheme="minorHAnsi" w:hAnsiTheme="minorHAnsi" w:cstheme="minorHAnsi"/>
        </w:rPr>
        <w:t xml:space="preserve"> facilities </w:t>
      </w:r>
      <w:r w:rsidR="00E304E1">
        <w:rPr>
          <w:rFonts w:asciiTheme="minorHAnsi" w:hAnsiTheme="minorHAnsi" w:cstheme="minorHAnsi"/>
        </w:rPr>
        <w:t xml:space="preserve">in the </w:t>
      </w:r>
      <w:r w:rsidR="00E304E1" w:rsidRPr="000D5CD5">
        <w:rPr>
          <w:rFonts w:eastAsia="Calibri" w:cs="Times New Roman"/>
        </w:rPr>
        <w:t>mining, oil and gas, manufacturing, transport and off-grid electricity</w:t>
      </w:r>
      <w:r w:rsidR="00E304E1">
        <w:rPr>
          <w:rFonts w:eastAsia="Calibri" w:cs="Times New Roman"/>
        </w:rPr>
        <w:t xml:space="preserve"> </w:t>
      </w:r>
      <w:r w:rsidR="00A6022A">
        <w:rPr>
          <w:rFonts w:asciiTheme="minorHAnsi" w:hAnsiTheme="minorHAnsi" w:cstheme="minorHAnsi"/>
        </w:rPr>
        <w:t>sectors</w:t>
      </w:r>
      <w:r w:rsidR="00082B5B">
        <w:rPr>
          <w:rFonts w:asciiTheme="minorHAnsi" w:hAnsiTheme="minorHAnsi" w:cstheme="minorHAnsi"/>
        </w:rPr>
        <w:t xml:space="preserve"> (CER 2</w:t>
      </w:r>
      <w:r w:rsidR="00D776E8">
        <w:rPr>
          <w:rFonts w:asciiTheme="minorHAnsi" w:hAnsiTheme="minorHAnsi" w:cstheme="minorHAnsi"/>
        </w:rPr>
        <w:t>018j</w:t>
      </w:r>
      <w:r w:rsidR="00082B5B">
        <w:rPr>
          <w:rFonts w:asciiTheme="minorHAnsi" w:hAnsiTheme="minorHAnsi" w:cstheme="minorHAnsi"/>
        </w:rPr>
        <w:t>)</w:t>
      </w:r>
      <w:r w:rsidR="00E304E1">
        <w:rPr>
          <w:rFonts w:asciiTheme="minorHAnsi" w:hAnsiTheme="minorHAnsi" w:cstheme="minorHAnsi"/>
        </w:rPr>
        <w:t>.</w:t>
      </w:r>
      <w:r>
        <w:rPr>
          <w:rFonts w:asciiTheme="minorHAnsi" w:hAnsiTheme="minorHAnsi" w:cstheme="minorHAnsi"/>
        </w:rPr>
        <w:t xml:space="preserve"> </w:t>
      </w:r>
      <w:r w:rsidR="0084198E">
        <w:rPr>
          <w:rFonts w:eastAsia="Calibri" w:cs="Times New Roman"/>
        </w:rPr>
        <w:fldChar w:fldCharType="begin"/>
      </w:r>
      <w:r w:rsidR="0084198E">
        <w:rPr>
          <w:rFonts w:eastAsia="Calibri" w:cs="Times New Roman"/>
        </w:rPr>
        <w:instrText xml:space="preserve"> REF _Ref528075803 \r \h </w:instrText>
      </w:r>
      <w:r w:rsidR="0084198E">
        <w:rPr>
          <w:rFonts w:eastAsia="Calibri" w:cs="Times New Roman"/>
        </w:rPr>
      </w:r>
      <w:r w:rsidR="0084198E">
        <w:rPr>
          <w:rFonts w:eastAsia="Calibri" w:cs="Times New Roman"/>
        </w:rPr>
        <w:fldChar w:fldCharType="separate"/>
      </w:r>
      <w:r w:rsidR="009A203A">
        <w:rPr>
          <w:rFonts w:eastAsia="Calibri" w:cs="Times New Roman"/>
        </w:rPr>
        <w:t>Figure 6</w:t>
      </w:r>
      <w:r w:rsidR="0084198E">
        <w:rPr>
          <w:rFonts w:eastAsia="Calibri" w:cs="Times New Roman"/>
        </w:rPr>
        <w:fldChar w:fldCharType="end"/>
      </w:r>
      <w:r>
        <w:rPr>
          <w:rFonts w:eastAsia="Calibri" w:cs="Times New Roman"/>
        </w:rPr>
        <w:t xml:space="preserve"> shows the number of safeguard facilities in each of the</w:t>
      </w:r>
      <w:r w:rsidR="00667101">
        <w:rPr>
          <w:rFonts w:eastAsia="Calibri" w:cs="Times New Roman"/>
        </w:rPr>
        <w:t>se</w:t>
      </w:r>
      <w:r>
        <w:rPr>
          <w:rFonts w:eastAsia="Calibri" w:cs="Times New Roman"/>
        </w:rPr>
        <w:t xml:space="preserve"> sectors. </w:t>
      </w:r>
      <w:r w:rsidR="008F2E04">
        <w:rPr>
          <w:rFonts w:asciiTheme="minorHAnsi" w:hAnsiTheme="minorHAnsi" w:cstheme="minorHAnsi"/>
        </w:rPr>
        <w:t>Grid-</w:t>
      </w:r>
      <w:r w:rsidR="00A6022A">
        <w:rPr>
          <w:rFonts w:asciiTheme="minorHAnsi" w:hAnsiTheme="minorHAnsi" w:cstheme="minorHAnsi"/>
        </w:rPr>
        <w:t xml:space="preserve">connected electricity generators, with scope 1 emissions over </w:t>
      </w:r>
      <w:r w:rsidR="00A6022A">
        <w:t>100,000</w:t>
      </w:r>
      <w:r w:rsidR="006B635D">
        <w:t> </w:t>
      </w:r>
      <w:r w:rsidR="00A6022A" w:rsidRPr="000D5CD5">
        <w:t>t CO</w:t>
      </w:r>
      <w:r w:rsidR="00A6022A" w:rsidRPr="000D5CD5">
        <w:rPr>
          <w:rFonts w:eastAsia="Calibri" w:cs="Times New Roman"/>
          <w:vertAlign w:val="subscript"/>
        </w:rPr>
        <w:t>2</w:t>
      </w:r>
      <w:r w:rsidR="00926447">
        <w:rPr>
          <w:rFonts w:eastAsia="Calibri" w:cs="Times New Roman"/>
        </w:rPr>
        <w:noBreakHyphen/>
      </w:r>
      <w:r w:rsidR="00A6022A" w:rsidRPr="000D5CD5">
        <w:rPr>
          <w:rFonts w:eastAsia="Calibri" w:cs="Times New Roman"/>
        </w:rPr>
        <w:t>e</w:t>
      </w:r>
      <w:r w:rsidR="00A95262">
        <w:rPr>
          <w:rFonts w:eastAsia="Calibri" w:cs="Times New Roman"/>
        </w:rPr>
        <w:t xml:space="preserve"> a year</w:t>
      </w:r>
      <w:r w:rsidR="00A6022A">
        <w:rPr>
          <w:rFonts w:eastAsia="Calibri" w:cs="Times New Roman"/>
        </w:rPr>
        <w:t>,</w:t>
      </w:r>
      <w:r w:rsidR="00A6022A">
        <w:rPr>
          <w:rFonts w:asciiTheme="minorHAnsi" w:hAnsiTheme="minorHAnsi" w:cstheme="minorHAnsi"/>
        </w:rPr>
        <w:t xml:space="preserve"> are subject to the </w:t>
      </w:r>
      <w:r w:rsidR="00A6022A">
        <w:rPr>
          <w:rFonts w:asciiTheme="minorHAnsi" w:hAnsiTheme="minorHAnsi" w:cstheme="minorHAnsi"/>
        </w:rPr>
        <w:lastRenderedPageBreak/>
        <w:t xml:space="preserve">safeguard if the sectoral baseline is breached. </w:t>
      </w:r>
      <w:r w:rsidR="00BC0D9C">
        <w:rPr>
          <w:rFonts w:asciiTheme="minorHAnsi" w:hAnsiTheme="minorHAnsi" w:cstheme="minorHAnsi"/>
        </w:rPr>
        <w:t>This would occur</w:t>
      </w:r>
      <w:r w:rsidR="00A6022A">
        <w:rPr>
          <w:rFonts w:asciiTheme="minorHAnsi" w:hAnsiTheme="minorHAnsi" w:cstheme="minorHAnsi"/>
        </w:rPr>
        <w:t xml:space="preserve"> if total scope 1 emissions from grid-connected electricity generators exceeds the sectoral baseline of </w:t>
      </w:r>
      <w:r w:rsidR="00926447">
        <w:rPr>
          <w:rFonts w:asciiTheme="minorHAnsi" w:hAnsiTheme="minorHAnsi" w:cstheme="minorHAnsi"/>
        </w:rPr>
        <w:t>198 </w:t>
      </w:r>
      <w:r w:rsidR="00FD4372">
        <w:rPr>
          <w:rFonts w:asciiTheme="minorHAnsi" w:hAnsiTheme="minorHAnsi" w:cstheme="minorHAnsi"/>
        </w:rPr>
        <w:t>M</w:t>
      </w:r>
      <w:r w:rsidR="00926447">
        <w:rPr>
          <w:rFonts w:asciiTheme="minorHAnsi" w:hAnsiTheme="minorHAnsi" w:cstheme="minorHAnsi"/>
        </w:rPr>
        <w:t>t </w:t>
      </w:r>
      <w:r w:rsidR="00A6022A" w:rsidRPr="0024659B">
        <w:rPr>
          <w:rFonts w:asciiTheme="minorHAnsi" w:hAnsiTheme="minorHAnsi" w:cstheme="minorHAnsi"/>
        </w:rPr>
        <w:t>CO</w:t>
      </w:r>
      <w:r w:rsidR="00A6022A" w:rsidRPr="0024659B">
        <w:rPr>
          <w:rFonts w:asciiTheme="minorHAnsi" w:hAnsiTheme="minorHAnsi" w:cstheme="minorHAnsi"/>
          <w:vertAlign w:val="subscript"/>
        </w:rPr>
        <w:t>2</w:t>
      </w:r>
      <w:r w:rsidR="00A6022A" w:rsidRPr="0024659B">
        <w:rPr>
          <w:rFonts w:asciiTheme="minorHAnsi" w:hAnsiTheme="minorHAnsi" w:cstheme="minorHAnsi"/>
        </w:rPr>
        <w:t>-e</w:t>
      </w:r>
      <w:r w:rsidR="00A6022A">
        <w:rPr>
          <w:rFonts w:asciiTheme="minorHAnsi" w:hAnsiTheme="minorHAnsi" w:cstheme="minorHAnsi"/>
        </w:rPr>
        <w:t xml:space="preserve"> a year. That sectoral baseline has not been breached to date.</w:t>
      </w:r>
      <w:r w:rsidR="00FB720C">
        <w:rPr>
          <w:rStyle w:val="FootnoteReference"/>
          <w:rFonts w:asciiTheme="minorHAnsi" w:hAnsiTheme="minorHAnsi" w:cstheme="minorHAnsi"/>
        </w:rPr>
        <w:footnoteReference w:id="7"/>
      </w:r>
      <w:r w:rsidR="00B72A7E" w:rsidRPr="00B72A7E">
        <w:t xml:space="preserve"> </w:t>
      </w:r>
    </w:p>
    <w:p w14:paraId="51E41B7F" w14:textId="77777777" w:rsidR="003368EF" w:rsidRDefault="003368EF" w:rsidP="00532BE2">
      <w:pPr>
        <w:pStyle w:val="CCAFigureHeader"/>
      </w:pPr>
      <w:bookmarkStart w:id="310" w:name="_Toc532912059"/>
      <w:bookmarkStart w:id="311" w:name="_Toc532914028"/>
      <w:bookmarkStart w:id="312" w:name="_Ref528075803"/>
      <w:bookmarkStart w:id="313" w:name="_Toc531095526"/>
      <w:bookmarkStart w:id="314" w:name="_Toc531099292"/>
      <w:bookmarkStart w:id="315" w:name="_Toc531101701"/>
      <w:bookmarkStart w:id="316" w:name="_Toc531764134"/>
      <w:r>
        <w:t xml:space="preserve">Number of safeguard facilities by sector, excluding </w:t>
      </w:r>
      <w:r w:rsidR="00A6022A">
        <w:t xml:space="preserve">grid-connected </w:t>
      </w:r>
      <w:r>
        <w:t>electricity generat</w:t>
      </w:r>
      <w:r w:rsidR="00A6022A">
        <w:t>ors</w:t>
      </w:r>
      <w:bookmarkEnd w:id="310"/>
      <w:bookmarkEnd w:id="311"/>
      <w:r>
        <w:t xml:space="preserve"> </w:t>
      </w:r>
      <w:bookmarkEnd w:id="312"/>
      <w:bookmarkEnd w:id="313"/>
      <w:bookmarkEnd w:id="314"/>
      <w:bookmarkEnd w:id="315"/>
      <w:bookmarkEnd w:id="316"/>
    </w:p>
    <w:p w14:paraId="36FFBEC3" w14:textId="2FB77FDC" w:rsidR="003368EF" w:rsidRDefault="00C01CC4" w:rsidP="00246502">
      <w:pPr>
        <w:pStyle w:val="CCAFigure"/>
      </w:pPr>
      <w:r>
        <w:drawing>
          <wp:inline distT="0" distB="0" distL="0" distR="0" wp14:anchorId="19470F02" wp14:editId="71119691">
            <wp:extent cx="5407660" cy="2914015"/>
            <wp:effectExtent l="0" t="0" r="2540" b="635"/>
            <wp:docPr id="12" name="Picture 12" descr="Figure 6 is a column chart, which shows the number of safeguard facilities by sector, excluding grid-connected electricity generators included in the sectoral baseline. The sectors are on the x-axis and the number of facilities is on the y-axis. From largest to smallest, the number of facilities in each sector is 121 in the mining sector, 53 in the manufacturing sector, 14 in the transport sector, 14 in the electricity and gas supply sector and 1 in the construction sector." title="Number of safeguard facilities by sector, excluding grid-connected electricity generators included in the sectoral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660" cy="2914015"/>
                    </a:xfrm>
                    <a:prstGeom prst="rect">
                      <a:avLst/>
                    </a:prstGeom>
                    <a:noFill/>
                  </pic:spPr>
                </pic:pic>
              </a:graphicData>
            </a:graphic>
          </wp:inline>
        </w:drawing>
      </w:r>
    </w:p>
    <w:p w14:paraId="0C4620B3" w14:textId="77777777" w:rsidR="00771345" w:rsidRPr="000D5CD5" w:rsidRDefault="00771345" w:rsidP="00771345">
      <w:pPr>
        <w:pStyle w:val="CCANotesource"/>
      </w:pPr>
      <w:r w:rsidRPr="009F5F8D">
        <w:rPr>
          <w:b/>
        </w:rPr>
        <w:t>Source:</w:t>
      </w:r>
      <w:r>
        <w:t xml:space="preserve"> CER </w:t>
      </w:r>
      <w:r w:rsidR="00F60456">
        <w:t>2018</w:t>
      </w:r>
      <w:r w:rsidR="005A5EF0">
        <w:t>c</w:t>
      </w:r>
    </w:p>
    <w:p w14:paraId="79612F0B" w14:textId="77777777" w:rsidR="000F1216" w:rsidRDefault="000F1216" w:rsidP="003368EF">
      <w:pPr>
        <w:pStyle w:val="CCABodytext"/>
        <w:rPr>
          <w:rFonts w:asciiTheme="minorHAnsi" w:hAnsiTheme="minorHAnsi" w:cstheme="minorHAnsi"/>
        </w:rPr>
      </w:pPr>
      <w:r>
        <w:rPr>
          <w:rFonts w:eastAsia="Calibri" w:cs="Times New Roman"/>
        </w:rPr>
        <w:t xml:space="preserve">Facilities </w:t>
      </w:r>
      <w:r w:rsidRPr="000D5CD5">
        <w:rPr>
          <w:rFonts w:eastAsia="Calibri" w:cs="Times New Roman"/>
        </w:rPr>
        <w:t>subject to the safeguard</w:t>
      </w:r>
      <w:r>
        <w:rPr>
          <w:rFonts w:eastAsia="Calibri" w:cs="Times New Roman"/>
        </w:rPr>
        <w:t xml:space="preserve">, together with grid-connected electricity generators included in the sectoral baseline, </w:t>
      </w:r>
      <w:r w:rsidRPr="000D5CD5">
        <w:rPr>
          <w:rFonts w:eastAsia="Calibri" w:cs="Times New Roman"/>
        </w:rPr>
        <w:t>accounted for 5</w:t>
      </w:r>
      <w:r w:rsidR="00E93600">
        <w:rPr>
          <w:rFonts w:eastAsia="Calibri" w:cs="Times New Roman"/>
        </w:rPr>
        <w:t>8</w:t>
      </w:r>
      <w:r w:rsidRPr="000D5CD5">
        <w:rPr>
          <w:rFonts w:eastAsia="Calibri" w:cs="Times New Roman"/>
        </w:rPr>
        <w:t xml:space="preserve"> per cent of Australia’s emissions</w:t>
      </w:r>
      <w:r>
        <w:rPr>
          <w:rFonts w:eastAsia="Calibri" w:cs="Times New Roman"/>
        </w:rPr>
        <w:t xml:space="preserve"> in 2016</w:t>
      </w:r>
      <w:r w:rsidR="00927F6F">
        <w:rPr>
          <w:rFonts w:eastAsia="Calibri" w:cs="Times New Roman"/>
        </w:rPr>
        <w:t>–</w:t>
      </w:r>
      <w:r>
        <w:rPr>
          <w:rFonts w:eastAsia="Calibri" w:cs="Times New Roman"/>
        </w:rPr>
        <w:t>17</w:t>
      </w:r>
      <w:r w:rsidR="00082B5B">
        <w:rPr>
          <w:rFonts w:eastAsia="Calibri" w:cs="Times New Roman"/>
        </w:rPr>
        <w:t xml:space="preserve"> (CER 2</w:t>
      </w:r>
      <w:r w:rsidR="009D0EB8">
        <w:rPr>
          <w:rFonts w:eastAsia="Calibri" w:cs="Times New Roman"/>
        </w:rPr>
        <w:t>01</w:t>
      </w:r>
      <w:r w:rsidR="00082B5B">
        <w:rPr>
          <w:rFonts w:eastAsia="Calibri" w:cs="Times New Roman"/>
        </w:rPr>
        <w:t>8</w:t>
      </w:r>
      <w:r w:rsidR="00D776E8">
        <w:rPr>
          <w:rFonts w:eastAsia="Calibri" w:cs="Times New Roman"/>
        </w:rPr>
        <w:t>j</w:t>
      </w:r>
      <w:r w:rsidR="00082B5B">
        <w:rPr>
          <w:rFonts w:eastAsia="Calibri" w:cs="Times New Roman"/>
        </w:rPr>
        <w:t xml:space="preserve">, </w:t>
      </w:r>
      <w:r w:rsidR="009D0EB8">
        <w:rPr>
          <w:rFonts w:eastAsia="Calibri" w:cs="Times New Roman"/>
        </w:rPr>
        <w:t>Commonwealth of Australia 2018d</w:t>
      </w:r>
      <w:r w:rsidR="00082B5B">
        <w:rPr>
          <w:rFonts w:eastAsia="Calibri" w:cs="Times New Roman"/>
        </w:rPr>
        <w:t>)</w:t>
      </w:r>
      <w:r w:rsidRPr="000D5CD5">
        <w:rPr>
          <w:rFonts w:eastAsia="Calibri" w:cs="Times New Roman"/>
        </w:rPr>
        <w:t>.</w:t>
      </w:r>
    </w:p>
    <w:p w14:paraId="2056A5CB" w14:textId="77777777" w:rsidR="000D5CD5" w:rsidRPr="000D5CD5" w:rsidRDefault="00F56D6D" w:rsidP="00C813C5">
      <w:pPr>
        <w:pStyle w:val="CCAHeading3"/>
      </w:pPr>
      <w:bookmarkStart w:id="317" w:name="_Toc519166183"/>
      <w:bookmarkStart w:id="318" w:name="_Toc519240550"/>
      <w:bookmarkStart w:id="319" w:name="_Toc519240678"/>
      <w:bookmarkStart w:id="320" w:name="_Toc520448580"/>
      <w:bookmarkStart w:id="321" w:name="_Toc520455256"/>
      <w:bookmarkStart w:id="322" w:name="_Toc520459055"/>
      <w:bookmarkStart w:id="323" w:name="_Toc520459449"/>
      <w:bookmarkStart w:id="324" w:name="_Toc520458577"/>
      <w:bookmarkStart w:id="325" w:name="_Toc520459531"/>
      <w:bookmarkStart w:id="326" w:name="_Toc520461447"/>
      <w:bookmarkStart w:id="327" w:name="_Toc520461809"/>
      <w:bookmarkStart w:id="328" w:name="_Toc520466838"/>
      <w:bookmarkStart w:id="329" w:name="_Toc520469875"/>
      <w:bookmarkStart w:id="330" w:name="_Toc520705332"/>
      <w:bookmarkStart w:id="331" w:name="_Toc520707696"/>
      <w:bookmarkStart w:id="332" w:name="_Toc520716710"/>
      <w:bookmarkStart w:id="333" w:name="_Toc520720358"/>
      <w:bookmarkStart w:id="334" w:name="_Toc520721609"/>
      <w:bookmarkStart w:id="335" w:name="_Toc520724142"/>
      <w:bookmarkStart w:id="336" w:name="_Toc520735247"/>
      <w:bookmarkStart w:id="337" w:name="_Toc520736280"/>
      <w:bookmarkStart w:id="338" w:name="_Toc520736699"/>
      <w:bookmarkStart w:id="339" w:name="_Ref528076520"/>
      <w:bookmarkStart w:id="340" w:name="_Ref531626320"/>
      <w:r>
        <w:t>B</w:t>
      </w:r>
      <w:r w:rsidR="000D5CD5" w:rsidRPr="000D5CD5">
        <w:t>aselines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37232CB2" w14:textId="77777777" w:rsidR="000D5CD5" w:rsidRPr="000D5CD5" w:rsidRDefault="00AA74E9" w:rsidP="00A301EA">
      <w:pPr>
        <w:pStyle w:val="CCABodytext"/>
        <w:rPr>
          <w:rFonts w:eastAsia="Calibri" w:cs="Times New Roman"/>
        </w:rPr>
      </w:pPr>
      <w:r>
        <w:t xml:space="preserve">Baselines represent the reference point against which emissions performance is measured under the safeguard and are defined as an absolute quantity of emissions. </w:t>
      </w:r>
      <w:r w:rsidR="000D5CD5" w:rsidRPr="000D5CD5">
        <w:t>Most facilities have reported baselines set at the high</w:t>
      </w:r>
      <w:r w:rsidR="00927F6F">
        <w:t xml:space="preserve"> </w:t>
      </w:r>
      <w:r w:rsidR="000D5CD5" w:rsidRPr="000D5CD5">
        <w:t>point of their historical emissions under the reporting scheme for the period from 2009</w:t>
      </w:r>
      <w:r w:rsidR="00927F6F">
        <w:t>–</w:t>
      </w:r>
      <w:r w:rsidR="000D5CD5" w:rsidRPr="000D5CD5">
        <w:t>10 to 2013</w:t>
      </w:r>
      <w:r w:rsidR="00927F6F">
        <w:t>–</w:t>
      </w:r>
      <w:r w:rsidR="000D5CD5" w:rsidRPr="000D5CD5">
        <w:t>14</w:t>
      </w:r>
      <w:r w:rsidR="00082B5B">
        <w:t xml:space="preserve"> (CER </w:t>
      </w:r>
      <w:r w:rsidR="00D776E8">
        <w:t>2018i</w:t>
      </w:r>
      <w:r w:rsidR="00082B5B">
        <w:t>)</w:t>
      </w:r>
      <w:r w:rsidR="000D5CD5" w:rsidRPr="000D5CD5">
        <w:t>.</w:t>
      </w:r>
    </w:p>
    <w:p w14:paraId="5B767B3C" w14:textId="77777777" w:rsidR="00BE2CA5" w:rsidRPr="000D5CD5" w:rsidRDefault="000D5CD5">
      <w:pPr>
        <w:pStyle w:val="CCABodytext"/>
        <w:rPr>
          <w:rFonts w:eastAsia="Calibri"/>
        </w:rPr>
      </w:pPr>
      <w:r w:rsidRPr="000D5CD5">
        <w:t>Where historical emissions are</w:t>
      </w:r>
      <w:r w:rsidR="00AA74E9">
        <w:t xml:space="preserve"> not available or</w:t>
      </w:r>
      <w:r w:rsidRPr="000D5CD5">
        <w:t xml:space="preserve"> </w:t>
      </w:r>
      <w:r w:rsidR="00667101">
        <w:t xml:space="preserve">are </w:t>
      </w:r>
      <w:r w:rsidRPr="000D5CD5">
        <w:t xml:space="preserve">viewed as a poor indicator of future emissions, such as for new or significantly expanded facilities, facilities can apply for </w:t>
      </w:r>
      <w:r w:rsidRPr="000D5CD5">
        <w:lastRenderedPageBreak/>
        <w:t>calculated baselines. A calculated baseline is set at the highest level of forecast production over the next three financial years (or five years for large facilities)</w:t>
      </w:r>
      <w:r w:rsidRPr="000D5CD5">
        <w:rPr>
          <w:rFonts w:eastAsia="Calibri"/>
        </w:rPr>
        <w:t xml:space="preserve"> multiplied by the forecast emissions intensity </w:t>
      </w:r>
      <w:r w:rsidR="00CC77AC">
        <w:rPr>
          <w:rFonts w:eastAsia="Calibri"/>
        </w:rPr>
        <w:t xml:space="preserve">(emissions per unit of </w:t>
      </w:r>
      <w:r w:rsidRPr="000D5CD5">
        <w:rPr>
          <w:rFonts w:eastAsia="Calibri"/>
        </w:rPr>
        <w:t>production</w:t>
      </w:r>
      <w:r w:rsidR="00CC77AC">
        <w:rPr>
          <w:rFonts w:eastAsia="Calibri"/>
        </w:rPr>
        <w:t>)</w:t>
      </w:r>
      <w:r w:rsidRPr="000D5CD5">
        <w:rPr>
          <w:rFonts w:eastAsia="Calibri"/>
        </w:rPr>
        <w:t xml:space="preserve"> of that production.</w:t>
      </w:r>
      <w:r w:rsidR="00565BF2" w:rsidRPr="000D5CD5">
        <w:rPr>
          <w:rFonts w:eastAsia="Calibri"/>
          <w:vertAlign w:val="superscript"/>
        </w:rPr>
        <w:footnoteReference w:id="8"/>
      </w:r>
      <w:r w:rsidR="00BE4626">
        <w:rPr>
          <w:rFonts w:eastAsia="Calibri"/>
        </w:rPr>
        <w:t xml:space="preserve"> At the end of the three</w:t>
      </w:r>
      <w:r w:rsidR="0014587D">
        <w:rPr>
          <w:rFonts w:eastAsia="Calibri"/>
        </w:rPr>
        <w:t xml:space="preserve">- </w:t>
      </w:r>
      <w:r w:rsidR="00BE4626">
        <w:rPr>
          <w:rFonts w:eastAsia="Calibri"/>
        </w:rPr>
        <w:t>(or five</w:t>
      </w:r>
      <w:r w:rsidR="0014587D">
        <w:rPr>
          <w:rFonts w:eastAsia="Calibri"/>
        </w:rPr>
        <w:t>-</w:t>
      </w:r>
      <w:r w:rsidR="00BE4626">
        <w:rPr>
          <w:rFonts w:eastAsia="Calibri"/>
        </w:rPr>
        <w:t xml:space="preserve">) year period, facilities on calculated baselines </w:t>
      </w:r>
      <w:r w:rsidR="00BC0D9C">
        <w:rPr>
          <w:rFonts w:eastAsia="Calibri"/>
        </w:rPr>
        <w:t xml:space="preserve">can apply for </w:t>
      </w:r>
      <w:r w:rsidR="00BE4626">
        <w:rPr>
          <w:rFonts w:eastAsia="Calibri"/>
        </w:rPr>
        <w:t>p</w:t>
      </w:r>
      <w:r w:rsidR="00BE2CA5" w:rsidRPr="000D5CD5">
        <w:rPr>
          <w:rFonts w:eastAsia="Calibri"/>
        </w:rPr>
        <w:t>roduction-adjusted baselines</w:t>
      </w:r>
      <w:r w:rsidR="00BE4626">
        <w:rPr>
          <w:rFonts w:eastAsia="Calibri"/>
        </w:rPr>
        <w:t>. Th</w:t>
      </w:r>
      <w:r w:rsidR="00D4478E">
        <w:rPr>
          <w:rFonts w:eastAsia="Calibri"/>
        </w:rPr>
        <w:t>is is a one-off adjustment based on</w:t>
      </w:r>
      <w:r w:rsidR="00BE4626">
        <w:rPr>
          <w:rFonts w:eastAsia="Calibri"/>
        </w:rPr>
        <w:t xml:space="preserve"> </w:t>
      </w:r>
      <w:r w:rsidR="00BE2CA5" w:rsidRPr="000D5CD5">
        <w:rPr>
          <w:rFonts w:eastAsia="Calibri"/>
        </w:rPr>
        <w:t>actual production rather than forecast production.</w:t>
      </w:r>
      <w:r w:rsidR="00AA74E9">
        <w:rPr>
          <w:rFonts w:eastAsia="Calibri"/>
        </w:rPr>
        <w:t xml:space="preserve"> Facilities who have no other baseline receive a default baseline of 100,000 t</w:t>
      </w:r>
      <w:r w:rsidR="006F39FE">
        <w:rPr>
          <w:rFonts w:eastAsia="Calibri"/>
        </w:rPr>
        <w:t xml:space="preserve"> </w:t>
      </w:r>
      <w:r w:rsidR="00667101">
        <w:rPr>
          <w:rFonts w:eastAsia="Calibri"/>
        </w:rPr>
        <w:t>CO</w:t>
      </w:r>
      <w:r w:rsidR="00667101" w:rsidRPr="00B15B2C">
        <w:rPr>
          <w:rFonts w:eastAsia="Calibri"/>
          <w:vertAlign w:val="subscript"/>
        </w:rPr>
        <w:t>2</w:t>
      </w:r>
      <w:r w:rsidR="00667101">
        <w:rPr>
          <w:rFonts w:eastAsia="Calibri"/>
        </w:rPr>
        <w:t>-e</w:t>
      </w:r>
      <w:r w:rsidR="00AA74E9">
        <w:rPr>
          <w:rFonts w:eastAsia="Calibri"/>
        </w:rPr>
        <w:t xml:space="preserve"> per year.</w:t>
      </w:r>
    </w:p>
    <w:p w14:paraId="6B628D14" w14:textId="77777777" w:rsidR="00BE4626" w:rsidRDefault="00136C6C" w:rsidP="000F3613">
      <w:pPr>
        <w:pStyle w:val="CCABodytext"/>
        <w:rPr>
          <w:rFonts w:eastAsia="Calibri" w:cs="Times New Roman"/>
          <w:lang w:val="en-GB" w:eastAsia="en-AU"/>
        </w:rPr>
      </w:pPr>
      <w:r>
        <w:t>Under the current legislation, from</w:t>
      </w:r>
      <w:r w:rsidR="00BE2CA5">
        <w:t xml:space="preserve"> 2020 </w:t>
      </w:r>
      <w:r w:rsidR="000F3613">
        <w:t xml:space="preserve">calculated </w:t>
      </w:r>
      <w:r w:rsidR="000D5CD5" w:rsidRPr="000D5CD5">
        <w:t xml:space="preserve">baselines </w:t>
      </w:r>
      <w:r w:rsidR="00FF7ACA">
        <w:t xml:space="preserve">will </w:t>
      </w:r>
      <w:r w:rsidR="000F3613">
        <w:t xml:space="preserve">not be available </w:t>
      </w:r>
      <w:r w:rsidR="00D4478E">
        <w:t xml:space="preserve">for new facilities or facilities undertaking a significant expansion. Rather these facilities can apply for a </w:t>
      </w:r>
      <w:r w:rsidR="000F3613">
        <w:t>benchmark baseline</w:t>
      </w:r>
      <w:r w:rsidR="00D4478E">
        <w:t>, which is calculated using a forecast production figure (per the existing calculated baseline approach) and</w:t>
      </w:r>
      <w:r w:rsidR="000F3613">
        <w:t xml:space="preserve"> a benchmark emissions intensity </w:t>
      </w:r>
      <w:r w:rsidR="00D4478E">
        <w:t>value</w:t>
      </w:r>
      <w:r w:rsidR="000F3613">
        <w:t xml:space="preserve"> </w:t>
      </w:r>
      <w:r w:rsidR="000D447F">
        <w:t>that</w:t>
      </w:r>
      <w:r w:rsidR="000F3613">
        <w:t xml:space="preserve"> reflect</w:t>
      </w:r>
      <w:r w:rsidR="00667101">
        <w:t>s</w:t>
      </w:r>
      <w:r w:rsidR="000F3613">
        <w:t xml:space="preserve"> industry best practice.</w:t>
      </w:r>
      <w:r w:rsidR="000D5CD5" w:rsidRPr="000D5CD5">
        <w:rPr>
          <w:rFonts w:eastAsia="Calibri" w:cs="Times New Roman"/>
          <w:lang w:val="en-GB" w:eastAsia="en-AU"/>
        </w:rPr>
        <w:t xml:space="preserve"> </w:t>
      </w:r>
    </w:p>
    <w:p w14:paraId="3ECB21C4" w14:textId="77777777" w:rsidR="00D372EE" w:rsidRDefault="00F31E73" w:rsidP="000F3613">
      <w:pPr>
        <w:pStyle w:val="CCABodytext"/>
        <w:rPr>
          <w:rFonts w:eastAsia="Calibri" w:cs="Times New Roman"/>
        </w:rPr>
      </w:pPr>
      <w:bookmarkStart w:id="341" w:name="_Toc526430697"/>
      <w:bookmarkStart w:id="342" w:name="_Toc528140793"/>
      <w:bookmarkStart w:id="343" w:name="_Toc528143274"/>
      <w:bookmarkStart w:id="344" w:name="_Toc528770222"/>
      <w:r>
        <w:t xml:space="preserve">The sectoral baseline </w:t>
      </w:r>
      <w:r w:rsidR="003E5520">
        <w:t xml:space="preserve">for the </w:t>
      </w:r>
      <w:r>
        <w:t xml:space="preserve">grid-connected electricity sector is set at the </w:t>
      </w:r>
      <w:r w:rsidR="008B40B4">
        <w:t xml:space="preserve">level of the </w:t>
      </w:r>
      <w:r>
        <w:t>sector’s emissions in 2009</w:t>
      </w:r>
      <w:r w:rsidR="00927F6F">
        <w:t>–</w:t>
      </w:r>
      <w:r>
        <w:t>10, the high point of Australia’s electricity emissions</w:t>
      </w:r>
      <w:r w:rsidR="006825BE">
        <w:t xml:space="preserve"> between 2009</w:t>
      </w:r>
      <w:r w:rsidR="00927F6F">
        <w:t>–</w:t>
      </w:r>
      <w:r w:rsidR="006825BE">
        <w:t>10 and 2013</w:t>
      </w:r>
      <w:r w:rsidR="00927F6F">
        <w:t>–</w:t>
      </w:r>
      <w:r w:rsidR="006825BE">
        <w:t>14</w:t>
      </w:r>
      <w:r>
        <w:t>. If the sectoral baseline is reached</w:t>
      </w:r>
      <w:r w:rsidR="00F911DD">
        <w:t>,</w:t>
      </w:r>
      <w:r w:rsidR="003E5520">
        <w:t xml:space="preserve"> </w:t>
      </w:r>
      <w:r>
        <w:t>individual generators</w:t>
      </w:r>
      <w:r w:rsidR="003E5520">
        <w:t>’</w:t>
      </w:r>
      <w:r>
        <w:t xml:space="preserve"> baselines </w:t>
      </w:r>
      <w:r w:rsidR="00F911DD">
        <w:t>will</w:t>
      </w:r>
      <w:r w:rsidR="003E5520">
        <w:t xml:space="preserve"> be </w:t>
      </w:r>
      <w:r>
        <w:t xml:space="preserve">set on the basis of the high point of </w:t>
      </w:r>
      <w:r w:rsidR="00667101">
        <w:t>the individual</w:t>
      </w:r>
      <w:r>
        <w:t xml:space="preserve"> generator’s emissions between 2009</w:t>
      </w:r>
      <w:r w:rsidR="00927F6F">
        <w:t>–</w:t>
      </w:r>
      <w:r>
        <w:t>10 and 2013</w:t>
      </w:r>
      <w:r w:rsidR="00927F6F">
        <w:t>–</w:t>
      </w:r>
      <w:r>
        <w:t>14.</w:t>
      </w:r>
      <w:r w:rsidR="00667101">
        <w:rPr>
          <w:rFonts w:asciiTheme="minorHAnsi" w:hAnsiTheme="minorHAnsi" w:cstheme="minorHAnsi"/>
        </w:rPr>
        <w:t xml:space="preserve"> The Authority is of the view </w:t>
      </w:r>
      <w:r w:rsidR="006F39FE">
        <w:rPr>
          <w:rFonts w:asciiTheme="minorHAnsi" w:hAnsiTheme="minorHAnsi" w:cstheme="minorHAnsi"/>
        </w:rPr>
        <w:t>the sectoral baseline</w:t>
      </w:r>
      <w:r w:rsidR="00667101">
        <w:rPr>
          <w:rFonts w:asciiTheme="minorHAnsi" w:hAnsiTheme="minorHAnsi" w:cstheme="minorHAnsi"/>
        </w:rPr>
        <w:t xml:space="preserve"> is unlikely to </w:t>
      </w:r>
      <w:r w:rsidR="006F39FE">
        <w:rPr>
          <w:rFonts w:asciiTheme="minorHAnsi" w:hAnsiTheme="minorHAnsi" w:cstheme="minorHAnsi"/>
        </w:rPr>
        <w:t>be breached</w:t>
      </w:r>
      <w:r w:rsidR="00667101">
        <w:rPr>
          <w:rFonts w:asciiTheme="minorHAnsi" w:hAnsiTheme="minorHAnsi" w:cstheme="minorHAnsi"/>
        </w:rPr>
        <w:t xml:space="preserve"> (</w:t>
      </w:r>
      <w:r w:rsidR="00906DB9">
        <w:rPr>
          <w:rFonts w:asciiTheme="minorHAnsi" w:hAnsiTheme="minorHAnsi" w:cstheme="minorHAnsi"/>
        </w:rPr>
        <w:t>S</w:t>
      </w:r>
      <w:r w:rsidR="00667101">
        <w:rPr>
          <w:rFonts w:asciiTheme="minorHAnsi" w:hAnsiTheme="minorHAnsi" w:cstheme="minorHAnsi"/>
        </w:rPr>
        <w:t xml:space="preserve">ection </w:t>
      </w:r>
      <w:r w:rsidR="006F39FE">
        <w:rPr>
          <w:rFonts w:asciiTheme="minorHAnsi" w:hAnsiTheme="minorHAnsi" w:cstheme="minorHAnsi"/>
        </w:rPr>
        <w:fldChar w:fldCharType="begin"/>
      </w:r>
      <w:r w:rsidR="006F39FE">
        <w:rPr>
          <w:rFonts w:asciiTheme="minorHAnsi" w:hAnsiTheme="minorHAnsi" w:cstheme="minorHAnsi"/>
        </w:rPr>
        <w:instrText xml:space="preserve"> REF _Ref531606635 \r \h </w:instrText>
      </w:r>
      <w:r w:rsidR="006F39FE">
        <w:rPr>
          <w:rFonts w:asciiTheme="minorHAnsi" w:hAnsiTheme="minorHAnsi" w:cstheme="minorHAnsi"/>
        </w:rPr>
      </w:r>
      <w:r w:rsidR="006F39FE">
        <w:rPr>
          <w:rFonts w:asciiTheme="minorHAnsi" w:hAnsiTheme="minorHAnsi" w:cstheme="minorHAnsi"/>
        </w:rPr>
        <w:fldChar w:fldCharType="separate"/>
      </w:r>
      <w:r w:rsidR="009A203A">
        <w:rPr>
          <w:rFonts w:asciiTheme="minorHAnsi" w:hAnsiTheme="minorHAnsi" w:cstheme="minorHAnsi"/>
        </w:rPr>
        <w:t>5.1.2</w:t>
      </w:r>
      <w:r w:rsidR="006F39FE">
        <w:rPr>
          <w:rFonts w:asciiTheme="minorHAnsi" w:hAnsiTheme="minorHAnsi" w:cstheme="minorHAnsi"/>
        </w:rPr>
        <w:fldChar w:fldCharType="end"/>
      </w:r>
      <w:r w:rsidR="00667101">
        <w:rPr>
          <w:rFonts w:asciiTheme="minorHAnsi" w:hAnsiTheme="minorHAnsi" w:cstheme="minorHAnsi"/>
        </w:rPr>
        <w:t>).</w:t>
      </w:r>
      <w:r w:rsidR="00D372EE">
        <w:rPr>
          <w:rFonts w:asciiTheme="minorHAnsi" w:hAnsiTheme="minorHAnsi" w:cstheme="minorHAnsi"/>
        </w:rPr>
        <w:t xml:space="preserve"> </w:t>
      </w:r>
    </w:p>
    <w:p w14:paraId="11DB2C74" w14:textId="77777777" w:rsidR="00A6022A" w:rsidRDefault="00A6022A" w:rsidP="000F3613">
      <w:pPr>
        <w:pStyle w:val="CCABodytext"/>
      </w:pPr>
      <w:r>
        <w:rPr>
          <w:rFonts w:eastAsia="Calibri" w:cs="Times New Roman"/>
        </w:rPr>
        <w:t xml:space="preserve">Under the safeguard, the Regulator publishes baselines </w:t>
      </w:r>
      <w:r w:rsidR="00664B50">
        <w:rPr>
          <w:rFonts w:eastAsia="Calibri" w:cs="Times New Roman"/>
        </w:rPr>
        <w:t>as soon as practicable after they are made</w:t>
      </w:r>
      <w:r w:rsidR="00D372EE">
        <w:rPr>
          <w:rFonts w:eastAsia="Calibri" w:cs="Times New Roman"/>
        </w:rPr>
        <w:t>.</w:t>
      </w:r>
      <w:r w:rsidR="00664B50">
        <w:rPr>
          <w:rFonts w:eastAsia="Calibri" w:cs="Times New Roman"/>
        </w:rPr>
        <w:t xml:space="preserve"> </w:t>
      </w:r>
    </w:p>
    <w:p w14:paraId="20452639" w14:textId="77777777" w:rsidR="00A6022A" w:rsidRDefault="00A6022A" w:rsidP="00C813C5">
      <w:pPr>
        <w:pStyle w:val="CCAHeading3"/>
      </w:pPr>
      <w:r>
        <w:t>How to comply with the safeguard mechanism</w:t>
      </w:r>
    </w:p>
    <w:p w14:paraId="17D82882" w14:textId="77777777" w:rsidR="00A6022A" w:rsidRDefault="00A6022A" w:rsidP="00A6022A">
      <w:pPr>
        <w:pStyle w:val="CCABodytext"/>
        <w:rPr>
          <w:rFonts w:asciiTheme="minorHAnsi" w:hAnsiTheme="minorHAnsi" w:cstheme="minorHAnsi"/>
        </w:rPr>
      </w:pPr>
      <w:r>
        <w:rPr>
          <w:rFonts w:asciiTheme="minorHAnsi" w:hAnsiTheme="minorHAnsi" w:cstheme="minorHAnsi"/>
        </w:rPr>
        <w:t xml:space="preserve">By </w:t>
      </w:r>
      <w:r w:rsidR="00667101">
        <w:rPr>
          <w:rFonts w:asciiTheme="minorHAnsi" w:hAnsiTheme="minorHAnsi" w:cstheme="minorHAnsi"/>
        </w:rPr>
        <w:t>the end of</w:t>
      </w:r>
      <w:r>
        <w:rPr>
          <w:rFonts w:asciiTheme="minorHAnsi" w:hAnsiTheme="minorHAnsi" w:cstheme="minorHAnsi"/>
        </w:rPr>
        <w:t xml:space="preserve"> February each year, facilities covered by the safeguard must ensure their net scope 1 emissions for the previous financial year do not exceed their baseline. Net scope 1 emissions are calculated as the total scope 1 emissions from the facility reported under the reporting scheme, less any Australian Carbon Credit Units surrendered to offset emissions. </w:t>
      </w:r>
      <w:r w:rsidR="006762FB">
        <w:rPr>
          <w:rFonts w:eastAsia="Calibri" w:cs="Times New Roman"/>
        </w:rPr>
        <w:t>T</w:t>
      </w:r>
      <w:r w:rsidR="00D372EE">
        <w:rPr>
          <w:rFonts w:eastAsia="Calibri" w:cs="Times New Roman"/>
        </w:rPr>
        <w:t>he Regulator publishes total and net scope 1 emissions for safeguard facilities. Facilities can apply to the Regulator for the information not to be published if the information is commercially sensitive.</w:t>
      </w:r>
    </w:p>
    <w:p w14:paraId="5A96C7DC" w14:textId="77777777" w:rsidR="00A6022A" w:rsidRDefault="00A6022A" w:rsidP="00A6022A">
      <w:pPr>
        <w:pStyle w:val="CCABodytext"/>
      </w:pPr>
      <w:r>
        <w:t xml:space="preserve">If a facility </w:t>
      </w:r>
      <w:r w:rsidRPr="000D5CD5">
        <w:t>exceed</w:t>
      </w:r>
      <w:r>
        <w:t>s</w:t>
      </w:r>
      <w:r w:rsidRPr="000D5CD5">
        <w:t xml:space="preserve"> </w:t>
      </w:r>
      <w:r>
        <w:t>its</w:t>
      </w:r>
      <w:r w:rsidRPr="000D5CD5">
        <w:t xml:space="preserve"> baseline</w:t>
      </w:r>
      <w:r>
        <w:t>,</w:t>
      </w:r>
      <w:r w:rsidRPr="000D5CD5" w:rsidDel="003368EF">
        <w:t xml:space="preserve"> </w:t>
      </w:r>
      <w:r w:rsidRPr="000D5CD5">
        <w:t xml:space="preserve">safeguard obligations </w:t>
      </w:r>
      <w:r>
        <w:t xml:space="preserve">can be met </w:t>
      </w:r>
      <w:r w:rsidRPr="000D5CD5">
        <w:t>through</w:t>
      </w:r>
      <w:r w:rsidR="00D27B14">
        <w:t>:</w:t>
      </w:r>
    </w:p>
    <w:p w14:paraId="657E2B72" w14:textId="77777777" w:rsidR="00A6022A" w:rsidRPr="00D27B14" w:rsidRDefault="00D27B14" w:rsidP="00460F88">
      <w:pPr>
        <w:pStyle w:val="ListBullet"/>
      </w:pPr>
      <w:r>
        <w:t>a</w:t>
      </w:r>
      <w:r w:rsidR="00A6022A" w:rsidRPr="00D27B14">
        <w:t>pplying for a calculated baseline</w:t>
      </w:r>
      <w:r w:rsidR="00460F88" w:rsidRPr="00177AD5">
        <w:t>—i</w:t>
      </w:r>
      <w:r w:rsidR="00A6022A" w:rsidRPr="00D27B14">
        <w:t xml:space="preserve">n certain circumstances, such as if the facility has significantly expanded, a facility can apply for a new baseline </w:t>
      </w:r>
    </w:p>
    <w:p w14:paraId="34559D2A" w14:textId="77777777" w:rsidR="00A6022A" w:rsidRDefault="00D27B14" w:rsidP="00246502">
      <w:pPr>
        <w:pStyle w:val="ListBullet"/>
      </w:pPr>
      <w:r>
        <w:t>a</w:t>
      </w:r>
      <w:r w:rsidR="00A6022A">
        <w:t>pplying for an emissions intensity baseline variation</w:t>
      </w:r>
      <w:r w:rsidRPr="00425ACC">
        <w:t>—</w:t>
      </w:r>
      <w:r>
        <w:t xml:space="preserve">a </w:t>
      </w:r>
      <w:r w:rsidR="00A6022A">
        <w:t>facility can apply to have its baseline temporarily increased in any year where its baseline is exceeded and at the same time the facility improves its emissions intensity</w:t>
      </w:r>
    </w:p>
    <w:p w14:paraId="537B2B8C" w14:textId="77777777" w:rsidR="00A6022A" w:rsidRDefault="00D27B14" w:rsidP="004A367C">
      <w:pPr>
        <w:pStyle w:val="ListBullet"/>
      </w:pPr>
      <w:r>
        <w:lastRenderedPageBreak/>
        <w:t>a</w:t>
      </w:r>
      <w:r w:rsidR="00A6022A">
        <w:t>pplying</w:t>
      </w:r>
      <w:r w:rsidR="00A6022A" w:rsidRPr="000D5CD5">
        <w:t xml:space="preserve"> for a multi-year monitoring period</w:t>
      </w:r>
      <w:r w:rsidRPr="00425ACC">
        <w:t>—</w:t>
      </w:r>
      <w:r>
        <w:t>a</w:t>
      </w:r>
      <w:r w:rsidR="00A6022A">
        <w:t xml:space="preserve"> facility can apply for a multi-year monitoring period</w:t>
      </w:r>
      <w:r w:rsidR="007B5AC6">
        <w:t xml:space="preserve"> of</w:t>
      </w:r>
      <w:r w:rsidR="004A367C" w:rsidRPr="004A367C">
        <w:t xml:space="preserve"> two or three year</w:t>
      </w:r>
      <w:r w:rsidR="007B5AC6">
        <w:t>s</w:t>
      </w:r>
      <w:r w:rsidR="00050E9C">
        <w:t>, which</w:t>
      </w:r>
      <w:r w:rsidR="004A367C" w:rsidRPr="004A367C">
        <w:t xml:space="preserve"> provides </w:t>
      </w:r>
      <w:r w:rsidR="007B5AC6">
        <w:t>it</w:t>
      </w:r>
      <w:r w:rsidR="004A367C" w:rsidRPr="004A367C">
        <w:t xml:space="preserve"> with additional time to reduce </w:t>
      </w:r>
      <w:r w:rsidR="007B5AC6">
        <w:t>its</w:t>
      </w:r>
      <w:r w:rsidR="004A367C" w:rsidRPr="004A367C">
        <w:t xml:space="preserve"> average net emissions </w:t>
      </w:r>
      <w:r w:rsidR="00A6022A" w:rsidDel="004A367C">
        <w:t xml:space="preserve">in </w:t>
      </w:r>
      <w:r w:rsidR="007B5AC6">
        <w:t>line with its</w:t>
      </w:r>
      <w:r w:rsidR="00A6022A" w:rsidDel="004A367C">
        <w:t xml:space="preserve"> baseline</w:t>
      </w:r>
    </w:p>
    <w:p w14:paraId="37428B27" w14:textId="57E88060" w:rsidR="00A6022A" w:rsidRDefault="00D27B14" w:rsidP="00246502">
      <w:pPr>
        <w:pStyle w:val="ListBullet"/>
      </w:pPr>
      <w:r>
        <w:t>s</w:t>
      </w:r>
      <w:r w:rsidR="00A6022A">
        <w:t>urrendering Australian Carbon Credit Units</w:t>
      </w:r>
      <w:r w:rsidRPr="00425ACC">
        <w:t>—</w:t>
      </w:r>
      <w:r>
        <w:t>a</w:t>
      </w:r>
      <w:r w:rsidR="00A6022A">
        <w:t xml:space="preserve"> facility may </w:t>
      </w:r>
      <w:r w:rsidR="00D4478E">
        <w:t xml:space="preserve">surrender </w:t>
      </w:r>
      <w:r w:rsidR="00F911DD">
        <w:t>Australian Carbon Credit Units</w:t>
      </w:r>
      <w:r w:rsidR="00A6022A">
        <w:t xml:space="preserve"> </w:t>
      </w:r>
      <w:r w:rsidR="00D4478E">
        <w:t xml:space="preserve">purchased </w:t>
      </w:r>
      <w:r w:rsidR="00A6022A">
        <w:t xml:space="preserve">on the secondary market </w:t>
      </w:r>
      <w:r w:rsidR="006F39FE">
        <w:t xml:space="preserve">or created itself </w:t>
      </w:r>
      <w:r w:rsidR="00A6022A">
        <w:t xml:space="preserve">to reduce </w:t>
      </w:r>
      <w:r w:rsidR="00D44F2B">
        <w:t>its</w:t>
      </w:r>
      <w:r w:rsidR="00A6022A">
        <w:t xml:space="preserve"> net emissions</w:t>
      </w:r>
    </w:p>
    <w:p w14:paraId="0EE12339" w14:textId="77777777" w:rsidR="00CC77AC" w:rsidRDefault="00D27B14" w:rsidP="007078D2">
      <w:pPr>
        <w:pStyle w:val="ListBullet"/>
      </w:pPr>
      <w:r>
        <w:t>a</w:t>
      </w:r>
      <w:r w:rsidR="00CC77AC">
        <w:t>pplying for an exceptional circumstance exemption</w:t>
      </w:r>
      <w:r w:rsidRPr="00425ACC">
        <w:t>—</w:t>
      </w:r>
      <w:r>
        <w:t>a</w:t>
      </w:r>
      <w:r w:rsidR="00CC77AC">
        <w:t>n exemption to safeguard obligations may be granted in exceptional circumstances where excess emissions are a direct result of a natural disaster or criminal activity.</w:t>
      </w:r>
    </w:p>
    <w:p w14:paraId="6E110331" w14:textId="77777777" w:rsidR="00A6022A" w:rsidRDefault="00A6022A" w:rsidP="00A6022A">
      <w:pPr>
        <w:pStyle w:val="CCABodytext"/>
      </w:pPr>
      <w:r>
        <w:rPr>
          <w:rFonts w:asciiTheme="minorHAnsi" w:hAnsiTheme="minorHAnsi" w:cstheme="minorHAnsi"/>
        </w:rPr>
        <w:t>In 2016</w:t>
      </w:r>
      <w:r w:rsidR="00927F6F">
        <w:rPr>
          <w:rFonts w:asciiTheme="minorHAnsi" w:hAnsiTheme="minorHAnsi" w:cstheme="minorHAnsi"/>
        </w:rPr>
        <w:t>–</w:t>
      </w:r>
      <w:r>
        <w:rPr>
          <w:rFonts w:asciiTheme="minorHAnsi" w:hAnsiTheme="minorHAnsi" w:cstheme="minorHAnsi"/>
        </w:rPr>
        <w:t>17, all facilities had net emissions at or below their baseline</w:t>
      </w:r>
      <w:r w:rsidR="00A922BD">
        <w:rPr>
          <w:rFonts w:asciiTheme="minorHAnsi" w:hAnsiTheme="minorHAnsi" w:cstheme="minorHAnsi"/>
        </w:rPr>
        <w:t xml:space="preserve"> by the end of February</w:t>
      </w:r>
      <w:r>
        <w:rPr>
          <w:rFonts w:asciiTheme="minorHAnsi" w:hAnsiTheme="minorHAnsi" w:cstheme="minorHAnsi"/>
        </w:rPr>
        <w:t>. To achieve this result, 16 facilities surrendered Australian Carbon Credit Units</w:t>
      </w:r>
      <w:r w:rsidR="006825BE">
        <w:rPr>
          <w:rFonts w:asciiTheme="minorHAnsi" w:hAnsiTheme="minorHAnsi" w:cstheme="minorHAnsi"/>
        </w:rPr>
        <w:t xml:space="preserve"> (CER 2</w:t>
      </w:r>
      <w:r w:rsidR="009D0EB8">
        <w:rPr>
          <w:rFonts w:asciiTheme="minorHAnsi" w:hAnsiTheme="minorHAnsi" w:cstheme="minorHAnsi"/>
        </w:rPr>
        <w:t>01</w:t>
      </w:r>
      <w:r w:rsidR="006825BE">
        <w:rPr>
          <w:rFonts w:asciiTheme="minorHAnsi" w:hAnsiTheme="minorHAnsi" w:cstheme="minorHAnsi"/>
        </w:rPr>
        <w:t>8</w:t>
      </w:r>
      <w:r w:rsidR="00D776E8">
        <w:rPr>
          <w:rFonts w:asciiTheme="minorHAnsi" w:hAnsiTheme="minorHAnsi" w:cstheme="minorHAnsi"/>
        </w:rPr>
        <w:t>j</w:t>
      </w:r>
      <w:r w:rsidR="006825BE">
        <w:rPr>
          <w:rFonts w:asciiTheme="minorHAnsi" w:hAnsiTheme="minorHAnsi" w:cstheme="minorHAnsi"/>
        </w:rPr>
        <w:t>)</w:t>
      </w:r>
      <w:r>
        <w:rPr>
          <w:rFonts w:asciiTheme="minorHAnsi" w:hAnsiTheme="minorHAnsi" w:cstheme="minorHAnsi"/>
        </w:rPr>
        <w:t>.</w:t>
      </w:r>
    </w:p>
    <w:p w14:paraId="1DB46591" w14:textId="77777777" w:rsidR="00250177" w:rsidRPr="000D5CD5" w:rsidRDefault="00A41850" w:rsidP="00C813C5">
      <w:pPr>
        <w:pStyle w:val="CCAHeading3"/>
      </w:pPr>
      <w:r>
        <w:t>P</w:t>
      </w:r>
      <w:r w:rsidR="00250177">
        <w:t>roposed amendments</w:t>
      </w:r>
      <w:r w:rsidR="00D372EE">
        <w:t xml:space="preserve"> to the safeguard mechanism</w:t>
      </w:r>
    </w:p>
    <w:p w14:paraId="2CA91B68" w14:textId="77777777" w:rsidR="00074EE4" w:rsidRPr="006F39FE" w:rsidRDefault="00074EE4" w:rsidP="006F39FE">
      <w:pPr>
        <w:pStyle w:val="CCABodytext"/>
      </w:pPr>
      <w:r w:rsidRPr="006F39FE">
        <w:t>In response to concerns raised by stakeholders during its 2017 review of climate change policies, the Government committed to consult on changes to the safeguard. The aim is to make it fairer and simpler and bring safeguard baselines up</w:t>
      </w:r>
      <w:r w:rsidR="00096E71">
        <w:t xml:space="preserve"> </w:t>
      </w:r>
      <w:r w:rsidRPr="006F39FE">
        <w:t>to</w:t>
      </w:r>
      <w:r w:rsidR="00096E71">
        <w:t xml:space="preserve"> </w:t>
      </w:r>
      <w:r w:rsidRPr="006F39FE">
        <w:t>date with individual circumstances suc</w:t>
      </w:r>
      <w:r w:rsidR="00A95262" w:rsidRPr="006F39FE">
        <w:t xml:space="preserve">h as changes in production </w:t>
      </w:r>
      <w:r w:rsidR="009D0EB8">
        <w:t>(Commonwealth of Australia</w:t>
      </w:r>
      <w:r w:rsidR="00A6022A" w:rsidRPr="006F39FE">
        <w:t xml:space="preserve"> </w:t>
      </w:r>
      <w:r w:rsidRPr="006F39FE">
        <w:t>2</w:t>
      </w:r>
      <w:r w:rsidR="009D0EB8">
        <w:t>0</w:t>
      </w:r>
      <w:r w:rsidRPr="006F39FE">
        <w:t>1</w:t>
      </w:r>
      <w:r w:rsidR="009D0EB8">
        <w:t>7b</w:t>
      </w:r>
      <w:r w:rsidR="00231284">
        <w:t>)</w:t>
      </w:r>
      <w:r w:rsidRPr="006F39FE">
        <w:t xml:space="preserve">. </w:t>
      </w:r>
      <w:r w:rsidR="006F39FE" w:rsidRPr="006F39FE">
        <w:t>At the time of this review, the proposed amendments had not yet been legislated.</w:t>
      </w:r>
    </w:p>
    <w:p w14:paraId="6E8D334E" w14:textId="77777777" w:rsidR="00074EE4" w:rsidRPr="00E0204F" w:rsidRDefault="00074EE4" w:rsidP="00074EE4">
      <w:pPr>
        <w:pStyle w:val="CCABodytext"/>
      </w:pPr>
      <w:r w:rsidRPr="00E0204F">
        <w:t>The</w:t>
      </w:r>
      <w:r w:rsidR="00324AFA">
        <w:t>re are three</w:t>
      </w:r>
      <w:r w:rsidRPr="00E0204F">
        <w:t xml:space="preserve"> key changes proposed</w:t>
      </w:r>
      <w:r w:rsidR="00324AFA">
        <w:t>:</w:t>
      </w:r>
    </w:p>
    <w:p w14:paraId="39F61EF6" w14:textId="2CA77D61" w:rsidR="00A41D12" w:rsidRPr="00324AFA" w:rsidRDefault="00324AFA" w:rsidP="00177AD5">
      <w:pPr>
        <w:pStyle w:val="ListBullet"/>
      </w:pPr>
      <w:r w:rsidRPr="00177AD5">
        <w:t>M</w:t>
      </w:r>
      <w:r w:rsidR="00074EE4" w:rsidRPr="00324AFA">
        <w:t>ov</w:t>
      </w:r>
      <w:r w:rsidR="00167837">
        <w:t>e</w:t>
      </w:r>
      <w:r w:rsidR="00074EE4" w:rsidRPr="00324AFA">
        <w:t xml:space="preserve"> </w:t>
      </w:r>
      <w:r w:rsidR="00A57BF2">
        <w:t>faciliti</w:t>
      </w:r>
      <w:r w:rsidR="00A57BF2" w:rsidRPr="00324AFA">
        <w:t>es</w:t>
      </w:r>
      <w:r w:rsidR="00074EE4" w:rsidRPr="00324AFA">
        <w:t xml:space="preserve"> </w:t>
      </w:r>
      <w:r w:rsidR="00D4478E" w:rsidRPr="00324AFA">
        <w:t>from reported (historical) baselines</w:t>
      </w:r>
      <w:r w:rsidR="00074EE4" w:rsidRPr="00324AFA">
        <w:t xml:space="preserve"> to calculated baselines</w:t>
      </w:r>
      <w:r w:rsidR="009F5F8D" w:rsidRPr="00324AFA">
        <w:t>.</w:t>
      </w:r>
      <w:r w:rsidR="00050E9C" w:rsidRPr="00324AFA">
        <w:t xml:space="preserve"> </w:t>
      </w:r>
      <w:r w:rsidR="00074EE4" w:rsidRPr="00324AFA">
        <w:t xml:space="preserve">This would ensure baselines are set consistently across </w:t>
      </w:r>
      <w:r w:rsidR="00D4478E" w:rsidRPr="00324AFA">
        <w:t>facilities</w:t>
      </w:r>
      <w:r w:rsidR="00167837">
        <w:t>.</w:t>
      </w:r>
    </w:p>
    <w:p w14:paraId="320EA54D" w14:textId="77777777" w:rsidR="00A41D12" w:rsidRDefault="00324AFA" w:rsidP="00A41D12">
      <w:pPr>
        <w:pStyle w:val="ListBullet"/>
      </w:pPr>
      <w:r>
        <w:t>A</w:t>
      </w:r>
      <w:r w:rsidR="00074EE4" w:rsidRPr="001939BE">
        <w:t>llow baselines to be updated annually based on changes in production</w:t>
      </w:r>
      <w:r w:rsidR="00A41850">
        <w:t xml:space="preserve"> to prevent baselines becoming out of date</w:t>
      </w:r>
      <w:r w:rsidR="009F5F8D">
        <w:t>.</w:t>
      </w:r>
      <w:r w:rsidR="00050E9C">
        <w:t xml:space="preserve"> </w:t>
      </w:r>
      <w:r w:rsidR="00074EE4" w:rsidRPr="001939BE">
        <w:t>The Government will publish two types of production variables:</w:t>
      </w:r>
      <w:r w:rsidR="00A41D12">
        <w:t xml:space="preserve"> </w:t>
      </w:r>
    </w:p>
    <w:p w14:paraId="76E83DF5" w14:textId="77777777" w:rsidR="00A41D12" w:rsidRDefault="00A41D12" w:rsidP="002D07B8">
      <w:pPr>
        <w:pStyle w:val="ListBullet"/>
        <w:numPr>
          <w:ilvl w:val="1"/>
          <w:numId w:val="44"/>
        </w:numPr>
        <w:ind w:right="175"/>
      </w:pPr>
      <w:r>
        <w:t>f</w:t>
      </w:r>
      <w:r w:rsidR="00074EE4" w:rsidRPr="001939BE">
        <w:t>ixed production variables</w:t>
      </w:r>
      <w:r w:rsidR="00050E9C">
        <w:t>—</w:t>
      </w:r>
      <w:r w:rsidR="00074EE4" w:rsidRPr="001939BE">
        <w:t>baselines that use these will be updated once for production</w:t>
      </w:r>
    </w:p>
    <w:p w14:paraId="469DC8AE" w14:textId="77777777" w:rsidR="00074EE4" w:rsidRPr="001939BE" w:rsidRDefault="00A41D12" w:rsidP="002D07B8">
      <w:pPr>
        <w:pStyle w:val="ListBullet"/>
        <w:numPr>
          <w:ilvl w:val="1"/>
          <w:numId w:val="44"/>
        </w:numPr>
        <w:ind w:right="175"/>
      </w:pPr>
      <w:r>
        <w:t>a</w:t>
      </w:r>
      <w:r w:rsidR="00074EE4" w:rsidRPr="001939BE">
        <w:t>nnually</w:t>
      </w:r>
      <w:r w:rsidR="002053BB">
        <w:t xml:space="preserve"> </w:t>
      </w:r>
      <w:r w:rsidR="00074EE4" w:rsidRPr="001939BE">
        <w:t>adjusted production variables</w:t>
      </w:r>
      <w:r w:rsidR="00050E9C">
        <w:t>—</w:t>
      </w:r>
      <w:r w:rsidR="00074EE4" w:rsidRPr="001939BE">
        <w:t>baselines that use these will be updated annually for production</w:t>
      </w:r>
      <w:r w:rsidR="00167837">
        <w:t>.</w:t>
      </w:r>
    </w:p>
    <w:p w14:paraId="2E288B9C" w14:textId="77777777" w:rsidR="00074EE4" w:rsidRPr="001939BE" w:rsidRDefault="00324AFA" w:rsidP="002D07B8">
      <w:pPr>
        <w:pStyle w:val="ListBullet"/>
      </w:pPr>
      <w:r>
        <w:t>A</w:t>
      </w:r>
      <w:r w:rsidR="00E666E4">
        <w:t xml:space="preserve">llow </w:t>
      </w:r>
      <w:r w:rsidR="0053647C">
        <w:t>facilities</w:t>
      </w:r>
      <w:r w:rsidR="00E666E4">
        <w:t xml:space="preserve"> to use </w:t>
      </w:r>
      <w:r w:rsidR="00504995">
        <w:t>G</w:t>
      </w:r>
      <w:r w:rsidR="00E666E4">
        <w:t>overnment</w:t>
      </w:r>
      <w:r w:rsidR="0030158A">
        <w:t>-</w:t>
      </w:r>
      <w:r w:rsidR="00074EE4" w:rsidRPr="001939BE">
        <w:t>determined production variables and associated default emissions intensities</w:t>
      </w:r>
      <w:r w:rsidR="00074EE4">
        <w:t xml:space="preserve"> (or site-specific values</w:t>
      </w:r>
      <w:r w:rsidR="00D4478E">
        <w:t>, per the current approach</w:t>
      </w:r>
      <w:r w:rsidR="00074EE4">
        <w:t>)</w:t>
      </w:r>
      <w:r w:rsidR="00D4478E">
        <w:t xml:space="preserve"> for their calculated baseline application</w:t>
      </w:r>
      <w:r w:rsidR="009F5F8D">
        <w:t>.</w:t>
      </w:r>
      <w:r w:rsidR="00074EE4">
        <w:rPr>
          <w:rStyle w:val="FootnoteReference"/>
          <w:rFonts w:asciiTheme="majorHAnsi" w:hAnsiTheme="majorHAnsi" w:cstheme="majorHAnsi"/>
          <w:bCs/>
          <w:sz w:val="22"/>
        </w:rPr>
        <w:footnoteReference w:id="9"/>
      </w:r>
      <w:r w:rsidR="00074EE4" w:rsidRPr="001939BE">
        <w:t xml:space="preserve"> </w:t>
      </w:r>
      <w:r w:rsidR="009F5F8D">
        <w:t>For example,</w:t>
      </w:r>
      <w:r w:rsidR="00074EE4" w:rsidRPr="001939BE">
        <w:t xml:space="preserve"> baseline</w:t>
      </w:r>
      <w:r w:rsidR="009F5F8D">
        <w:t>s</w:t>
      </w:r>
      <w:r w:rsidR="00074EE4" w:rsidRPr="001939BE">
        <w:t xml:space="preserve"> could be calculated using </w:t>
      </w:r>
      <w:r w:rsidR="006F39FE">
        <w:t xml:space="preserve">the </w:t>
      </w:r>
      <w:r w:rsidR="00074EE4" w:rsidRPr="001939BE">
        <w:t xml:space="preserve">high point of forecast production of a </w:t>
      </w:r>
      <w:r w:rsidR="00504995">
        <w:t>G</w:t>
      </w:r>
      <w:r w:rsidR="00074EE4" w:rsidRPr="001939BE">
        <w:t>overnment</w:t>
      </w:r>
      <w:r w:rsidR="0030158A">
        <w:t>-</w:t>
      </w:r>
      <w:r w:rsidR="00074EE4" w:rsidRPr="001939BE">
        <w:t xml:space="preserve">determined production </w:t>
      </w:r>
      <w:r w:rsidR="00074EE4" w:rsidRPr="001939BE">
        <w:lastRenderedPageBreak/>
        <w:t xml:space="preserve">variable over </w:t>
      </w:r>
      <w:r w:rsidR="006F39FE">
        <w:t xml:space="preserve">the </w:t>
      </w:r>
      <w:r w:rsidR="00074EE4" w:rsidRPr="001939BE">
        <w:t>next three years multiplied by the default emissions intensity of that production variable</w:t>
      </w:r>
      <w:r w:rsidR="009F5F8D">
        <w:t>.</w:t>
      </w:r>
      <w:r w:rsidR="00F5204C">
        <w:t xml:space="preserve"> </w:t>
      </w:r>
      <w:r w:rsidR="00074EE4" w:rsidRPr="001939BE">
        <w:t xml:space="preserve">This </w:t>
      </w:r>
      <w:r w:rsidR="006F39FE">
        <w:t xml:space="preserve">is intended to </w:t>
      </w:r>
      <w:r w:rsidR="00074EE4" w:rsidRPr="001939BE">
        <w:t>reduce the cost of baseline applications</w:t>
      </w:r>
      <w:r w:rsidR="009F5F8D">
        <w:t>.</w:t>
      </w:r>
    </w:p>
    <w:p w14:paraId="6480B5B0" w14:textId="77777777" w:rsidR="00074EE4" w:rsidRPr="00F911DD" w:rsidRDefault="00074EE4" w:rsidP="00074EE4">
      <w:pPr>
        <w:pStyle w:val="CCABodytext"/>
      </w:pPr>
      <w:r w:rsidRPr="00F911DD">
        <w:t>The changes are proposed to take effect fr</w:t>
      </w:r>
      <w:r w:rsidR="00A95262" w:rsidRPr="00F911DD">
        <w:t>om the 2018</w:t>
      </w:r>
      <w:r w:rsidR="00927F6F">
        <w:t>–</w:t>
      </w:r>
      <w:r w:rsidR="00A95262" w:rsidRPr="00F911DD">
        <w:t xml:space="preserve">19 compliance year </w:t>
      </w:r>
      <w:r w:rsidR="009D0EB8">
        <w:t>(DoEE 2018a</w:t>
      </w:r>
      <w:r w:rsidR="00A922BD">
        <w:t xml:space="preserve">, </w:t>
      </w:r>
      <w:r w:rsidR="009D0EB8">
        <w:t>b)</w:t>
      </w:r>
      <w:r w:rsidRPr="00F911DD">
        <w:t xml:space="preserve">. This means they need to be </w:t>
      </w:r>
      <w:r w:rsidR="006F39FE">
        <w:t>legislated</w:t>
      </w:r>
      <w:r w:rsidRPr="00F911DD">
        <w:t xml:space="preserve"> b</w:t>
      </w:r>
      <w:r w:rsidR="00D4478E">
        <w:t>efore</w:t>
      </w:r>
      <w:r w:rsidRPr="00F911DD">
        <w:t xml:space="preserve"> October 2019, as this is the deadline by which </w:t>
      </w:r>
      <w:r w:rsidR="0053647C">
        <w:t>facilit</w:t>
      </w:r>
      <w:r w:rsidR="0053647C" w:rsidRPr="00F911DD">
        <w:t xml:space="preserve">ies </w:t>
      </w:r>
      <w:r w:rsidRPr="00F911DD">
        <w:t xml:space="preserve">must apply for a baseline variation </w:t>
      </w:r>
      <w:r w:rsidR="002D07B8">
        <w:t xml:space="preserve">(for example a calculated baseline) </w:t>
      </w:r>
      <w:r w:rsidRPr="00F911DD">
        <w:t>for 2018</w:t>
      </w:r>
      <w:r w:rsidR="00927F6F">
        <w:t>–</w:t>
      </w:r>
      <w:r w:rsidRPr="00F911DD">
        <w:t>19.</w:t>
      </w:r>
    </w:p>
    <w:p w14:paraId="38C70EDC" w14:textId="77777777" w:rsidR="00074EE4" w:rsidRPr="004A367C" w:rsidRDefault="00CF77D6" w:rsidP="004A367C">
      <w:pPr>
        <w:pStyle w:val="CCABodytext"/>
      </w:pPr>
      <w:r w:rsidRPr="004A367C">
        <w:fldChar w:fldCharType="begin"/>
      </w:r>
      <w:r w:rsidRPr="004A367C">
        <w:instrText xml:space="preserve"> REF _Ref529390645 \r \h </w:instrText>
      </w:r>
      <w:r w:rsidR="004A367C">
        <w:instrText xml:space="preserve"> \* MERGEFORMAT </w:instrText>
      </w:r>
      <w:r w:rsidRPr="004A367C">
        <w:fldChar w:fldCharType="separate"/>
      </w:r>
      <w:r w:rsidR="009A203A">
        <w:t>Table 3</w:t>
      </w:r>
      <w:r w:rsidRPr="004A367C">
        <w:fldChar w:fldCharType="end"/>
      </w:r>
      <w:r w:rsidR="00074EE4" w:rsidRPr="004A367C">
        <w:t xml:space="preserve"> compares current and proposed safeguard baselines.</w:t>
      </w:r>
    </w:p>
    <w:p w14:paraId="4791D34E" w14:textId="77777777" w:rsidR="00074EE4" w:rsidRPr="00C96950" w:rsidRDefault="00074EE4" w:rsidP="00532BE2">
      <w:pPr>
        <w:pStyle w:val="CCATableheader"/>
      </w:pPr>
      <w:bookmarkStart w:id="345" w:name="_Ref529390645"/>
      <w:bookmarkStart w:id="346" w:name="_Toc531095535"/>
      <w:bookmarkStart w:id="347" w:name="_Toc531099301"/>
      <w:bookmarkStart w:id="348" w:name="_Toc531101710"/>
      <w:bookmarkStart w:id="349" w:name="_Toc531341079"/>
      <w:bookmarkStart w:id="350" w:name="_Toc531764047"/>
      <w:bookmarkStart w:id="351" w:name="_Toc532912068"/>
      <w:bookmarkStart w:id="352" w:name="_Toc532914012"/>
      <w:r w:rsidRPr="00C96950">
        <w:t xml:space="preserve">Comparison between </w:t>
      </w:r>
      <w:r>
        <w:t xml:space="preserve">current </w:t>
      </w:r>
      <w:r w:rsidRPr="00C96950">
        <w:t>and proposed safeguard baselines</w:t>
      </w:r>
      <w:bookmarkEnd w:id="345"/>
      <w:bookmarkEnd w:id="346"/>
      <w:bookmarkEnd w:id="347"/>
      <w:bookmarkEnd w:id="348"/>
      <w:bookmarkEnd w:id="349"/>
      <w:bookmarkEnd w:id="350"/>
      <w:bookmarkEnd w:id="351"/>
      <w:bookmarkEnd w:id="352"/>
    </w:p>
    <w:tbl>
      <w:tblPr>
        <w:tblStyle w:val="ListTable3-Accent21"/>
        <w:tblW w:w="0" w:type="auto"/>
        <w:tblLook w:val="04A0" w:firstRow="1" w:lastRow="0" w:firstColumn="1" w:lastColumn="0" w:noHBand="0" w:noVBand="1"/>
      </w:tblPr>
      <w:tblGrid>
        <w:gridCol w:w="3296"/>
        <w:gridCol w:w="3296"/>
        <w:gridCol w:w="3297"/>
      </w:tblGrid>
      <w:tr w:rsidR="00074EE4" w:rsidRPr="001939BE" w14:paraId="530C4E29" w14:textId="77777777" w:rsidTr="00463F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6" w:type="dxa"/>
          </w:tcPr>
          <w:p w14:paraId="406438D1" w14:textId="77777777" w:rsidR="00074EE4" w:rsidRPr="00177AD5" w:rsidRDefault="00885AA0" w:rsidP="009947F2">
            <w:pPr>
              <w:spacing w:before="120" w:after="120"/>
              <w:rPr>
                <w:sz w:val="20"/>
                <w:szCs w:val="20"/>
              </w:rPr>
            </w:pPr>
            <w:r w:rsidRPr="00177AD5">
              <w:rPr>
                <w:color w:val="FFFFFF" w:themeColor="background1"/>
                <w:sz w:val="20"/>
                <w:szCs w:val="20"/>
              </w:rPr>
              <w:t>Type of baseline</w:t>
            </w:r>
          </w:p>
        </w:tc>
        <w:tc>
          <w:tcPr>
            <w:tcW w:w="3296" w:type="dxa"/>
            <w:tcBorders>
              <w:bottom w:val="nil"/>
            </w:tcBorders>
          </w:tcPr>
          <w:p w14:paraId="5FE48FD4" w14:textId="77777777" w:rsidR="00074EE4" w:rsidRPr="00177AD5" w:rsidRDefault="00074EE4" w:rsidP="009947F2">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77AD5">
              <w:rPr>
                <w:color w:val="FFFFFF" w:themeColor="background1"/>
                <w:sz w:val="20"/>
                <w:szCs w:val="20"/>
              </w:rPr>
              <w:t>Current baselines</w:t>
            </w:r>
          </w:p>
        </w:tc>
        <w:tc>
          <w:tcPr>
            <w:tcW w:w="3297" w:type="dxa"/>
            <w:tcBorders>
              <w:bottom w:val="nil"/>
            </w:tcBorders>
          </w:tcPr>
          <w:p w14:paraId="5E6E930D" w14:textId="77777777" w:rsidR="00074EE4" w:rsidRPr="00177AD5" w:rsidRDefault="00074EE4" w:rsidP="009947F2">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77AD5">
              <w:rPr>
                <w:color w:val="FFFFFF" w:themeColor="background1"/>
                <w:sz w:val="20"/>
                <w:szCs w:val="20"/>
              </w:rPr>
              <w:t>Proposed baselines</w:t>
            </w:r>
          </w:p>
        </w:tc>
      </w:tr>
      <w:tr w:rsidR="00074EE4" w:rsidRPr="001939BE" w14:paraId="4113FF41" w14:textId="77777777" w:rsidTr="00463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tcBorders>
              <w:top w:val="nil"/>
              <w:left w:val="nil"/>
              <w:bottom w:val="dotted" w:sz="4" w:space="0" w:color="309CC8" w:themeColor="accent3"/>
            </w:tcBorders>
          </w:tcPr>
          <w:p w14:paraId="1A1F5F14" w14:textId="77777777" w:rsidR="00074EE4" w:rsidRPr="008E70B5" w:rsidRDefault="00074EE4" w:rsidP="009947F2">
            <w:pPr>
              <w:spacing w:before="120" w:after="120"/>
              <w:rPr>
                <w:b w:val="0"/>
                <w:sz w:val="20"/>
                <w:szCs w:val="20"/>
              </w:rPr>
            </w:pPr>
            <w:r w:rsidRPr="008E70B5">
              <w:rPr>
                <w:b w:val="0"/>
                <w:sz w:val="20"/>
                <w:szCs w:val="20"/>
              </w:rPr>
              <w:t>Reported baselines – based on historical emissions</w:t>
            </w:r>
          </w:p>
        </w:tc>
        <w:tc>
          <w:tcPr>
            <w:tcW w:w="3296" w:type="dxa"/>
            <w:tcBorders>
              <w:top w:val="nil"/>
              <w:bottom w:val="dotted" w:sz="4" w:space="0" w:color="309CC8" w:themeColor="accent3"/>
            </w:tcBorders>
          </w:tcPr>
          <w:p w14:paraId="408F301F" w14:textId="77777777" w:rsidR="00074EE4" w:rsidRPr="00177AD5" w:rsidRDefault="00074EE4" w:rsidP="009947F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177AD5">
              <w:rPr>
                <w:sz w:val="20"/>
                <w:szCs w:val="20"/>
              </w:rPr>
              <w:t>Apply until replaced by another baseline</w:t>
            </w:r>
          </w:p>
        </w:tc>
        <w:tc>
          <w:tcPr>
            <w:tcW w:w="3297" w:type="dxa"/>
            <w:tcBorders>
              <w:top w:val="nil"/>
              <w:bottom w:val="dotted" w:sz="4" w:space="0" w:color="309CC8" w:themeColor="accent3"/>
              <w:right w:val="nil"/>
            </w:tcBorders>
          </w:tcPr>
          <w:p w14:paraId="5035F565" w14:textId="77777777" w:rsidR="00074EE4" w:rsidRPr="00177AD5" w:rsidRDefault="00074EE4" w:rsidP="009947F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177AD5">
              <w:rPr>
                <w:sz w:val="20"/>
                <w:szCs w:val="20"/>
              </w:rPr>
              <w:t>Cease to exist from 2020</w:t>
            </w:r>
            <w:r w:rsidR="00927F6F" w:rsidRPr="00177AD5">
              <w:rPr>
                <w:sz w:val="20"/>
                <w:szCs w:val="20"/>
              </w:rPr>
              <w:t>–</w:t>
            </w:r>
            <w:r w:rsidRPr="00177AD5">
              <w:rPr>
                <w:sz w:val="20"/>
                <w:szCs w:val="20"/>
              </w:rPr>
              <w:t>2021</w:t>
            </w:r>
            <w:r w:rsidRPr="00177AD5">
              <w:rPr>
                <w:rStyle w:val="FootnoteReference"/>
                <w:sz w:val="20"/>
                <w:szCs w:val="20"/>
              </w:rPr>
              <w:footnoteReference w:id="10"/>
            </w:r>
          </w:p>
        </w:tc>
      </w:tr>
      <w:tr w:rsidR="00074EE4" w:rsidRPr="001939BE" w14:paraId="1A1B5C38" w14:textId="77777777" w:rsidTr="00463F83">
        <w:tc>
          <w:tcPr>
            <w:cnfStyle w:val="001000000000" w:firstRow="0" w:lastRow="0" w:firstColumn="1" w:lastColumn="0" w:oddVBand="0" w:evenVBand="0" w:oddHBand="0" w:evenHBand="0" w:firstRowFirstColumn="0" w:firstRowLastColumn="0" w:lastRowFirstColumn="0" w:lastRowLastColumn="0"/>
            <w:tcW w:w="3296" w:type="dxa"/>
            <w:vMerge w:val="restart"/>
            <w:tcBorders>
              <w:top w:val="dotted" w:sz="4" w:space="0" w:color="309CC8" w:themeColor="accent3"/>
              <w:left w:val="nil"/>
              <w:bottom w:val="dotted" w:sz="4" w:space="0" w:color="309CC8" w:themeColor="accent3"/>
            </w:tcBorders>
          </w:tcPr>
          <w:p w14:paraId="3734391B" w14:textId="77777777" w:rsidR="00074EE4" w:rsidRPr="008E70B5" w:rsidRDefault="00074EE4" w:rsidP="009947F2">
            <w:pPr>
              <w:spacing w:before="120" w:after="120"/>
              <w:rPr>
                <w:b w:val="0"/>
                <w:sz w:val="20"/>
                <w:szCs w:val="20"/>
              </w:rPr>
            </w:pPr>
            <w:r w:rsidRPr="008E70B5">
              <w:rPr>
                <w:b w:val="0"/>
                <w:sz w:val="20"/>
                <w:szCs w:val="20"/>
              </w:rPr>
              <w:t>Calculated baselines – based on forecast emissions</w:t>
            </w:r>
          </w:p>
        </w:tc>
        <w:tc>
          <w:tcPr>
            <w:tcW w:w="3296" w:type="dxa"/>
            <w:tcBorders>
              <w:top w:val="dotted" w:sz="4" w:space="0" w:color="309CC8" w:themeColor="accent3"/>
              <w:bottom w:val="dotted" w:sz="4" w:space="0" w:color="309CC8" w:themeColor="accent3"/>
            </w:tcBorders>
          </w:tcPr>
          <w:p w14:paraId="697F8823" w14:textId="77777777" w:rsidR="00074EE4" w:rsidRPr="00177AD5" w:rsidRDefault="00074EE4" w:rsidP="009947F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77AD5">
              <w:rPr>
                <w:sz w:val="20"/>
                <w:szCs w:val="20"/>
              </w:rPr>
              <w:t xml:space="preserve">Facilities can apply for a calculated baseline once </w:t>
            </w:r>
            <w:r w:rsidR="004A367C" w:rsidRPr="00177AD5">
              <w:rPr>
                <w:sz w:val="20"/>
                <w:szCs w:val="20"/>
              </w:rPr>
              <w:t>which is</w:t>
            </w:r>
            <w:r w:rsidRPr="00177AD5">
              <w:rPr>
                <w:sz w:val="20"/>
                <w:szCs w:val="20"/>
              </w:rPr>
              <w:t xml:space="preserve"> updated once for production after 3 </w:t>
            </w:r>
            <w:r w:rsidR="00CC77AC" w:rsidRPr="00177AD5">
              <w:rPr>
                <w:sz w:val="20"/>
                <w:szCs w:val="20"/>
              </w:rPr>
              <w:t xml:space="preserve">or 5 </w:t>
            </w:r>
            <w:r w:rsidRPr="00177AD5">
              <w:rPr>
                <w:sz w:val="20"/>
                <w:szCs w:val="20"/>
              </w:rPr>
              <w:t>years</w:t>
            </w:r>
            <w:r w:rsidR="00027190" w:rsidRPr="00177AD5">
              <w:rPr>
                <w:sz w:val="20"/>
                <w:szCs w:val="20"/>
              </w:rPr>
              <w:t xml:space="preserve"> (when they move on to a production-adjusted baseline)</w:t>
            </w:r>
            <w:r w:rsidR="00565BF2" w:rsidRPr="00177AD5">
              <w:rPr>
                <w:rStyle w:val="FootnoteReference"/>
                <w:sz w:val="20"/>
                <w:szCs w:val="20"/>
              </w:rPr>
              <w:footnoteReference w:id="11"/>
            </w:r>
          </w:p>
        </w:tc>
        <w:tc>
          <w:tcPr>
            <w:tcW w:w="3297" w:type="dxa"/>
            <w:tcBorders>
              <w:top w:val="dotted" w:sz="4" w:space="0" w:color="309CC8" w:themeColor="accent3"/>
              <w:bottom w:val="dotted" w:sz="4" w:space="0" w:color="309CC8" w:themeColor="accent3"/>
              <w:right w:val="nil"/>
            </w:tcBorders>
          </w:tcPr>
          <w:p w14:paraId="5C96A3EB" w14:textId="77777777" w:rsidR="00074EE4" w:rsidRPr="00177AD5" w:rsidRDefault="00D4478E" w:rsidP="009947F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77AD5">
              <w:rPr>
                <w:sz w:val="20"/>
                <w:szCs w:val="20"/>
              </w:rPr>
              <w:t>All f</w:t>
            </w:r>
            <w:r w:rsidR="00074EE4" w:rsidRPr="00177AD5">
              <w:rPr>
                <w:sz w:val="20"/>
                <w:szCs w:val="20"/>
              </w:rPr>
              <w:t>acilities</w:t>
            </w:r>
            <w:r w:rsidRPr="00177AD5">
              <w:rPr>
                <w:sz w:val="20"/>
                <w:szCs w:val="20"/>
              </w:rPr>
              <w:t>, including those</w:t>
            </w:r>
            <w:r w:rsidR="00074EE4" w:rsidRPr="00177AD5">
              <w:rPr>
                <w:sz w:val="20"/>
                <w:szCs w:val="20"/>
              </w:rPr>
              <w:t xml:space="preserve"> that already have a calculated baseline will be able to apply for a calculated baseline once but some can be updated annually for production</w:t>
            </w:r>
            <w:r w:rsidR="00CC77AC" w:rsidRPr="00177AD5">
              <w:rPr>
                <w:rStyle w:val="FootnoteReference"/>
                <w:sz w:val="20"/>
                <w:szCs w:val="20"/>
              </w:rPr>
              <w:footnoteReference w:id="12"/>
            </w:r>
          </w:p>
        </w:tc>
      </w:tr>
      <w:tr w:rsidR="00074EE4" w:rsidRPr="001939BE" w14:paraId="06289C62" w14:textId="77777777" w:rsidTr="00463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6" w:type="dxa"/>
            <w:vMerge/>
            <w:tcBorders>
              <w:top w:val="dotted" w:sz="4" w:space="0" w:color="309CC8" w:themeColor="accent3"/>
              <w:left w:val="nil"/>
              <w:bottom w:val="dotted" w:sz="4" w:space="0" w:color="309CC8" w:themeColor="accent3"/>
            </w:tcBorders>
          </w:tcPr>
          <w:p w14:paraId="26AD8EC3" w14:textId="77777777" w:rsidR="00074EE4" w:rsidRPr="008E70B5" w:rsidRDefault="00074EE4" w:rsidP="009947F2">
            <w:pPr>
              <w:spacing w:before="120" w:after="120"/>
              <w:rPr>
                <w:b w:val="0"/>
                <w:sz w:val="20"/>
                <w:szCs w:val="20"/>
              </w:rPr>
            </w:pPr>
          </w:p>
        </w:tc>
        <w:tc>
          <w:tcPr>
            <w:tcW w:w="3296" w:type="dxa"/>
            <w:tcBorders>
              <w:top w:val="dotted" w:sz="4" w:space="0" w:color="309CC8" w:themeColor="accent3"/>
              <w:bottom w:val="dotted" w:sz="4" w:space="0" w:color="309CC8" w:themeColor="accent3"/>
            </w:tcBorders>
          </w:tcPr>
          <w:p w14:paraId="6B4A8E14" w14:textId="77777777" w:rsidR="00074EE4" w:rsidRPr="00177AD5" w:rsidRDefault="00074EE4" w:rsidP="009947F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177AD5">
              <w:rPr>
                <w:sz w:val="20"/>
                <w:szCs w:val="20"/>
              </w:rPr>
              <w:t>Based on audited site-specific emissions intensity forecasts</w:t>
            </w:r>
          </w:p>
        </w:tc>
        <w:tc>
          <w:tcPr>
            <w:tcW w:w="3297" w:type="dxa"/>
            <w:tcBorders>
              <w:top w:val="dotted" w:sz="4" w:space="0" w:color="309CC8" w:themeColor="accent3"/>
              <w:bottom w:val="dotted" w:sz="4" w:space="0" w:color="309CC8" w:themeColor="accent3"/>
              <w:right w:val="nil"/>
            </w:tcBorders>
          </w:tcPr>
          <w:p w14:paraId="26397ACC" w14:textId="77777777" w:rsidR="00074EE4" w:rsidRPr="00177AD5" w:rsidRDefault="00074EE4" w:rsidP="009947F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177AD5">
              <w:rPr>
                <w:sz w:val="20"/>
                <w:szCs w:val="20"/>
              </w:rPr>
              <w:t xml:space="preserve">Can use production variables and associated default emissions intensities determined by </w:t>
            </w:r>
            <w:r w:rsidR="00CC77AC" w:rsidRPr="00177AD5">
              <w:rPr>
                <w:sz w:val="20"/>
                <w:szCs w:val="20"/>
              </w:rPr>
              <w:t xml:space="preserve">the </w:t>
            </w:r>
            <w:r w:rsidRPr="00177AD5">
              <w:rPr>
                <w:sz w:val="20"/>
                <w:szCs w:val="20"/>
              </w:rPr>
              <w:t xml:space="preserve">Government </w:t>
            </w:r>
            <w:r w:rsidR="00885AA0">
              <w:rPr>
                <w:sz w:val="20"/>
                <w:szCs w:val="20"/>
              </w:rPr>
              <w:t>(</w:t>
            </w:r>
            <w:r w:rsidRPr="00177AD5">
              <w:rPr>
                <w:sz w:val="20"/>
                <w:szCs w:val="20"/>
              </w:rPr>
              <w:t>or site-specific values</w:t>
            </w:r>
            <w:r w:rsidR="00CC77AC" w:rsidRPr="00177AD5">
              <w:rPr>
                <w:sz w:val="20"/>
                <w:szCs w:val="20"/>
              </w:rPr>
              <w:t xml:space="preserve"> until 1 July 2020</w:t>
            </w:r>
            <w:r w:rsidR="00885AA0">
              <w:rPr>
                <w:sz w:val="20"/>
                <w:szCs w:val="20"/>
              </w:rPr>
              <w:t>)</w:t>
            </w:r>
            <w:r w:rsidRPr="00177AD5">
              <w:rPr>
                <w:rStyle w:val="FootnoteReference"/>
                <w:sz w:val="20"/>
                <w:szCs w:val="20"/>
              </w:rPr>
              <w:footnoteReference w:id="13"/>
            </w:r>
          </w:p>
        </w:tc>
      </w:tr>
      <w:tr w:rsidR="00074EE4" w:rsidRPr="001939BE" w14:paraId="726B41C6" w14:textId="77777777" w:rsidTr="00463F83">
        <w:tc>
          <w:tcPr>
            <w:cnfStyle w:val="001000000000" w:firstRow="0" w:lastRow="0" w:firstColumn="1" w:lastColumn="0" w:oddVBand="0" w:evenVBand="0" w:oddHBand="0" w:evenHBand="0" w:firstRowFirstColumn="0" w:firstRowLastColumn="0" w:lastRowFirstColumn="0" w:lastRowLastColumn="0"/>
            <w:tcW w:w="3296" w:type="dxa"/>
            <w:tcBorders>
              <w:top w:val="dotted" w:sz="4" w:space="0" w:color="309CC8" w:themeColor="accent3"/>
              <w:left w:val="nil"/>
              <w:bottom w:val="nil"/>
            </w:tcBorders>
          </w:tcPr>
          <w:p w14:paraId="5F041EE3" w14:textId="77777777" w:rsidR="00074EE4" w:rsidRPr="008E70B5" w:rsidRDefault="00074EE4" w:rsidP="009947F2">
            <w:pPr>
              <w:spacing w:before="120" w:after="120"/>
              <w:rPr>
                <w:b w:val="0"/>
                <w:sz w:val="20"/>
                <w:szCs w:val="20"/>
              </w:rPr>
            </w:pPr>
            <w:r w:rsidRPr="008E70B5">
              <w:rPr>
                <w:b w:val="0"/>
                <w:sz w:val="20"/>
                <w:szCs w:val="20"/>
              </w:rPr>
              <w:t>Default baselines – set at the safeguard threshold</w:t>
            </w:r>
          </w:p>
        </w:tc>
        <w:tc>
          <w:tcPr>
            <w:tcW w:w="3296" w:type="dxa"/>
            <w:tcBorders>
              <w:top w:val="dotted" w:sz="4" w:space="0" w:color="309CC8" w:themeColor="accent3"/>
              <w:bottom w:val="nil"/>
            </w:tcBorders>
          </w:tcPr>
          <w:p w14:paraId="3C21C8A6" w14:textId="77777777" w:rsidR="00074EE4" w:rsidRPr="00177AD5" w:rsidRDefault="00074EE4" w:rsidP="009947F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77AD5">
              <w:rPr>
                <w:sz w:val="20"/>
                <w:szCs w:val="20"/>
              </w:rPr>
              <w:t xml:space="preserve">Applies to facilities </w:t>
            </w:r>
            <w:r w:rsidR="00D4478E" w:rsidRPr="00177AD5">
              <w:rPr>
                <w:sz w:val="20"/>
                <w:szCs w:val="20"/>
              </w:rPr>
              <w:t>without another baseline in place</w:t>
            </w:r>
            <w:r w:rsidR="00F5204C" w:rsidRPr="00177AD5">
              <w:rPr>
                <w:sz w:val="20"/>
                <w:szCs w:val="20"/>
              </w:rPr>
              <w:t>;</w:t>
            </w:r>
            <w:r w:rsidR="00D4478E" w:rsidRPr="00177AD5">
              <w:rPr>
                <w:sz w:val="20"/>
                <w:szCs w:val="20"/>
              </w:rPr>
              <w:t xml:space="preserve"> for example, facilities that did not receive a reported baseline and have not applied for a calculated baseline</w:t>
            </w:r>
          </w:p>
        </w:tc>
        <w:tc>
          <w:tcPr>
            <w:tcW w:w="3297" w:type="dxa"/>
            <w:tcBorders>
              <w:top w:val="dotted" w:sz="4" w:space="0" w:color="309CC8" w:themeColor="accent3"/>
              <w:bottom w:val="nil"/>
              <w:right w:val="nil"/>
            </w:tcBorders>
          </w:tcPr>
          <w:p w14:paraId="771B6E81" w14:textId="77777777" w:rsidR="00074EE4" w:rsidRPr="00177AD5" w:rsidRDefault="00074EE4" w:rsidP="009947F2">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177AD5">
              <w:rPr>
                <w:sz w:val="20"/>
                <w:szCs w:val="20"/>
              </w:rPr>
              <w:t xml:space="preserve">Applies to facilities </w:t>
            </w:r>
            <w:r w:rsidR="00D4478E" w:rsidRPr="00177AD5">
              <w:rPr>
                <w:sz w:val="20"/>
                <w:szCs w:val="20"/>
              </w:rPr>
              <w:t>without another baseline in place</w:t>
            </w:r>
            <w:r w:rsidR="00F5204C" w:rsidRPr="00177AD5">
              <w:rPr>
                <w:sz w:val="20"/>
                <w:szCs w:val="20"/>
              </w:rPr>
              <w:t>;</w:t>
            </w:r>
            <w:r w:rsidR="00D4478E" w:rsidRPr="00177AD5">
              <w:rPr>
                <w:sz w:val="20"/>
                <w:szCs w:val="20"/>
              </w:rPr>
              <w:t xml:space="preserve"> for example, facilities with a reported baseline that do</w:t>
            </w:r>
            <w:r w:rsidRPr="00177AD5">
              <w:rPr>
                <w:sz w:val="20"/>
                <w:szCs w:val="20"/>
              </w:rPr>
              <w:t xml:space="preserve"> not apply for </w:t>
            </w:r>
            <w:r w:rsidR="00D4478E" w:rsidRPr="00177AD5">
              <w:rPr>
                <w:sz w:val="20"/>
                <w:szCs w:val="20"/>
              </w:rPr>
              <w:t xml:space="preserve">a </w:t>
            </w:r>
            <w:r w:rsidRPr="00177AD5">
              <w:rPr>
                <w:sz w:val="20"/>
                <w:szCs w:val="20"/>
              </w:rPr>
              <w:t>calculated baseline in time for 2020</w:t>
            </w:r>
            <w:r w:rsidR="00927F6F" w:rsidRPr="00177AD5">
              <w:rPr>
                <w:sz w:val="20"/>
                <w:szCs w:val="20"/>
              </w:rPr>
              <w:t>–</w:t>
            </w:r>
            <w:r w:rsidRPr="00177AD5">
              <w:rPr>
                <w:sz w:val="20"/>
                <w:szCs w:val="20"/>
              </w:rPr>
              <w:t>2021</w:t>
            </w:r>
          </w:p>
        </w:tc>
      </w:tr>
    </w:tbl>
    <w:p w14:paraId="17C72CF6" w14:textId="77777777" w:rsidR="00E73174" w:rsidRPr="00177AD5" w:rsidRDefault="00885AA0" w:rsidP="00177AD5">
      <w:pPr>
        <w:pStyle w:val="CCANotesource"/>
        <w:rPr>
          <w:b/>
        </w:rPr>
      </w:pPr>
      <w:r w:rsidRPr="00177AD5">
        <w:rPr>
          <w:b/>
        </w:rPr>
        <w:t xml:space="preserve">Source: </w:t>
      </w:r>
      <w:r w:rsidR="005E5170" w:rsidRPr="008E70B5">
        <w:t xml:space="preserve">Based on </w:t>
      </w:r>
      <w:r w:rsidR="00E539A2" w:rsidRPr="008E70B5">
        <w:t>DoEE 2018b</w:t>
      </w:r>
    </w:p>
    <w:p w14:paraId="4F149FB9" w14:textId="039F1B6A" w:rsidR="00250177" w:rsidRDefault="00135CB5" w:rsidP="00135CB5">
      <w:pPr>
        <w:pStyle w:val="CCABodytext"/>
      </w:pPr>
      <w:r w:rsidRPr="00135CB5">
        <w:lastRenderedPageBreak/>
        <w:t>The proposed amendments</w:t>
      </w:r>
      <w:r w:rsidR="00F5204C">
        <w:t>,</w:t>
      </w:r>
      <w:r w:rsidRPr="00135CB5">
        <w:t xml:space="preserve"> </w:t>
      </w:r>
      <w:r w:rsidR="00CC77AC">
        <w:t>which allow for annual updates to baselines for production</w:t>
      </w:r>
      <w:r w:rsidR="00F5204C">
        <w:t>,</w:t>
      </w:r>
      <w:r w:rsidR="00CC77AC">
        <w:t xml:space="preserve"> </w:t>
      </w:r>
      <w:r w:rsidRPr="00135CB5">
        <w:t xml:space="preserve">mean calculated baseline applications using the significant expansion criteria and emissions intensity baseline variations are no longer necessary. </w:t>
      </w:r>
      <w:r w:rsidR="004A1D70">
        <w:t>T</w:t>
      </w:r>
      <w:r w:rsidRPr="00135CB5">
        <w:t xml:space="preserve">he amendments </w:t>
      </w:r>
      <w:r w:rsidR="00DD3116">
        <w:t xml:space="preserve">also </w:t>
      </w:r>
      <w:r w:rsidRPr="00135CB5">
        <w:t xml:space="preserve">aim to simplify and improve access to multi-year monitoring periods including by extending the </w:t>
      </w:r>
      <w:r w:rsidR="00834AE6">
        <w:t xml:space="preserve">application </w:t>
      </w:r>
      <w:r w:rsidRPr="00135CB5">
        <w:t xml:space="preserve">deadline </w:t>
      </w:r>
      <w:r w:rsidR="00CC77AC">
        <w:t>for multi-year monitoring periods</w:t>
      </w:r>
      <w:r w:rsidRPr="00135CB5">
        <w:t xml:space="preserve"> to 1 February the following year.</w:t>
      </w:r>
      <w:r>
        <w:t xml:space="preserve"> Applications will need to include an estimate of the number of A</w:t>
      </w:r>
      <w:r w:rsidR="00F911DD">
        <w:t xml:space="preserve">ustralian </w:t>
      </w:r>
      <w:r>
        <w:t>C</w:t>
      </w:r>
      <w:r w:rsidR="00F911DD">
        <w:t xml:space="preserve">arbon </w:t>
      </w:r>
      <w:r>
        <w:t>C</w:t>
      </w:r>
      <w:r w:rsidR="00F911DD">
        <w:t xml:space="preserve">redit </w:t>
      </w:r>
      <w:r>
        <w:t>U</w:t>
      </w:r>
      <w:r w:rsidR="00F911DD">
        <w:t>nit</w:t>
      </w:r>
      <w:r>
        <w:t>s the facility is</w:t>
      </w:r>
      <w:r w:rsidR="002F764E" w:rsidRPr="00135CB5">
        <w:t xml:space="preserve"> li</w:t>
      </w:r>
      <w:r>
        <w:t>kely to need to keep its</w:t>
      </w:r>
      <w:r w:rsidR="002F764E" w:rsidRPr="00135CB5">
        <w:t xml:space="preserve"> emis</w:t>
      </w:r>
      <w:r>
        <w:t xml:space="preserve">sions below its baseline. </w:t>
      </w:r>
      <w:r w:rsidR="00A41850">
        <w:t>Under the proposed amendments, t</w:t>
      </w:r>
      <w:r>
        <w:t xml:space="preserve">he </w:t>
      </w:r>
      <w:r w:rsidR="002F764E" w:rsidRPr="00135CB5">
        <w:t>Regulator</w:t>
      </w:r>
      <w:r>
        <w:t xml:space="preserve"> will be required</w:t>
      </w:r>
      <w:r w:rsidR="002F764E" w:rsidRPr="00135CB5">
        <w:t xml:space="preserve"> to publish information about the future demand for A</w:t>
      </w:r>
      <w:r w:rsidR="00F911DD">
        <w:t xml:space="preserve">ustralian </w:t>
      </w:r>
      <w:r w:rsidR="002F764E" w:rsidRPr="00135CB5">
        <w:t>C</w:t>
      </w:r>
      <w:r w:rsidR="00F911DD">
        <w:t xml:space="preserve">arbon </w:t>
      </w:r>
      <w:r w:rsidR="002F764E" w:rsidRPr="00135CB5">
        <w:t>C</w:t>
      </w:r>
      <w:r w:rsidR="00F911DD">
        <w:t xml:space="preserve">redit </w:t>
      </w:r>
      <w:r w:rsidR="002F764E" w:rsidRPr="00135CB5">
        <w:t>U</w:t>
      </w:r>
      <w:r w:rsidR="00F911DD">
        <w:t>nit</w:t>
      </w:r>
      <w:r w:rsidR="002F764E" w:rsidRPr="00135CB5">
        <w:t>s</w:t>
      </w:r>
      <w:r w:rsidR="00CC77AC">
        <w:t xml:space="preserve"> coming from safeguard facilities</w:t>
      </w:r>
      <w:r w:rsidR="002F764E" w:rsidRPr="00135CB5">
        <w:t xml:space="preserve">. </w:t>
      </w:r>
    </w:p>
    <w:p w14:paraId="65406B8C" w14:textId="2254A839" w:rsidR="000606CB" w:rsidRPr="00E666E4" w:rsidRDefault="00D56B70" w:rsidP="00E666E4">
      <w:pPr>
        <w:pStyle w:val="CCABodytext"/>
      </w:pPr>
      <w:r w:rsidRPr="00E666E4">
        <w:t xml:space="preserve">From 1 July 2020, new facilities will </w:t>
      </w:r>
      <w:r w:rsidR="00E071A9">
        <w:t>still</w:t>
      </w:r>
      <w:r w:rsidRPr="00E666E4">
        <w:t xml:space="preserve"> be required to apply for benchmark baselines. </w:t>
      </w:r>
      <w:r>
        <w:t xml:space="preserve">However, facilities that undergo a significant expansion will only be required to apply for benchmark baselines if they use site-specific or </w:t>
      </w:r>
      <w:r w:rsidR="00504995">
        <w:t>G</w:t>
      </w:r>
      <w:r>
        <w:t>overnment-determined fixed production variables and</w:t>
      </w:r>
      <w:r w:rsidR="00E666E4">
        <w:t xml:space="preserve"> </w:t>
      </w:r>
      <w:r w:rsidR="00AF2E00">
        <w:t>not if they</w:t>
      </w:r>
      <w:r w:rsidR="00E666E4">
        <w:t xml:space="preserve"> use the </w:t>
      </w:r>
      <w:r w:rsidR="00504995">
        <w:t>G</w:t>
      </w:r>
      <w:r w:rsidR="00E666E4">
        <w:t>overnment</w:t>
      </w:r>
      <w:r w:rsidR="00926447">
        <w:noBreakHyphen/>
      </w:r>
      <w:r w:rsidR="00E666E4">
        <w:t>determined</w:t>
      </w:r>
      <w:r w:rsidR="000606CB" w:rsidRPr="00E666E4">
        <w:t xml:space="preserve"> annually</w:t>
      </w:r>
      <w:r w:rsidR="002053BB">
        <w:t xml:space="preserve"> </w:t>
      </w:r>
      <w:r w:rsidR="000606CB" w:rsidRPr="00E666E4">
        <w:t xml:space="preserve">adjusted production variables. This is because annual updates for production would account for a significant expansion. The Government’s consultation paper on the proposed amendments states </w:t>
      </w:r>
      <w:r w:rsidR="00E071A9">
        <w:t xml:space="preserve">that </w:t>
      </w:r>
      <w:r w:rsidR="000606CB" w:rsidRPr="00E666E4">
        <w:t>benchmark emissions intensities will be considered after the baseline setting approach for existing facilities has been settled</w:t>
      </w:r>
      <w:r w:rsidR="001E361A">
        <w:t xml:space="preserve"> (DoEE </w:t>
      </w:r>
      <w:r w:rsidR="009D0EB8">
        <w:t>201</w:t>
      </w:r>
      <w:r w:rsidR="001E361A">
        <w:t>8</w:t>
      </w:r>
      <w:r w:rsidR="009D0EB8">
        <w:t>a</w:t>
      </w:r>
      <w:r w:rsidR="001E361A">
        <w:t>)</w:t>
      </w:r>
      <w:r w:rsidR="000606CB" w:rsidRPr="00E666E4">
        <w:t>.</w:t>
      </w:r>
    </w:p>
    <w:p w14:paraId="736AD6E9" w14:textId="77777777" w:rsidR="000D5CD5" w:rsidRPr="000D5CD5" w:rsidRDefault="000D5CD5" w:rsidP="00C813C5">
      <w:pPr>
        <w:pStyle w:val="CCAHeading2"/>
      </w:pPr>
      <w:bookmarkStart w:id="353" w:name="_Toc529183857"/>
      <w:bookmarkStart w:id="354" w:name="_Toc529187669"/>
      <w:bookmarkStart w:id="355" w:name="_Toc529188095"/>
      <w:bookmarkStart w:id="356" w:name="_Toc529377745"/>
      <w:bookmarkStart w:id="357" w:name="_Toc529389685"/>
      <w:bookmarkStart w:id="358" w:name="_Toc531095560"/>
      <w:bookmarkStart w:id="359" w:name="_Toc531099326"/>
      <w:bookmarkStart w:id="360" w:name="_Toc531101735"/>
      <w:bookmarkStart w:id="361" w:name="_Toc531764003"/>
      <w:bookmarkStart w:id="362" w:name="_Toc532912095"/>
      <w:bookmarkStart w:id="363" w:name="_Toc532914937"/>
      <w:r w:rsidRPr="000D5CD5">
        <w:t>Key dates under the legislation</w:t>
      </w:r>
      <w:bookmarkEnd w:id="341"/>
      <w:bookmarkEnd w:id="342"/>
      <w:bookmarkEnd w:id="343"/>
      <w:bookmarkEnd w:id="344"/>
      <w:bookmarkEnd w:id="353"/>
      <w:bookmarkEnd w:id="354"/>
      <w:bookmarkEnd w:id="355"/>
      <w:bookmarkEnd w:id="356"/>
      <w:bookmarkEnd w:id="357"/>
      <w:bookmarkEnd w:id="358"/>
      <w:bookmarkEnd w:id="359"/>
      <w:bookmarkEnd w:id="360"/>
      <w:bookmarkEnd w:id="361"/>
      <w:bookmarkEnd w:id="362"/>
      <w:bookmarkEnd w:id="363"/>
    </w:p>
    <w:p w14:paraId="64C3AEEA" w14:textId="77777777" w:rsidR="000D5CD5" w:rsidRPr="000D5CD5" w:rsidRDefault="00FB0A1D" w:rsidP="00A301EA">
      <w:pPr>
        <w:pStyle w:val="CCABodytext"/>
        <w:rPr>
          <w:rFonts w:eastAsia="Calibri" w:cs="Times New Roman"/>
          <w:lang w:val="en-GB" w:eastAsia="en-AU"/>
        </w:rPr>
      </w:pPr>
      <w:r>
        <w:fldChar w:fldCharType="begin"/>
      </w:r>
      <w:r>
        <w:instrText xml:space="preserve"> REF _Ref525644803 \r \h </w:instrText>
      </w:r>
      <w:r w:rsidR="00A301EA">
        <w:instrText xml:space="preserve"> \* MERGEFORMAT </w:instrText>
      </w:r>
      <w:r>
        <w:fldChar w:fldCharType="separate"/>
      </w:r>
      <w:r w:rsidR="009A203A">
        <w:t>Figure 7</w:t>
      </w:r>
      <w:r>
        <w:fldChar w:fldCharType="end"/>
      </w:r>
      <w:r w:rsidR="0030098D">
        <w:t xml:space="preserve"> </w:t>
      </w:r>
      <w:r w:rsidR="000D5CD5" w:rsidRPr="000D5CD5">
        <w:rPr>
          <w:rFonts w:eastAsia="Calibri" w:cs="Times New Roman"/>
        </w:rPr>
        <w:t>illustrates key dates for the reporting scheme and the safeguard</w:t>
      </w:r>
      <w:r w:rsidR="000F3613">
        <w:rPr>
          <w:rFonts w:eastAsia="Calibri" w:cs="Times New Roman"/>
        </w:rPr>
        <w:t xml:space="preserve"> mechanism</w:t>
      </w:r>
      <w:r w:rsidR="000D5CD5" w:rsidRPr="000D5CD5">
        <w:rPr>
          <w:rFonts w:eastAsia="Calibri" w:cs="Times New Roman"/>
        </w:rPr>
        <w:t>.</w:t>
      </w:r>
    </w:p>
    <w:p w14:paraId="421A3407" w14:textId="77777777" w:rsidR="000D5CD5" w:rsidRPr="000D5CD5" w:rsidRDefault="000D5CD5" w:rsidP="00532BE2">
      <w:pPr>
        <w:pStyle w:val="CCAFigureHeader"/>
      </w:pPr>
      <w:bookmarkStart w:id="364" w:name="_Ref525633535"/>
      <w:bookmarkStart w:id="365" w:name="_Ref525644803"/>
      <w:bookmarkStart w:id="366" w:name="_Toc531099293"/>
      <w:bookmarkStart w:id="367" w:name="_Toc531101702"/>
      <w:bookmarkStart w:id="368" w:name="_Toc531764135"/>
      <w:bookmarkStart w:id="369" w:name="_Toc532912060"/>
      <w:bookmarkStart w:id="370" w:name="_Toc532914029"/>
      <w:bookmarkStart w:id="371" w:name="_Toc531095527"/>
      <w:bookmarkEnd w:id="364"/>
      <w:r w:rsidRPr="000D5CD5">
        <w:t>Timeline for the reporting scheme and the safeguard</w:t>
      </w:r>
      <w:bookmarkEnd w:id="365"/>
      <w:bookmarkEnd w:id="366"/>
      <w:bookmarkEnd w:id="367"/>
      <w:bookmarkEnd w:id="368"/>
      <w:bookmarkEnd w:id="369"/>
      <w:bookmarkEnd w:id="370"/>
    </w:p>
    <w:bookmarkEnd w:id="371"/>
    <w:p w14:paraId="024AD567" w14:textId="77777777" w:rsidR="00BD0772" w:rsidRPr="00E0204F" w:rsidRDefault="00BD0772" w:rsidP="00772087">
      <w:pPr>
        <w:pStyle w:val="CCAFigure"/>
      </w:pPr>
      <w:r>
        <w:drawing>
          <wp:inline distT="0" distB="0" distL="0" distR="0" wp14:anchorId="1C987057" wp14:editId="4ACA1D9B">
            <wp:extent cx="6186805" cy="3265805"/>
            <wp:effectExtent l="0" t="0" r="4445" b="0"/>
            <wp:docPr id="46" name="Picture 46" descr="Figure 7 is a schematic, which shows the timeline for the reporting scheme and the safeguard. By 31st August, companies are required to register for the reporting scheme for the previous financial year if the reporting threshold is exceeded for the first time. For 2016-17, the Regulator sets reported baselines by 1st September. By 31st October, companies are required to report for the previous financial year. This is also the deadline for applications for calculated baselines and flexible compliance measures under the safeguard for the previous financial year. 28th February is the deadline to surrender Australian Carbon Credit Units to meet baselines and avoid an excess emissions situation for the previous financial year. It is also the date by which the Regulator is required to publish company level data for the previous financial year." title="Timeline for the reporting scheme and the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6805" cy="3265805"/>
                    </a:xfrm>
                    <a:prstGeom prst="rect">
                      <a:avLst/>
                    </a:prstGeom>
                    <a:noFill/>
                    <a:ln>
                      <a:noFill/>
                    </a:ln>
                  </pic:spPr>
                </pic:pic>
              </a:graphicData>
            </a:graphic>
          </wp:inline>
        </w:drawing>
      </w:r>
    </w:p>
    <w:p w14:paraId="0BE97044" w14:textId="77777777" w:rsidR="00047407" w:rsidRPr="00483962" w:rsidRDefault="00483962" w:rsidP="00772087">
      <w:pPr>
        <w:pStyle w:val="CCANotesource"/>
      </w:pPr>
      <w:r w:rsidRPr="00483962">
        <w:rPr>
          <w:b/>
        </w:rPr>
        <w:lastRenderedPageBreak/>
        <w:t>Note:</w:t>
      </w:r>
      <w:r w:rsidRPr="00483962">
        <w:t xml:space="preserve"> Reporting obligation</w:t>
      </w:r>
      <w:r w:rsidR="004A367C">
        <w:t>s</w:t>
      </w:r>
      <w:r w:rsidRPr="00483962">
        <w:t xml:space="preserve"> are shown in blue and safeguard obligations are in green.</w:t>
      </w:r>
    </w:p>
    <w:p w14:paraId="15849BC0" w14:textId="77777777" w:rsidR="002E5024" w:rsidRPr="000D5CD5" w:rsidRDefault="00876DF6" w:rsidP="00C813C5">
      <w:pPr>
        <w:pStyle w:val="CCAHeading2"/>
      </w:pPr>
      <w:bookmarkStart w:id="372" w:name="_Toc525642974"/>
      <w:bookmarkStart w:id="373" w:name="_Toc525644042"/>
      <w:bookmarkStart w:id="374" w:name="_Toc525661490"/>
      <w:bookmarkStart w:id="375" w:name="_Toc526430698"/>
      <w:bookmarkStart w:id="376" w:name="_Toc528140794"/>
      <w:bookmarkStart w:id="377" w:name="_Toc528143275"/>
      <w:bookmarkStart w:id="378" w:name="_Toc528770223"/>
      <w:bookmarkStart w:id="379" w:name="_Toc529183858"/>
      <w:bookmarkStart w:id="380" w:name="_Toc529187670"/>
      <w:bookmarkStart w:id="381" w:name="_Toc529188096"/>
      <w:bookmarkStart w:id="382" w:name="_Toc529377746"/>
      <w:bookmarkStart w:id="383" w:name="_Toc529389686"/>
      <w:bookmarkStart w:id="384" w:name="_Ref530392099"/>
      <w:bookmarkStart w:id="385" w:name="_Toc531095561"/>
      <w:bookmarkStart w:id="386" w:name="_Toc531101736"/>
      <w:bookmarkStart w:id="387" w:name="_Toc531764004"/>
      <w:bookmarkStart w:id="388" w:name="_Toc532912096"/>
      <w:bookmarkStart w:id="389" w:name="_Toc532914938"/>
      <w:bookmarkStart w:id="390" w:name="_Toc531099327"/>
      <w:r>
        <w:t>A</w:t>
      </w:r>
      <w:r w:rsidR="002E5024" w:rsidRPr="000D5CD5">
        <w:t xml:space="preserve">dministration </w:t>
      </w:r>
      <w:r>
        <w:t>and compliance</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bookmarkEnd w:id="390"/>
    <w:p w14:paraId="1B57E451" w14:textId="77777777" w:rsidR="00626D55" w:rsidRDefault="000D5CD5" w:rsidP="00A301EA">
      <w:pPr>
        <w:pStyle w:val="CCABodytext"/>
        <w:rPr>
          <w:rFonts w:eastAsia="Calibri" w:cs="Times New Roman"/>
        </w:rPr>
      </w:pPr>
      <w:r w:rsidRPr="000D5CD5">
        <w:t xml:space="preserve">The </w:t>
      </w:r>
      <w:r w:rsidRPr="000D5CD5">
        <w:rPr>
          <w:rFonts w:eastAsia="Calibri" w:cs="Times New Roman"/>
        </w:rPr>
        <w:t>Department of the Environment and Energy and the Clean Energy Regulator both play a role in the governance of the legislation</w:t>
      </w:r>
      <w:r w:rsidRPr="000D5CD5" w:rsidDel="00876DF6">
        <w:rPr>
          <w:rFonts w:eastAsia="Calibri" w:cs="Times New Roman"/>
        </w:rPr>
        <w:t xml:space="preserve">. </w:t>
      </w:r>
      <w:r w:rsidR="00876DF6">
        <w:rPr>
          <w:rFonts w:eastAsia="Calibri" w:cs="Times New Roman"/>
        </w:rPr>
        <w:t xml:space="preserve">The Regulator is the primary agency responsible for compliance. </w:t>
      </w:r>
      <w:r w:rsidR="00D1781C">
        <w:rPr>
          <w:rFonts w:eastAsia="Calibri" w:cs="Times New Roman"/>
        </w:rPr>
        <w:t>It</w:t>
      </w:r>
      <w:r w:rsidR="00D1781C" w:rsidDel="00876DF6">
        <w:rPr>
          <w:rFonts w:eastAsia="Calibri" w:cs="Times New Roman"/>
        </w:rPr>
        <w:t xml:space="preserve"> </w:t>
      </w:r>
      <w:r w:rsidR="000F3613">
        <w:rPr>
          <w:rFonts w:eastAsia="Calibri" w:cs="Times New Roman"/>
        </w:rPr>
        <w:t>maintain</w:t>
      </w:r>
      <w:r w:rsidR="00D1781C">
        <w:rPr>
          <w:rFonts w:eastAsia="Calibri" w:cs="Times New Roman"/>
        </w:rPr>
        <w:t>s</w:t>
      </w:r>
      <w:r w:rsidR="000F3613">
        <w:rPr>
          <w:rFonts w:eastAsia="Calibri" w:cs="Times New Roman"/>
        </w:rPr>
        <w:t xml:space="preserve"> and monitor</w:t>
      </w:r>
      <w:r w:rsidR="00D1781C">
        <w:rPr>
          <w:rFonts w:eastAsia="Calibri" w:cs="Times New Roman"/>
        </w:rPr>
        <w:t>s</w:t>
      </w:r>
      <w:r w:rsidR="000F3613">
        <w:rPr>
          <w:rFonts w:eastAsia="Calibri" w:cs="Times New Roman"/>
        </w:rPr>
        <w:t xml:space="preserve"> enforcement and compliance with the reporting scheme and the safeguard through</w:t>
      </w:r>
      <w:r w:rsidR="00626D55">
        <w:rPr>
          <w:rFonts w:eastAsia="Calibri" w:cs="Times New Roman"/>
        </w:rPr>
        <w:t>:</w:t>
      </w:r>
    </w:p>
    <w:p w14:paraId="15DEBE46" w14:textId="77777777" w:rsidR="00626D55" w:rsidRPr="00772087" w:rsidRDefault="00626D55" w:rsidP="00772087">
      <w:pPr>
        <w:pStyle w:val="ListBullet"/>
        <w:rPr>
          <w:rFonts w:eastAsia="Calibri"/>
        </w:rPr>
      </w:pPr>
      <w:r>
        <w:rPr>
          <w:rFonts w:eastAsia="Calibri"/>
        </w:rPr>
        <w:t>e</w:t>
      </w:r>
      <w:r w:rsidR="000F3613">
        <w:rPr>
          <w:rFonts w:eastAsia="Calibri"/>
        </w:rPr>
        <w:t>ducatio</w:t>
      </w:r>
      <w:r w:rsidR="000F3613" w:rsidRPr="00772087">
        <w:rPr>
          <w:rFonts w:eastAsia="Calibri"/>
        </w:rPr>
        <w:t>n</w:t>
      </w:r>
      <w:r w:rsidRPr="00772087">
        <w:rPr>
          <w:rFonts w:eastAsia="Calibri"/>
        </w:rPr>
        <w:t xml:space="preserve"> activities</w:t>
      </w:r>
    </w:p>
    <w:p w14:paraId="1D364029" w14:textId="77777777" w:rsidR="00626D55" w:rsidRPr="00772087" w:rsidRDefault="00626D55" w:rsidP="00772087">
      <w:pPr>
        <w:pStyle w:val="ListBullet"/>
        <w:rPr>
          <w:rFonts w:eastAsia="Calibri"/>
        </w:rPr>
      </w:pPr>
      <w:r w:rsidRPr="00772087">
        <w:rPr>
          <w:rFonts w:eastAsia="Calibri"/>
        </w:rPr>
        <w:t xml:space="preserve">publishing </w:t>
      </w:r>
      <w:r w:rsidR="000F3613" w:rsidRPr="00772087">
        <w:rPr>
          <w:rFonts w:eastAsia="Calibri"/>
        </w:rPr>
        <w:t>guidance</w:t>
      </w:r>
      <w:r w:rsidRPr="00772087">
        <w:rPr>
          <w:rFonts w:eastAsia="Calibri"/>
        </w:rPr>
        <w:t xml:space="preserve"> material</w:t>
      </w:r>
    </w:p>
    <w:p w14:paraId="454833FB" w14:textId="77777777" w:rsidR="00626D55" w:rsidRPr="00772087" w:rsidRDefault="00626D55" w:rsidP="00772087">
      <w:pPr>
        <w:pStyle w:val="ListBullet"/>
        <w:rPr>
          <w:rFonts w:eastAsia="Calibri"/>
        </w:rPr>
      </w:pPr>
      <w:r w:rsidRPr="00772087">
        <w:rPr>
          <w:rFonts w:eastAsia="Calibri"/>
        </w:rPr>
        <w:t xml:space="preserve">maintaining </w:t>
      </w:r>
      <w:r w:rsidR="001079FC" w:rsidRPr="00772087">
        <w:rPr>
          <w:rFonts w:eastAsia="Calibri"/>
        </w:rPr>
        <w:t xml:space="preserve">and enforcing </w:t>
      </w:r>
      <w:r w:rsidR="000F3613" w:rsidRPr="00772087">
        <w:rPr>
          <w:rFonts w:eastAsia="Calibri"/>
        </w:rPr>
        <w:t>an audit framework</w:t>
      </w:r>
    </w:p>
    <w:p w14:paraId="7DFF0686" w14:textId="77777777" w:rsidR="000F3613" w:rsidRPr="000D5CD5" w:rsidRDefault="00A95262" w:rsidP="00772087">
      <w:pPr>
        <w:pStyle w:val="ListBullet"/>
        <w:rPr>
          <w:rFonts w:eastAsia="Calibri"/>
        </w:rPr>
      </w:pPr>
      <w:r w:rsidRPr="00772087">
        <w:rPr>
          <w:rFonts w:eastAsia="Calibri"/>
        </w:rPr>
        <w:t>undertak</w:t>
      </w:r>
      <w:r>
        <w:rPr>
          <w:rFonts w:eastAsia="Calibri"/>
        </w:rPr>
        <w:t>ing enforcement action</w:t>
      </w:r>
      <w:r w:rsidR="00876DF6">
        <w:t xml:space="preserve"> </w:t>
      </w:r>
      <w:r w:rsidR="00626D55">
        <w:rPr>
          <w:rFonts w:eastAsia="Calibri"/>
        </w:rPr>
        <w:t>as required.</w:t>
      </w:r>
    </w:p>
    <w:p w14:paraId="3BAA3F36" w14:textId="77777777" w:rsidR="00504995" w:rsidRDefault="00576122" w:rsidP="00504995">
      <w:pPr>
        <w:pStyle w:val="CCABodytext"/>
      </w:pPr>
      <w:r w:rsidRPr="00A12DDE">
        <w:t>The Regulator</w:t>
      </w:r>
      <w:r>
        <w:t xml:space="preserve"> takes a tiered approach to compliance for the schemes </w:t>
      </w:r>
      <w:r w:rsidR="00E071A9">
        <w:t>it</w:t>
      </w:r>
      <w:r>
        <w:t xml:space="preserve"> administer</w:t>
      </w:r>
      <w:r w:rsidR="00E071A9">
        <w:t>s</w:t>
      </w:r>
      <w:r w:rsidR="00F5204C">
        <w:t>,</w:t>
      </w:r>
      <w:r>
        <w:t xml:space="preserve"> only using </w:t>
      </w:r>
      <w:r w:rsidRPr="00A12DDE">
        <w:t>enforcement</w:t>
      </w:r>
      <w:r>
        <w:t xml:space="preserve"> powers to address areas of opportunistic or intentional non-compliance. The Regulator’s approach is set out in </w:t>
      </w:r>
      <w:r w:rsidR="0086475F">
        <w:fldChar w:fldCharType="begin"/>
      </w:r>
      <w:r w:rsidR="0086475F">
        <w:instrText xml:space="preserve"> REF _Ref529391388 \r \h </w:instrText>
      </w:r>
      <w:r w:rsidR="0086475F">
        <w:fldChar w:fldCharType="separate"/>
      </w:r>
      <w:r w:rsidR="009A203A">
        <w:t>Figure 8</w:t>
      </w:r>
      <w:r w:rsidR="0086475F">
        <w:fldChar w:fldCharType="end"/>
      </w:r>
      <w:r>
        <w:t xml:space="preserve"> below.</w:t>
      </w:r>
      <w:r w:rsidR="00504995" w:rsidRPr="00504995">
        <w:t xml:space="preserve"> </w:t>
      </w:r>
    </w:p>
    <w:p w14:paraId="0D47D043" w14:textId="77777777" w:rsidR="00576122" w:rsidRDefault="00504995" w:rsidP="00576122">
      <w:pPr>
        <w:pStyle w:val="CCABodytext"/>
      </w:pPr>
      <w:r>
        <w:t>A</w:t>
      </w:r>
      <w:r w:rsidRPr="005173B7">
        <w:t xml:space="preserve"> risk-based approach </w:t>
      </w:r>
      <w:r>
        <w:t>is used to detect</w:t>
      </w:r>
      <w:r w:rsidRPr="005173B7">
        <w:t xml:space="preserve"> non-compliance</w:t>
      </w:r>
      <w:r>
        <w:t>,</w:t>
      </w:r>
      <w:r w:rsidRPr="005173B7">
        <w:t xml:space="preserve"> focusing </w:t>
      </w:r>
      <w:r>
        <w:t xml:space="preserve">on those areas or companies the Regulator </w:t>
      </w:r>
      <w:r w:rsidR="00E071A9">
        <w:t>considers</w:t>
      </w:r>
      <w:r w:rsidRPr="005173B7">
        <w:t xml:space="preserve"> are at greatest risk of material breaches of the legislation. </w:t>
      </w:r>
      <w:r>
        <w:t>T</w:t>
      </w:r>
      <w:r w:rsidRPr="005173B7">
        <w:t>o target potential ar</w:t>
      </w:r>
      <w:r>
        <w:t>eas of non-compliance the Regulator considers</w:t>
      </w:r>
      <w:r w:rsidRPr="005173B7">
        <w:t xml:space="preserve"> the findings of audit</w:t>
      </w:r>
      <w:r>
        <w:t>s</w:t>
      </w:r>
      <w:r w:rsidRPr="005173B7">
        <w:t xml:space="preserve"> </w:t>
      </w:r>
      <w:r>
        <w:t xml:space="preserve">and the results of </w:t>
      </w:r>
      <w:r w:rsidRPr="005173B7">
        <w:t xml:space="preserve">data analytics and other information gathering </w:t>
      </w:r>
      <w:r>
        <w:t>(CER 2018d</w:t>
      </w:r>
      <w:r w:rsidRPr="005173B7">
        <w:t>).</w:t>
      </w:r>
    </w:p>
    <w:p w14:paraId="170D656C" w14:textId="45BFA416" w:rsidR="00576122" w:rsidRDefault="00576122" w:rsidP="00532BE2">
      <w:pPr>
        <w:pStyle w:val="CCAFigureHeader"/>
      </w:pPr>
      <w:bookmarkStart w:id="391" w:name="_Ref529391388"/>
      <w:bookmarkStart w:id="392" w:name="_Toc531095528"/>
      <w:bookmarkStart w:id="393" w:name="_Toc531099294"/>
      <w:bookmarkStart w:id="394" w:name="_Toc531101703"/>
      <w:bookmarkStart w:id="395" w:name="_Toc531764136"/>
      <w:bookmarkStart w:id="396" w:name="_Toc532912061"/>
      <w:bookmarkStart w:id="397" w:name="_Toc532914030"/>
      <w:r>
        <w:lastRenderedPageBreak/>
        <w:t xml:space="preserve">The </w:t>
      </w:r>
      <w:r w:rsidR="00276F19">
        <w:t xml:space="preserve">Clean Energy </w:t>
      </w:r>
      <w:r>
        <w:t xml:space="preserve">Regulator’s </w:t>
      </w:r>
      <w:r w:rsidR="00A95262">
        <w:t>tiered approach to compliance</w:t>
      </w:r>
      <w:bookmarkEnd w:id="391"/>
      <w:bookmarkEnd w:id="392"/>
      <w:bookmarkEnd w:id="393"/>
      <w:bookmarkEnd w:id="394"/>
      <w:bookmarkEnd w:id="395"/>
      <w:bookmarkEnd w:id="396"/>
      <w:bookmarkEnd w:id="397"/>
    </w:p>
    <w:p w14:paraId="77F893DB" w14:textId="77777777" w:rsidR="000E44AA" w:rsidRDefault="00D12EE5" w:rsidP="00DD3116">
      <w:pPr>
        <w:pStyle w:val="CCAFigure"/>
        <w:rPr>
          <w:b/>
        </w:rPr>
      </w:pPr>
      <w:r>
        <w:drawing>
          <wp:inline distT="0" distB="0" distL="0" distR="0" wp14:anchorId="58669BCB" wp14:editId="46DE908F">
            <wp:extent cx="6214852" cy="3838575"/>
            <wp:effectExtent l="0" t="0" r="0" b="0"/>
            <wp:docPr id="43" name="Picture 43" descr="Figure 8 is a schematic, which shows the Regulator’s tiered approach to compliance. The Regulator’s response is tiered and responds to the firm’s behaviours and motivation. Where the firm engages in voluntary compliance (informed self assessment and management is compliance oriented), the Regulator’s response is to help and support (release information and guidelines to assist understanding of participants’ obligations; provide opportunities for complying participants to ask questions, discuss issues of concern and participate in education and discussion forums; use proactive audits to develop a better understanding of capabilities to comply). Where the firm engages in accidental no-compliance (not yet compliant, attempting compliance (e.g. developing internal control systems to ensure compliance)), the Regulator’s response is to educate and provide feedback (provide additional guidance to targeted participants; where an apparent non-compliance is identified, the Regulator will provide relevant parties with an opportunity to respond; provide feedback on adequacy of systems and arrangements to ensure compliance). Where the firm engages in opportunistic non-compliance (resistance to compliance, lack of indication of intention to comply (e.g. no indication of systems in place to ensure compliance)), the Regulator’s response is to correct behaviour (respond to detected non-compliance according to the severity (e.g. accepting enforceable undertakings, giving infringement notices, revocation and suspension); contraventions that have a serious impact will attract more serious action; publication of information about breaches and enforcement activities). Where the firm engages in intentional non-compliance (deliberate non-compliance, criminal intent or fraud, other illegal activity), the Regulator’s response is to enforce the law (where appropriate, the Regulator will initiate investigations, purse civil action, or refer any relevant cases for criminal prosecution). " title="The Regulator’s tiered approach to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32500" cy="3849475"/>
                    </a:xfrm>
                    <a:prstGeom prst="rect">
                      <a:avLst/>
                    </a:prstGeom>
                    <a:noFill/>
                  </pic:spPr>
                </pic:pic>
              </a:graphicData>
            </a:graphic>
          </wp:inline>
        </w:drawing>
      </w:r>
    </w:p>
    <w:p w14:paraId="164D3E89" w14:textId="77777777" w:rsidR="00576122" w:rsidRDefault="00576122" w:rsidP="00FD4372">
      <w:pPr>
        <w:pStyle w:val="CCANotesource"/>
      </w:pPr>
      <w:r w:rsidRPr="00177AD5">
        <w:rPr>
          <w:b/>
        </w:rPr>
        <w:t>Source:</w:t>
      </w:r>
      <w:r>
        <w:t xml:space="preserve"> </w:t>
      </w:r>
      <w:r w:rsidR="00C6288B">
        <w:t xml:space="preserve">Based on </w:t>
      </w:r>
      <w:r w:rsidR="00335660">
        <w:t>CER 2018</w:t>
      </w:r>
      <w:r w:rsidR="009D0EB8">
        <w:t>d</w:t>
      </w:r>
    </w:p>
    <w:p w14:paraId="2C64B88E" w14:textId="77777777" w:rsidR="00876DF6" w:rsidRDefault="00876DF6" w:rsidP="00576122">
      <w:pPr>
        <w:pStyle w:val="CCABodytext"/>
        <w:rPr>
          <w:rFonts w:asciiTheme="minorHAnsi" w:hAnsiTheme="minorHAnsi" w:cstheme="minorHAnsi"/>
        </w:rPr>
      </w:pPr>
      <w:r>
        <w:rPr>
          <w:rFonts w:asciiTheme="minorHAnsi" w:hAnsiTheme="minorHAnsi" w:cstheme="minorHAnsi"/>
        </w:rPr>
        <w:t xml:space="preserve">The audit framework established under the </w:t>
      </w:r>
      <w:r w:rsidRPr="00FB05FE">
        <w:rPr>
          <w:rFonts w:asciiTheme="minorHAnsi" w:hAnsiTheme="minorHAnsi" w:cstheme="minorHAnsi"/>
          <w:i/>
        </w:rPr>
        <w:t>National Greenhouse and Energy Reporting Act 2007</w:t>
      </w:r>
      <w:r>
        <w:rPr>
          <w:rFonts w:asciiTheme="minorHAnsi" w:hAnsiTheme="minorHAnsi" w:cstheme="minorHAnsi"/>
        </w:rPr>
        <w:t xml:space="preserve"> (Cth) applies to the </w:t>
      </w:r>
      <w:r w:rsidRPr="006E3497">
        <w:rPr>
          <w:rFonts w:asciiTheme="minorHAnsi" w:hAnsiTheme="minorHAnsi" w:cstheme="minorHAnsi"/>
        </w:rPr>
        <w:t xml:space="preserve">reporting scheme, </w:t>
      </w:r>
      <w:r w:rsidR="004A367C">
        <w:rPr>
          <w:rFonts w:asciiTheme="minorHAnsi" w:hAnsiTheme="minorHAnsi" w:cstheme="minorHAnsi"/>
        </w:rPr>
        <w:t xml:space="preserve">the </w:t>
      </w:r>
      <w:r w:rsidRPr="006E3497">
        <w:rPr>
          <w:rFonts w:asciiTheme="minorHAnsi" w:hAnsiTheme="minorHAnsi" w:cstheme="minorHAnsi"/>
        </w:rPr>
        <w:t xml:space="preserve">safeguard, the </w:t>
      </w:r>
      <w:r>
        <w:rPr>
          <w:rFonts w:asciiTheme="minorHAnsi" w:hAnsiTheme="minorHAnsi" w:cstheme="minorHAnsi"/>
        </w:rPr>
        <w:t>Emissions Reduction Fund and the Renewable Energy Target</w:t>
      </w:r>
      <w:r w:rsidRPr="006E3497">
        <w:rPr>
          <w:rFonts w:asciiTheme="minorHAnsi" w:hAnsiTheme="minorHAnsi" w:cstheme="minorHAnsi"/>
        </w:rPr>
        <w:t>. It is also used</w:t>
      </w:r>
      <w:r>
        <w:rPr>
          <w:rFonts w:asciiTheme="minorHAnsi" w:hAnsiTheme="minorHAnsi" w:cstheme="minorHAnsi"/>
        </w:rPr>
        <w:t xml:space="preserve"> in </w:t>
      </w:r>
      <w:r w:rsidR="00E071A9">
        <w:rPr>
          <w:rFonts w:asciiTheme="minorHAnsi" w:hAnsiTheme="minorHAnsi" w:cstheme="minorHAnsi"/>
        </w:rPr>
        <w:t>the National Carbon Offset Standard</w:t>
      </w:r>
      <w:r w:rsidRPr="006E3497">
        <w:rPr>
          <w:rFonts w:asciiTheme="minorHAnsi" w:hAnsiTheme="minorHAnsi" w:cstheme="minorHAnsi"/>
        </w:rPr>
        <w:t>.</w:t>
      </w:r>
    </w:p>
    <w:p w14:paraId="2F08EE90" w14:textId="77777777" w:rsidR="002E5024" w:rsidRDefault="00FB05FE" w:rsidP="00A301EA">
      <w:pPr>
        <w:pStyle w:val="CCABodytext"/>
        <w:rPr>
          <w:rFonts w:asciiTheme="minorHAnsi" w:hAnsiTheme="minorHAnsi" w:cstheme="minorHAnsi"/>
        </w:rPr>
      </w:pPr>
      <w:r>
        <w:rPr>
          <w:rFonts w:asciiTheme="minorHAnsi" w:hAnsiTheme="minorHAnsi" w:cstheme="minorHAnsi"/>
        </w:rPr>
        <w:t xml:space="preserve">Audits are not </w:t>
      </w:r>
      <w:r w:rsidR="00D1781C">
        <w:rPr>
          <w:rFonts w:asciiTheme="minorHAnsi" w:hAnsiTheme="minorHAnsi" w:cstheme="minorHAnsi"/>
        </w:rPr>
        <w:t xml:space="preserve">mandated </w:t>
      </w:r>
      <w:r>
        <w:rPr>
          <w:rFonts w:asciiTheme="minorHAnsi" w:hAnsiTheme="minorHAnsi" w:cstheme="minorHAnsi"/>
        </w:rPr>
        <w:t>under the reporting scheme</w:t>
      </w:r>
      <w:r w:rsidR="007A6EA0">
        <w:rPr>
          <w:rFonts w:asciiTheme="minorHAnsi" w:hAnsiTheme="minorHAnsi" w:cstheme="minorHAnsi"/>
        </w:rPr>
        <w:t>;</w:t>
      </w:r>
      <w:r>
        <w:rPr>
          <w:rFonts w:asciiTheme="minorHAnsi" w:hAnsiTheme="minorHAnsi" w:cstheme="minorHAnsi"/>
        </w:rPr>
        <w:t xml:space="preserve"> however, the Regulator actively encourages reporters to conduct voluntary audits. The Regulator may also require reporters to conduct audits, or may conduct audits</w:t>
      </w:r>
      <w:r w:rsidR="00A95262">
        <w:rPr>
          <w:rFonts w:asciiTheme="minorHAnsi" w:hAnsiTheme="minorHAnsi" w:cstheme="minorHAnsi"/>
        </w:rPr>
        <w:t xml:space="preserve"> itself</w:t>
      </w:r>
      <w:r w:rsidR="001079FC">
        <w:rPr>
          <w:rFonts w:asciiTheme="minorHAnsi" w:hAnsiTheme="minorHAnsi" w:cstheme="minorHAnsi"/>
        </w:rPr>
        <w:t xml:space="preserve"> as part of a risk-based approach to compliance</w:t>
      </w:r>
      <w:r>
        <w:rPr>
          <w:rFonts w:asciiTheme="minorHAnsi" w:hAnsiTheme="minorHAnsi" w:cstheme="minorHAnsi"/>
        </w:rPr>
        <w:t>.</w:t>
      </w:r>
    </w:p>
    <w:p w14:paraId="04B4CF07" w14:textId="77777777" w:rsidR="00F17984" w:rsidRDefault="00FB05FE">
      <w:pPr>
        <w:pStyle w:val="CCABodytext"/>
        <w:rPr>
          <w:rFonts w:eastAsia="Calibri" w:cs="Times New Roman"/>
        </w:rPr>
      </w:pPr>
      <w:r>
        <w:rPr>
          <w:rFonts w:asciiTheme="minorHAnsi" w:hAnsiTheme="minorHAnsi" w:cstheme="minorHAnsi"/>
        </w:rPr>
        <w:t xml:space="preserve">Under the safeguard, </w:t>
      </w:r>
      <w:r w:rsidR="00FA1D8E">
        <w:rPr>
          <w:rFonts w:asciiTheme="minorHAnsi" w:hAnsiTheme="minorHAnsi" w:cstheme="minorHAnsi"/>
        </w:rPr>
        <w:t xml:space="preserve">some compliance options </w:t>
      </w:r>
      <w:r w:rsidR="00C664C3">
        <w:rPr>
          <w:rFonts w:asciiTheme="minorHAnsi" w:hAnsiTheme="minorHAnsi" w:cstheme="minorHAnsi"/>
        </w:rPr>
        <w:t xml:space="preserve">for </w:t>
      </w:r>
      <w:r w:rsidR="00FA1D8E">
        <w:rPr>
          <w:rFonts w:asciiTheme="minorHAnsi" w:hAnsiTheme="minorHAnsi" w:cstheme="minorHAnsi"/>
        </w:rPr>
        <w:t>meeting obligations</w:t>
      </w:r>
      <w:r>
        <w:rPr>
          <w:rFonts w:asciiTheme="minorHAnsi" w:hAnsiTheme="minorHAnsi" w:cstheme="minorHAnsi"/>
        </w:rPr>
        <w:t xml:space="preserve"> require an audit report to be included in the application</w:t>
      </w:r>
      <w:r w:rsidR="007B5AC6" w:rsidRPr="007B5AC6">
        <w:rPr>
          <w:rFonts w:asciiTheme="minorHAnsi" w:hAnsiTheme="minorHAnsi" w:cstheme="minorHAnsi"/>
        </w:rPr>
        <w:t xml:space="preserve"> </w:t>
      </w:r>
      <w:r w:rsidR="007B5AC6">
        <w:rPr>
          <w:rFonts w:asciiTheme="minorHAnsi" w:hAnsiTheme="minorHAnsi" w:cstheme="minorHAnsi"/>
        </w:rPr>
        <w:t>such as for calculated baselines</w:t>
      </w:r>
      <w:r>
        <w:rPr>
          <w:rFonts w:asciiTheme="minorHAnsi" w:hAnsiTheme="minorHAnsi" w:cstheme="minorHAnsi"/>
        </w:rPr>
        <w:t>.</w:t>
      </w:r>
    </w:p>
    <w:p w14:paraId="2776E250" w14:textId="77777777" w:rsidR="001D1EA5" w:rsidRDefault="001D1EA5" w:rsidP="00A301EA">
      <w:pPr>
        <w:pStyle w:val="CCABodytext"/>
        <w:rPr>
          <w:rFonts w:asciiTheme="minorHAnsi" w:hAnsiTheme="minorHAnsi" w:cstheme="minorHAnsi"/>
        </w:rPr>
      </w:pPr>
    </w:p>
    <w:p w14:paraId="16D4D555" w14:textId="77777777" w:rsidR="001D1EA5" w:rsidRDefault="001D1EA5" w:rsidP="00A301EA">
      <w:pPr>
        <w:pStyle w:val="CCABodytext"/>
        <w:rPr>
          <w:rFonts w:asciiTheme="minorHAnsi" w:hAnsiTheme="minorHAnsi" w:cstheme="minorHAnsi"/>
        </w:rPr>
        <w:sectPr w:rsidR="001D1EA5" w:rsidSect="004D4226">
          <w:headerReference w:type="default" r:id="rId40"/>
          <w:pgSz w:w="11907" w:h="16840" w:code="9"/>
          <w:pgMar w:top="1418" w:right="1077" w:bottom="851" w:left="1077" w:header="851" w:footer="720" w:gutter="0"/>
          <w:pgNumType w:chapStyle="1" w:chapSep="emDash"/>
          <w:cols w:space="720"/>
          <w:docGrid w:linePitch="360"/>
        </w:sectPr>
      </w:pPr>
    </w:p>
    <w:p w14:paraId="7E08CF2E" w14:textId="77777777" w:rsidR="00F35C8F" w:rsidRPr="007C1BF6" w:rsidRDefault="002E5024" w:rsidP="00C813C5">
      <w:pPr>
        <w:pStyle w:val="CCAHeading1"/>
      </w:pPr>
      <w:bookmarkStart w:id="398" w:name="_Toc525642975"/>
      <w:bookmarkStart w:id="399" w:name="_Toc525644043"/>
      <w:bookmarkStart w:id="400" w:name="_Toc525661491"/>
      <w:bookmarkStart w:id="401" w:name="_Toc526430699"/>
      <w:bookmarkStart w:id="402" w:name="_Toc528140795"/>
      <w:bookmarkStart w:id="403" w:name="_Toc528143276"/>
      <w:bookmarkStart w:id="404" w:name="_Toc528770224"/>
      <w:bookmarkStart w:id="405" w:name="_Toc529183859"/>
      <w:bookmarkStart w:id="406" w:name="_Toc529187671"/>
      <w:bookmarkStart w:id="407" w:name="_Toc529188097"/>
      <w:bookmarkStart w:id="408" w:name="_Toc529377747"/>
      <w:bookmarkStart w:id="409" w:name="_Toc529389687"/>
      <w:bookmarkStart w:id="410" w:name="_Toc531095562"/>
      <w:bookmarkStart w:id="411" w:name="_Toc531099328"/>
      <w:bookmarkStart w:id="412" w:name="_Toc531101737"/>
      <w:bookmarkStart w:id="413" w:name="_Toc531764005"/>
      <w:bookmarkStart w:id="414" w:name="_Toc532912097"/>
      <w:bookmarkStart w:id="415" w:name="_Toc532914939"/>
      <w:r>
        <w:lastRenderedPageBreak/>
        <w:t xml:space="preserve">The </w:t>
      </w:r>
      <w:r w:rsidR="00C500A7">
        <w:t>r</w:t>
      </w:r>
      <w:r>
        <w:t xml:space="preserve">eporting </w:t>
      </w:r>
      <w:r w:rsidR="00C500A7">
        <w:t>s</w:t>
      </w:r>
      <w:r>
        <w:t>cheme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007078D2">
        <w:t>: what is working well</w:t>
      </w:r>
      <w:bookmarkEnd w:id="413"/>
      <w:bookmarkEnd w:id="414"/>
      <w:bookmarkEnd w:id="415"/>
    </w:p>
    <w:p w14:paraId="3301057B" w14:textId="77777777" w:rsidR="00F35C8F" w:rsidRPr="0052717C" w:rsidRDefault="003A4D92" w:rsidP="00C813C5">
      <w:pPr>
        <w:pStyle w:val="CCAHeading2"/>
      </w:pPr>
      <w:bookmarkStart w:id="416" w:name="_Toc528770225"/>
      <w:bookmarkStart w:id="417" w:name="_Toc529183860"/>
      <w:bookmarkStart w:id="418" w:name="_Toc529187672"/>
      <w:bookmarkStart w:id="419" w:name="_Toc529188098"/>
      <w:bookmarkStart w:id="420" w:name="_Toc529377748"/>
      <w:bookmarkStart w:id="421" w:name="_Toc529389688"/>
      <w:bookmarkStart w:id="422" w:name="_Ref529392555"/>
      <w:bookmarkStart w:id="423" w:name="_Toc531095563"/>
      <w:bookmarkStart w:id="424" w:name="_Toc531099329"/>
      <w:bookmarkStart w:id="425" w:name="_Toc531101738"/>
      <w:bookmarkStart w:id="426" w:name="_Toc531764006"/>
      <w:bookmarkStart w:id="427" w:name="_Toc532912098"/>
      <w:bookmarkStart w:id="428" w:name="_Toc532914940"/>
      <w:r>
        <w:t>W</w:t>
      </w:r>
      <w:r w:rsidR="00CE7DF6" w:rsidRPr="0052717C">
        <w:t>ork</w:t>
      </w:r>
      <w:r w:rsidR="00136C6C">
        <w:t>s</w:t>
      </w:r>
      <w:r w:rsidR="00CE7DF6" w:rsidRPr="0052717C">
        <w:t xml:space="preserve"> well, meet</w:t>
      </w:r>
      <w:r w:rsidR="00136C6C">
        <w:t>s</w:t>
      </w:r>
      <w:r w:rsidR="00CE7DF6" w:rsidRPr="0052717C">
        <w:t xml:space="preserve"> its objectives and enjoys broad support</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493C1D92" w14:textId="330142EB" w:rsidR="00F35C8F" w:rsidRDefault="00F35C8F" w:rsidP="0052717C">
      <w:pPr>
        <w:pStyle w:val="CCABodytext"/>
      </w:pPr>
      <w:r>
        <w:t xml:space="preserve">In this chapter, the </w:t>
      </w:r>
      <w:r w:rsidR="000C0509">
        <w:t xml:space="preserve">Climate Change </w:t>
      </w:r>
      <w:r>
        <w:t xml:space="preserve">Authority sets out its findings on the operation of the National Greenhouse and Energy Reporting scheme. </w:t>
      </w:r>
      <w:r w:rsidR="00C664C3">
        <w:t xml:space="preserve">These findings are based on an evaluation of evidence collected through its own research and analysis and extensive consultation with </w:t>
      </w:r>
      <w:r w:rsidR="00DD3116">
        <w:t>G</w:t>
      </w:r>
      <w:r w:rsidR="00E76BC0">
        <w:t>overnment agencies that</w:t>
      </w:r>
      <w:r w:rsidR="00E76BC0" w:rsidRPr="008C49A6">
        <w:t xml:space="preserve"> administer the scheme</w:t>
      </w:r>
      <w:r w:rsidR="00E76BC0">
        <w:t xml:space="preserve">, </w:t>
      </w:r>
      <w:r w:rsidR="00C664C3">
        <w:t>reporters</w:t>
      </w:r>
      <w:r w:rsidR="00E76BC0">
        <w:t xml:space="preserve"> and</w:t>
      </w:r>
      <w:r w:rsidR="00C664C3">
        <w:t xml:space="preserve"> data users.</w:t>
      </w:r>
    </w:p>
    <w:p w14:paraId="2247345F" w14:textId="77777777" w:rsidR="00F35C8F" w:rsidRDefault="00F35C8F" w:rsidP="00F35C8F">
      <w:pPr>
        <w:pStyle w:val="CCABodytext"/>
      </w:pPr>
      <w:r>
        <w:t>The Authority found the scheme is</w:t>
      </w:r>
      <w:r w:rsidR="00C16279">
        <w:t xml:space="preserve"> working well, is </w:t>
      </w:r>
      <w:r>
        <w:t>generally fit for purpose</w:t>
      </w:r>
      <w:r w:rsidR="00C42335">
        <w:t xml:space="preserve"> and</w:t>
      </w:r>
      <w:r w:rsidR="00C16279">
        <w:t xml:space="preserve"> </w:t>
      </w:r>
      <w:r w:rsidR="00C42335">
        <w:t xml:space="preserve">has strong support from industry, governments and others. The Authority is of the view it is </w:t>
      </w:r>
      <w:r>
        <w:t>meeting the objective of the legislation</w:t>
      </w:r>
      <w:r w:rsidR="00C16279">
        <w:t xml:space="preserve"> </w:t>
      </w:r>
      <w:r w:rsidR="004912D9">
        <w:t>(</w:t>
      </w:r>
      <w:r w:rsidR="00DD4FD4">
        <w:t>S</w:t>
      </w:r>
      <w:r w:rsidR="004912D9">
        <w:t xml:space="preserve">ection </w:t>
      </w:r>
      <w:r w:rsidR="000D26F8">
        <w:fldChar w:fldCharType="begin"/>
      </w:r>
      <w:r w:rsidR="000D26F8">
        <w:instrText xml:space="preserve"> REF _Ref529392375 \r \h </w:instrText>
      </w:r>
      <w:r w:rsidR="000D26F8">
        <w:fldChar w:fldCharType="separate"/>
      </w:r>
      <w:r w:rsidR="009A203A">
        <w:t>2.2</w:t>
      </w:r>
      <w:r w:rsidR="000D26F8">
        <w:fldChar w:fldCharType="end"/>
      </w:r>
      <w:r w:rsidR="004912D9">
        <w:t>)</w:t>
      </w:r>
      <w:r w:rsidR="00A31571">
        <w:t xml:space="preserve"> </w:t>
      </w:r>
      <w:r w:rsidR="00C16279">
        <w:t>through the provision of high quality energy and emissions data, which has</w:t>
      </w:r>
      <w:r>
        <w:t>:</w:t>
      </w:r>
    </w:p>
    <w:p w14:paraId="20B0DB2F" w14:textId="77777777" w:rsidR="0077093C" w:rsidRPr="00DE7CAC" w:rsidRDefault="0077093C" w:rsidP="000D7F42">
      <w:pPr>
        <w:pStyle w:val="ListBullet"/>
        <w:rPr>
          <w:rFonts w:eastAsia="Calibri"/>
        </w:rPr>
      </w:pPr>
      <w:r>
        <w:rPr>
          <w:rFonts w:eastAsia="Calibri"/>
        </w:rPr>
        <w:t xml:space="preserve">been used extensively by </w:t>
      </w:r>
      <w:r w:rsidR="00746A82">
        <w:t>Australian</w:t>
      </w:r>
      <w:r w:rsidRPr="00DE7CAC">
        <w:rPr>
          <w:rFonts w:eastAsia="Calibri"/>
        </w:rPr>
        <w:t>, state and territory government</w:t>
      </w:r>
      <w:r>
        <w:rPr>
          <w:rFonts w:eastAsia="Calibri"/>
        </w:rPr>
        <w:t>s in the development of policies and other</w:t>
      </w:r>
      <w:r w:rsidRPr="00DE7CAC">
        <w:rPr>
          <w:rFonts w:eastAsia="Calibri"/>
        </w:rPr>
        <w:t xml:space="preserve"> </w:t>
      </w:r>
      <w:r>
        <w:rPr>
          <w:rFonts w:eastAsia="Calibri"/>
        </w:rPr>
        <w:t>a</w:t>
      </w:r>
      <w:r w:rsidRPr="00DE7CAC">
        <w:rPr>
          <w:rFonts w:eastAsia="Calibri"/>
        </w:rPr>
        <w:t>ctivities</w:t>
      </w:r>
    </w:p>
    <w:p w14:paraId="3BD5562B" w14:textId="77777777" w:rsidR="00AC4686" w:rsidRPr="00DE7CAC" w:rsidRDefault="0077093C" w:rsidP="000D7F42">
      <w:pPr>
        <w:pStyle w:val="ListBullet"/>
        <w:rPr>
          <w:rFonts w:eastAsia="Calibri"/>
        </w:rPr>
      </w:pPr>
      <w:r>
        <w:rPr>
          <w:rFonts w:eastAsia="Calibri"/>
        </w:rPr>
        <w:t>informed</w:t>
      </w:r>
      <w:r w:rsidR="00AC4686" w:rsidRPr="00DE7CAC">
        <w:rPr>
          <w:rFonts w:eastAsia="Calibri"/>
        </w:rPr>
        <w:t xml:space="preserve"> </w:t>
      </w:r>
      <w:r>
        <w:rPr>
          <w:rFonts w:eastAsia="Calibri"/>
        </w:rPr>
        <w:t>companies, go</w:t>
      </w:r>
      <w:r w:rsidR="009F5F8D">
        <w:rPr>
          <w:rFonts w:eastAsia="Calibri"/>
        </w:rPr>
        <w:t>vernments and other data users</w:t>
      </w:r>
    </w:p>
    <w:p w14:paraId="02577D07" w14:textId="77777777" w:rsidR="00AC4686" w:rsidRPr="00DE7CAC" w:rsidRDefault="009C52F5" w:rsidP="000D7F42">
      <w:pPr>
        <w:pStyle w:val="ListBullet"/>
        <w:rPr>
          <w:rFonts w:eastAsia="Calibri"/>
        </w:rPr>
      </w:pPr>
      <w:r>
        <w:rPr>
          <w:rFonts w:eastAsia="Calibri"/>
        </w:rPr>
        <w:t xml:space="preserve">been essential for </w:t>
      </w:r>
      <w:r w:rsidR="00AC4686" w:rsidRPr="00DE7CAC">
        <w:rPr>
          <w:rFonts w:eastAsia="Calibri"/>
        </w:rPr>
        <w:t>Australia</w:t>
      </w:r>
      <w:r>
        <w:rPr>
          <w:rFonts w:eastAsia="Calibri"/>
        </w:rPr>
        <w:t xml:space="preserve"> to meet</w:t>
      </w:r>
      <w:r w:rsidR="00F8561F">
        <w:rPr>
          <w:rFonts w:eastAsia="Calibri"/>
        </w:rPr>
        <w:t xml:space="preserve"> its</w:t>
      </w:r>
      <w:r w:rsidR="00AC4686" w:rsidRPr="00DE7CAC">
        <w:rPr>
          <w:rFonts w:eastAsia="Calibri"/>
        </w:rPr>
        <w:t xml:space="preserve"> international </w:t>
      </w:r>
      <w:r w:rsidR="0077093C">
        <w:rPr>
          <w:rFonts w:eastAsia="Calibri"/>
        </w:rPr>
        <w:t xml:space="preserve">energy and emissions </w:t>
      </w:r>
      <w:r w:rsidR="00AC4686" w:rsidRPr="00DE7CAC">
        <w:rPr>
          <w:rFonts w:eastAsia="Calibri"/>
        </w:rPr>
        <w:t>reporting obligations</w:t>
      </w:r>
    </w:p>
    <w:p w14:paraId="71641B01" w14:textId="77777777" w:rsidR="003F24F1" w:rsidRDefault="0077093C" w:rsidP="00377F06">
      <w:pPr>
        <w:pStyle w:val="ListBullet"/>
      </w:pPr>
      <w:r w:rsidRPr="0005204D">
        <w:rPr>
          <w:rFonts w:eastAsia="Calibri"/>
        </w:rPr>
        <w:t xml:space="preserve">reduced reporting burdens on companies over time. </w:t>
      </w:r>
    </w:p>
    <w:p w14:paraId="286CEEAD" w14:textId="77777777" w:rsidR="00C42335" w:rsidRPr="00C50EF2" w:rsidRDefault="00C848B1" w:rsidP="003A4D92">
      <w:pPr>
        <w:pStyle w:val="CCAquote"/>
      </w:pPr>
      <w:r w:rsidRPr="00C50EF2">
        <w:t>[</w:t>
      </w:r>
      <w:r w:rsidR="00C42335" w:rsidRPr="00C50EF2">
        <w:t>T</w:t>
      </w:r>
      <w:r w:rsidRPr="00C50EF2">
        <w:t>]</w:t>
      </w:r>
      <w:r w:rsidR="00C42335" w:rsidRPr="00C50EF2">
        <w:t>he National Greenhouse and Energy Reporting System … [is] largely working as intended</w:t>
      </w:r>
      <w:r w:rsidR="00C50EF2" w:rsidRPr="00C50EF2">
        <w:t>.</w:t>
      </w:r>
    </w:p>
    <w:p w14:paraId="760D303F" w14:textId="77777777" w:rsidR="00C42335" w:rsidRDefault="00C42335" w:rsidP="00772087">
      <w:pPr>
        <w:pStyle w:val="CCAquotesource"/>
      </w:pPr>
      <w:r w:rsidRPr="00C50EF2">
        <w:t>Australian Aluminium Council</w:t>
      </w:r>
      <w:r w:rsidR="0005204D" w:rsidRPr="00C50EF2">
        <w:t>, submission on this review</w:t>
      </w:r>
      <w:r w:rsidR="00C848B1" w:rsidRPr="00C50EF2">
        <w:t xml:space="preserve"> (p</w:t>
      </w:r>
      <w:r w:rsidR="00190737" w:rsidRPr="00C50EF2">
        <w:t>.</w:t>
      </w:r>
      <w:r w:rsidR="00C848B1" w:rsidRPr="00C50EF2">
        <w:t xml:space="preserve"> 1)</w:t>
      </w:r>
    </w:p>
    <w:p w14:paraId="7300D313" w14:textId="77777777" w:rsidR="0077093C" w:rsidRDefault="00F35C8F">
      <w:pPr>
        <w:pStyle w:val="CCABodytext"/>
      </w:pPr>
      <w:r>
        <w:t xml:space="preserve">Although the Authority found the scheme is working well, </w:t>
      </w:r>
      <w:r w:rsidR="00C42335">
        <w:t>it recommends</w:t>
      </w:r>
      <w:r>
        <w:t xml:space="preserve"> a number of improvements to </w:t>
      </w:r>
      <w:r w:rsidR="00644306">
        <w:t>enhance</w:t>
      </w:r>
      <w:r>
        <w:t xml:space="preserve"> the efficiency and effectiveness of the scheme. These are discussed in </w:t>
      </w:r>
      <w:r w:rsidR="00DB736C">
        <w:t>C</w:t>
      </w:r>
      <w:r>
        <w:t>hapter</w:t>
      </w:r>
      <w:r w:rsidR="00F33F8B">
        <w:t xml:space="preserve"> 4</w:t>
      </w:r>
      <w:r>
        <w:t xml:space="preserve">. </w:t>
      </w:r>
    </w:p>
    <w:p w14:paraId="01AE7937" w14:textId="77777777" w:rsidR="00644306" w:rsidRDefault="00802EE8" w:rsidP="00C813C5">
      <w:pPr>
        <w:pStyle w:val="CCAHeading2"/>
      </w:pPr>
      <w:bookmarkStart w:id="429" w:name="_Toc531095564"/>
      <w:bookmarkStart w:id="430" w:name="_Toc531099330"/>
      <w:bookmarkStart w:id="431" w:name="_Toc531101739"/>
      <w:bookmarkStart w:id="432" w:name="_Toc531764007"/>
      <w:bookmarkStart w:id="433" w:name="_Toc532912099"/>
      <w:bookmarkStart w:id="434" w:name="_Toc532914941"/>
      <w:r>
        <w:t>R</w:t>
      </w:r>
      <w:r w:rsidR="00644306">
        <w:t xml:space="preserve">educed </w:t>
      </w:r>
      <w:r w:rsidR="00644306" w:rsidRPr="0005204D">
        <w:t>duplicative</w:t>
      </w:r>
      <w:r w:rsidR="00644306">
        <w:t xml:space="preserve"> reporting</w:t>
      </w:r>
      <w:bookmarkEnd w:id="429"/>
      <w:bookmarkEnd w:id="430"/>
      <w:bookmarkEnd w:id="431"/>
      <w:bookmarkEnd w:id="432"/>
      <w:bookmarkEnd w:id="433"/>
      <w:bookmarkEnd w:id="434"/>
    </w:p>
    <w:p w14:paraId="1D6CE975" w14:textId="77777777" w:rsidR="00880F30" w:rsidRDefault="00C976AD" w:rsidP="0074041D">
      <w:pPr>
        <w:pStyle w:val="CCABodytext"/>
      </w:pPr>
      <w:r>
        <w:t xml:space="preserve">One of the primary motivations for the introduction of the reporting scheme </w:t>
      </w:r>
      <w:r w:rsidR="0081776F">
        <w:t>included</w:t>
      </w:r>
      <w:r>
        <w:t xml:space="preserve"> </w:t>
      </w:r>
      <w:r w:rsidR="0081776F">
        <w:t>reducing</w:t>
      </w:r>
      <w:r w:rsidR="00A3536E">
        <w:t xml:space="preserve"> duplication of emissions and energy reporting requirements across jurisdictions and minimis</w:t>
      </w:r>
      <w:r w:rsidR="0081776F">
        <w:t>ing</w:t>
      </w:r>
      <w:r w:rsidR="00A3536E">
        <w:t xml:space="preserve"> the regulatory burden on businesses</w:t>
      </w:r>
      <w:r>
        <w:t xml:space="preserve">. </w:t>
      </w:r>
    </w:p>
    <w:p w14:paraId="7644E301" w14:textId="77777777" w:rsidR="00050850" w:rsidRDefault="00880F30" w:rsidP="00A3536E">
      <w:pPr>
        <w:pStyle w:val="CCABodytext"/>
      </w:pPr>
      <w:r>
        <w:t>T</w:t>
      </w:r>
      <w:r w:rsidR="00C976AD">
        <w:t xml:space="preserve">he Authority’s analysis indicates </w:t>
      </w:r>
      <w:r w:rsidR="00A3536E">
        <w:t>cases of duplicative reporting have largely been eliminated.</w:t>
      </w:r>
      <w:r w:rsidR="004026DA">
        <w:t xml:space="preserve"> Examples of </w:t>
      </w:r>
      <w:r w:rsidR="00222BC6">
        <w:t xml:space="preserve">programs </w:t>
      </w:r>
      <w:r w:rsidR="00377F06">
        <w:t xml:space="preserve">that were identified as collecting duplicative </w:t>
      </w:r>
      <w:r w:rsidR="008F73D1">
        <w:t xml:space="preserve">emissions and energy </w:t>
      </w:r>
      <w:r w:rsidR="00377F06">
        <w:t>information</w:t>
      </w:r>
      <w:r w:rsidR="005336E1">
        <w:t xml:space="preserve"> </w:t>
      </w:r>
      <w:r w:rsidR="004026DA">
        <w:t xml:space="preserve">that </w:t>
      </w:r>
      <w:r w:rsidR="00222BC6">
        <w:t xml:space="preserve">have </w:t>
      </w:r>
      <w:r w:rsidR="00377F06">
        <w:t xml:space="preserve">now </w:t>
      </w:r>
      <w:r w:rsidR="00831F4D">
        <w:t>ceased</w:t>
      </w:r>
      <w:r w:rsidR="004026DA">
        <w:t xml:space="preserve"> </w:t>
      </w:r>
      <w:r w:rsidR="00050850">
        <w:t xml:space="preserve">include: </w:t>
      </w:r>
    </w:p>
    <w:p w14:paraId="4BC5825E" w14:textId="77777777" w:rsidR="00050850" w:rsidRDefault="00A3536E" w:rsidP="000D7F42">
      <w:pPr>
        <w:pStyle w:val="ListBullet"/>
      </w:pPr>
      <w:r>
        <w:lastRenderedPageBreak/>
        <w:t>the voluntary A</w:t>
      </w:r>
      <w:r w:rsidR="00F8561F">
        <w:t>ustralian Bureau of Agricultural and Resource Economics</w:t>
      </w:r>
      <w:r>
        <w:t xml:space="preserve"> Fuel and Electricity Survey</w:t>
      </w:r>
    </w:p>
    <w:p w14:paraId="7327244A" w14:textId="77777777" w:rsidR="00050850" w:rsidRDefault="00050850" w:rsidP="000D7F42">
      <w:pPr>
        <w:pStyle w:val="ListBullet"/>
      </w:pPr>
      <w:r>
        <w:t xml:space="preserve">the voluntary </w:t>
      </w:r>
      <w:r w:rsidR="00A3536E">
        <w:t xml:space="preserve">National Greenhouse Gas Inventory </w:t>
      </w:r>
      <w:r w:rsidR="00F8561F">
        <w:t>S</w:t>
      </w:r>
      <w:r w:rsidR="00A3536E">
        <w:t>urvey</w:t>
      </w:r>
    </w:p>
    <w:p w14:paraId="3FA82A69" w14:textId="77777777" w:rsidR="00050850" w:rsidRDefault="00A3536E" w:rsidP="000D7F42">
      <w:pPr>
        <w:pStyle w:val="ListBullet"/>
      </w:pPr>
      <w:r>
        <w:t xml:space="preserve">New South Wales Energy Savings </w:t>
      </w:r>
      <w:r w:rsidRPr="001C0F95">
        <w:t>Action Plans</w:t>
      </w:r>
    </w:p>
    <w:p w14:paraId="316FDDFB" w14:textId="77777777" w:rsidR="003518A0" w:rsidRDefault="00AA52CA" w:rsidP="000D7F42">
      <w:pPr>
        <w:pStyle w:val="ListBullet"/>
      </w:pPr>
      <w:r>
        <w:t xml:space="preserve">Commonwealth </w:t>
      </w:r>
      <w:r w:rsidR="005336E1" w:rsidRPr="005336E1">
        <w:t>Energy Efficiency Opportunities</w:t>
      </w:r>
      <w:r w:rsidR="005336E1">
        <w:t xml:space="preserve"> </w:t>
      </w:r>
    </w:p>
    <w:p w14:paraId="2BA3A5E0" w14:textId="77777777" w:rsidR="00222BC6" w:rsidRDefault="00AA52CA" w:rsidP="000D7F42">
      <w:pPr>
        <w:pStyle w:val="ListBullet"/>
      </w:pPr>
      <w:r>
        <w:t xml:space="preserve">Victoria’s </w:t>
      </w:r>
      <w:r w:rsidRPr="00AA52CA">
        <w:t xml:space="preserve">Environment </w:t>
      </w:r>
      <w:r w:rsidR="00222BC6">
        <w:t>and</w:t>
      </w:r>
      <w:r w:rsidRPr="00AA52CA">
        <w:t xml:space="preserve"> Resource Efficiency Plans</w:t>
      </w:r>
    </w:p>
    <w:p w14:paraId="401F44FD" w14:textId="77777777" w:rsidR="00AA52CA" w:rsidRDefault="00AA52CA" w:rsidP="000D7F42">
      <w:pPr>
        <w:pStyle w:val="ListBullet"/>
      </w:pPr>
      <w:r>
        <w:t>South Australia’s</w:t>
      </w:r>
      <w:r w:rsidRPr="00AA52CA">
        <w:t xml:space="preserve"> Greenhouse Strategy</w:t>
      </w:r>
      <w:r>
        <w:t>.</w:t>
      </w:r>
    </w:p>
    <w:p w14:paraId="0AA663BF" w14:textId="77777777" w:rsidR="00880F30" w:rsidRDefault="00F8561F" w:rsidP="00880F30">
      <w:pPr>
        <w:pStyle w:val="CCABodytext"/>
      </w:pPr>
      <w:bookmarkStart w:id="435" w:name="_Toc528258314"/>
      <w:bookmarkStart w:id="436" w:name="_Toc528258387"/>
      <w:bookmarkStart w:id="437" w:name="_Ref528180633"/>
      <w:bookmarkEnd w:id="435"/>
      <w:bookmarkEnd w:id="436"/>
      <w:r>
        <w:t>I</w:t>
      </w:r>
      <w:r w:rsidR="00880F30">
        <w:t xml:space="preserve">ndustry and others </w:t>
      </w:r>
      <w:r>
        <w:t xml:space="preserve">also </w:t>
      </w:r>
      <w:r w:rsidR="00880F30">
        <w:t xml:space="preserve">told the Authority </w:t>
      </w:r>
      <w:r w:rsidR="00880F30" w:rsidRPr="00C53946">
        <w:t>duplicative reporting has reduced over time</w:t>
      </w:r>
      <w:r w:rsidR="00C12844">
        <w:t>. This is</w:t>
      </w:r>
      <w:r w:rsidR="00880F30" w:rsidRPr="00C53946">
        <w:t xml:space="preserve"> partly </w:t>
      </w:r>
      <w:r w:rsidR="00C12844">
        <w:t>because</w:t>
      </w:r>
      <w:r w:rsidR="00880F30" w:rsidRPr="00C53946">
        <w:t xml:space="preserve"> programs ended and partly due to the sharing of data.</w:t>
      </w:r>
    </w:p>
    <w:p w14:paraId="2C4D54F4" w14:textId="77777777" w:rsidR="00A3536E" w:rsidRDefault="00802EE8" w:rsidP="00C813C5">
      <w:pPr>
        <w:pStyle w:val="CCAHeading2"/>
      </w:pPr>
      <w:bookmarkStart w:id="438" w:name="_Toc528770226"/>
      <w:bookmarkStart w:id="439" w:name="_Toc529183861"/>
      <w:bookmarkStart w:id="440" w:name="_Toc529187673"/>
      <w:bookmarkStart w:id="441" w:name="_Toc529188099"/>
      <w:bookmarkStart w:id="442" w:name="_Toc529377749"/>
      <w:bookmarkStart w:id="443" w:name="_Toc529389689"/>
      <w:bookmarkStart w:id="444" w:name="_Toc531095565"/>
      <w:bookmarkStart w:id="445" w:name="_Toc531099331"/>
      <w:bookmarkStart w:id="446" w:name="_Toc531101740"/>
      <w:bookmarkStart w:id="447" w:name="_Toc531764008"/>
      <w:bookmarkStart w:id="448" w:name="_Toc532912100"/>
      <w:bookmarkStart w:id="449" w:name="_Toc532914942"/>
      <w:r>
        <w:t>H</w:t>
      </w:r>
      <w:r w:rsidR="00050850">
        <w:t xml:space="preserve">igh </w:t>
      </w:r>
      <w:r w:rsidR="00A3536E">
        <w:t xml:space="preserve">quality </w:t>
      </w:r>
      <w:r w:rsidR="00AF20E9">
        <w:t>dataset</w:t>
      </w:r>
      <w:bookmarkEnd w:id="437"/>
      <w:r w:rsidR="00C42335">
        <w:t xml:space="preserve"> </w:t>
      </w:r>
      <w:r w:rsidR="00880F30">
        <w:t xml:space="preserve">compares favourably </w:t>
      </w:r>
      <w:r w:rsidR="001E5DB3">
        <w:t>to</w:t>
      </w:r>
      <w:r w:rsidR="00136C6C">
        <w:t xml:space="preserve"> </w:t>
      </w:r>
      <w:r w:rsidR="00880F30">
        <w:t>international schemes</w:t>
      </w:r>
      <w:bookmarkEnd w:id="438"/>
      <w:bookmarkEnd w:id="439"/>
      <w:bookmarkEnd w:id="440"/>
      <w:bookmarkEnd w:id="441"/>
      <w:bookmarkEnd w:id="442"/>
      <w:bookmarkEnd w:id="443"/>
      <w:bookmarkEnd w:id="444"/>
      <w:bookmarkEnd w:id="445"/>
      <w:bookmarkEnd w:id="446"/>
      <w:bookmarkEnd w:id="447"/>
      <w:bookmarkEnd w:id="448"/>
      <w:bookmarkEnd w:id="449"/>
    </w:p>
    <w:p w14:paraId="2DC0E1D1" w14:textId="77777777" w:rsidR="00B318A1" w:rsidRDefault="00A3536E" w:rsidP="00A3536E">
      <w:pPr>
        <w:pStyle w:val="CCABodytext"/>
      </w:pPr>
      <w:r w:rsidRPr="007A0B17">
        <w:t xml:space="preserve">The </w:t>
      </w:r>
      <w:r w:rsidR="00B318A1">
        <w:t xml:space="preserve">Authority found the energy and emissions data reported under the scheme is of a high quality </w:t>
      </w:r>
      <w:r w:rsidR="009B2C33">
        <w:t xml:space="preserve">and </w:t>
      </w:r>
      <w:r w:rsidR="00865F08">
        <w:t>has broad coverage</w:t>
      </w:r>
      <w:r w:rsidR="00F70D56">
        <w:t>,</w:t>
      </w:r>
      <w:r w:rsidR="00865F08">
        <w:t xml:space="preserve"> capturing </w:t>
      </w:r>
      <w:r w:rsidR="00B318A1">
        <w:t>over 60 per cent of Australia’s emissions and most of its energy</w:t>
      </w:r>
      <w:r w:rsidR="00272B84">
        <w:t xml:space="preserve"> production and use.</w:t>
      </w:r>
    </w:p>
    <w:p w14:paraId="527108D0" w14:textId="77777777" w:rsidR="00DD3116" w:rsidRDefault="00DD3116" w:rsidP="00A3536E">
      <w:pPr>
        <w:pStyle w:val="CCABodytext"/>
      </w:pPr>
    </w:p>
    <w:p w14:paraId="5BA3EC36" w14:textId="77777777" w:rsidR="00392A6F" w:rsidRDefault="00B318A1" w:rsidP="00A3536E">
      <w:pPr>
        <w:pStyle w:val="CCABodytext"/>
      </w:pPr>
      <w:r>
        <w:t xml:space="preserve">The Authority’s analysis indicates the </w:t>
      </w:r>
      <w:r w:rsidR="00392A6F">
        <w:t xml:space="preserve">high quality of data is </w:t>
      </w:r>
      <w:r>
        <w:t>achi</w:t>
      </w:r>
      <w:r w:rsidR="00865F08">
        <w:t>e</w:t>
      </w:r>
      <w:r>
        <w:t xml:space="preserve">ved </w:t>
      </w:r>
      <w:r w:rsidR="00865F08">
        <w:t>through</w:t>
      </w:r>
      <w:r w:rsidR="00392A6F">
        <w:t>:</w:t>
      </w:r>
    </w:p>
    <w:p w14:paraId="3AA9B2ED" w14:textId="77777777" w:rsidR="00865F08" w:rsidRDefault="00307463" w:rsidP="000D7F42">
      <w:pPr>
        <w:pStyle w:val="ListBullet"/>
      </w:pPr>
      <w:r>
        <w:t>h</w:t>
      </w:r>
      <w:r w:rsidR="00865F08">
        <w:t>igh levels of compliance with the scheme’s requirements</w:t>
      </w:r>
      <w:r w:rsidR="00E75462">
        <w:t>,</w:t>
      </w:r>
      <w:r w:rsidR="00865F08">
        <w:t xml:space="preserve"> including the rules </w:t>
      </w:r>
      <w:r w:rsidR="005336E1">
        <w:t>and comprehensive methods</w:t>
      </w:r>
      <w:r w:rsidR="00865F08">
        <w:t xml:space="preserve"> that set out how to measure and report energy and emissions (published in</w:t>
      </w:r>
      <w:r>
        <w:t xml:space="preserve"> the measurement determination)</w:t>
      </w:r>
    </w:p>
    <w:p w14:paraId="1B4209BD" w14:textId="77777777" w:rsidR="0074041D" w:rsidRDefault="00307463" w:rsidP="000D7F42">
      <w:pPr>
        <w:pStyle w:val="ListBullet"/>
      </w:pPr>
      <w:r>
        <w:t>e</w:t>
      </w:r>
      <w:r w:rsidR="0074041D">
        <w:t xml:space="preserve">ducation and guidance materials provided by the Regulator and </w:t>
      </w:r>
      <w:r w:rsidR="00A91449">
        <w:t xml:space="preserve">the </w:t>
      </w:r>
      <w:r w:rsidR="0074041D">
        <w:t xml:space="preserve">Department to assist reporters understand their obligations, </w:t>
      </w:r>
      <w:r w:rsidR="00A91449">
        <w:t>complemented</w:t>
      </w:r>
      <w:r w:rsidR="0074041D">
        <w:t xml:space="preserve"> by a comprehensive auditing framework and other compliance measures</w:t>
      </w:r>
    </w:p>
    <w:p w14:paraId="4F7C50C1" w14:textId="77777777" w:rsidR="00865F08" w:rsidRDefault="00307463" w:rsidP="000D7F42">
      <w:pPr>
        <w:pStyle w:val="ListBullet"/>
      </w:pPr>
      <w:r>
        <w:t>u</w:t>
      </w:r>
      <w:r w:rsidR="00865F08">
        <w:t>se of mature and accurate measurement and reporting systems by companies covered by the scheme</w:t>
      </w:r>
      <w:r w:rsidR="0005204D">
        <w:t>.</w:t>
      </w:r>
    </w:p>
    <w:p w14:paraId="6F32E5AF" w14:textId="77777777" w:rsidR="00AF3AB3" w:rsidRDefault="00C42335" w:rsidP="00880F30">
      <w:pPr>
        <w:pStyle w:val="CCABodytext"/>
      </w:pPr>
      <w:r w:rsidRPr="00831F4D">
        <w:t xml:space="preserve">The </w:t>
      </w:r>
      <w:r w:rsidR="00865F08">
        <w:t xml:space="preserve">Authority found </w:t>
      </w:r>
      <w:r w:rsidR="00880F30">
        <w:t xml:space="preserve">the </w:t>
      </w:r>
      <w:r w:rsidRPr="00831F4D">
        <w:t xml:space="preserve">scheme compares well with </w:t>
      </w:r>
      <w:r>
        <w:t>sim</w:t>
      </w:r>
      <w:r w:rsidR="00880F30">
        <w:t xml:space="preserve">ilar </w:t>
      </w:r>
      <w:r w:rsidR="00FD36A0">
        <w:t xml:space="preserve">emissions reporting </w:t>
      </w:r>
      <w:r w:rsidR="00880F30">
        <w:t>schemes in other countries</w:t>
      </w:r>
      <w:r w:rsidR="00335660">
        <w:t xml:space="preserve"> in terms of coverage, reporting thresholds and compliance settings</w:t>
      </w:r>
      <w:r w:rsidR="00A55963">
        <w:t>.</w:t>
      </w:r>
      <w:r w:rsidR="00880F30">
        <w:t xml:space="preserve"> Australia’s scheme captures a broad set of emissions data at the company level </w:t>
      </w:r>
      <w:r w:rsidRPr="00831F4D">
        <w:t xml:space="preserve">and the arrangements for ensuring the quality of the data are </w:t>
      </w:r>
      <w:r w:rsidR="00F8561F">
        <w:t xml:space="preserve">generally </w:t>
      </w:r>
      <w:r w:rsidRPr="00831F4D">
        <w:t>more developed</w:t>
      </w:r>
      <w:r w:rsidR="00E82C03">
        <w:t xml:space="preserve"> than in other countries</w:t>
      </w:r>
      <w:r w:rsidR="00A55963">
        <w:t xml:space="preserve"> (</w:t>
      </w:r>
      <w:r w:rsidR="009D0EB8">
        <w:t>PMR</w:t>
      </w:r>
      <w:r w:rsidR="006C32E5">
        <w:t xml:space="preserve"> 2015</w:t>
      </w:r>
      <w:r w:rsidR="00A55963">
        <w:t>)</w:t>
      </w:r>
      <w:r w:rsidRPr="00831F4D">
        <w:t xml:space="preserve">. </w:t>
      </w:r>
      <w:r w:rsidR="00880F30">
        <w:t xml:space="preserve">This view was supported by both reporters and data users. </w:t>
      </w:r>
      <w:r w:rsidR="00E44EB7" w:rsidRPr="00E44EB7">
        <w:t xml:space="preserve">Australia also collects comprehensive energy data </w:t>
      </w:r>
      <w:r w:rsidR="006B6869">
        <w:t xml:space="preserve">at the company level </w:t>
      </w:r>
      <w:r w:rsidR="00E44EB7" w:rsidRPr="00E44EB7">
        <w:t xml:space="preserve">through the reporting scheme, </w:t>
      </w:r>
      <w:r w:rsidR="006B6869">
        <w:t>whereas many</w:t>
      </w:r>
      <w:r w:rsidR="00E44EB7" w:rsidRPr="00E44EB7">
        <w:t xml:space="preserve"> other countries </w:t>
      </w:r>
      <w:r w:rsidR="006B6869">
        <w:t>conduct</w:t>
      </w:r>
      <w:r w:rsidR="00E44EB7" w:rsidRPr="00E44EB7">
        <w:t xml:space="preserve"> </w:t>
      </w:r>
      <w:r w:rsidR="00E44EB7">
        <w:t xml:space="preserve">separate </w:t>
      </w:r>
      <w:r w:rsidR="00E44EB7" w:rsidRPr="00E44EB7">
        <w:t xml:space="preserve">mandatory surveys to collect </w:t>
      </w:r>
      <w:r w:rsidR="00E44EB7">
        <w:t>energy data</w:t>
      </w:r>
      <w:r w:rsidR="003F2F14">
        <w:t xml:space="preserve"> for the industrial and manufacturing sectors</w:t>
      </w:r>
      <w:r w:rsidR="00E44EB7">
        <w:t>.</w:t>
      </w:r>
    </w:p>
    <w:p w14:paraId="0EA26828" w14:textId="77777777" w:rsidR="00C42335" w:rsidRPr="00A31571" w:rsidRDefault="00C42335" w:rsidP="003A4D92">
      <w:pPr>
        <w:pStyle w:val="CCAquote"/>
      </w:pPr>
      <w:r w:rsidRPr="00A31571">
        <w:lastRenderedPageBreak/>
        <w:t xml:space="preserve">Australia leads the way in emissions and energy reporting, and Australia's system is </w:t>
      </w:r>
      <w:r w:rsidRPr="002E2F54">
        <w:t>best-in-class.</w:t>
      </w:r>
      <w:r w:rsidRPr="00A31571">
        <w:t xml:space="preserve"> </w:t>
      </w:r>
    </w:p>
    <w:p w14:paraId="07828A7F" w14:textId="77777777" w:rsidR="00C42335" w:rsidRDefault="00C42335" w:rsidP="00772087">
      <w:pPr>
        <w:pStyle w:val="CCAquotesource"/>
      </w:pPr>
      <w:r>
        <w:t>National Australia Bank</w:t>
      </w:r>
      <w:r w:rsidR="0005204D">
        <w:t>, submission on this review</w:t>
      </w:r>
      <w:r w:rsidR="004D2F4A">
        <w:t xml:space="preserve"> (p</w:t>
      </w:r>
      <w:r w:rsidR="00190737">
        <w:t>.</w:t>
      </w:r>
      <w:r w:rsidR="004D2F4A">
        <w:t xml:space="preserve"> 5)</w:t>
      </w:r>
    </w:p>
    <w:p w14:paraId="3607D3F3" w14:textId="77777777" w:rsidR="00AF3AB3" w:rsidRDefault="0005204D" w:rsidP="00AF3AB3">
      <w:pPr>
        <w:pStyle w:val="CCABodytext"/>
      </w:pPr>
      <w:r>
        <w:fldChar w:fldCharType="begin"/>
      </w:r>
      <w:r>
        <w:instrText xml:space="preserve"> REF _Ref530405154 \r \h </w:instrText>
      </w:r>
      <w:r>
        <w:fldChar w:fldCharType="separate"/>
      </w:r>
      <w:r w:rsidR="009A203A">
        <w:t>Appendix D</w:t>
      </w:r>
      <w:r>
        <w:fldChar w:fldCharType="end"/>
      </w:r>
      <w:r w:rsidR="00AF3AB3">
        <w:t xml:space="preserve"> </w:t>
      </w:r>
      <w:r w:rsidR="00FD4372">
        <w:t xml:space="preserve">provides </w:t>
      </w:r>
      <w:r w:rsidR="00AF3AB3">
        <w:t>more information on how Australia’s scheme compares with other</w:t>
      </w:r>
      <w:r w:rsidR="00802EE8">
        <w:t xml:space="preserve"> international emission</w:t>
      </w:r>
      <w:r w:rsidR="00DD4FD4">
        <w:t>s</w:t>
      </w:r>
      <w:r w:rsidR="00802EE8">
        <w:t xml:space="preserve"> reporting schemes</w:t>
      </w:r>
      <w:r w:rsidR="00AF3AB3" w:rsidRPr="00831F4D">
        <w:t>.</w:t>
      </w:r>
      <w:r w:rsidR="00AF3AB3" w:rsidRPr="00160B44">
        <w:t xml:space="preserve"> </w:t>
      </w:r>
    </w:p>
    <w:p w14:paraId="655AD263" w14:textId="43F35011" w:rsidR="00A3536E" w:rsidRDefault="00D372EE" w:rsidP="00C813C5">
      <w:pPr>
        <w:pStyle w:val="CCAHeading2"/>
      </w:pPr>
      <w:bookmarkStart w:id="450" w:name="_Toc528770227"/>
      <w:bookmarkStart w:id="451" w:name="_Toc529183862"/>
      <w:bookmarkStart w:id="452" w:name="_Toc529187674"/>
      <w:bookmarkStart w:id="453" w:name="_Toc529188100"/>
      <w:bookmarkStart w:id="454" w:name="_Toc529377750"/>
      <w:bookmarkStart w:id="455" w:name="_Toc529389690"/>
      <w:bookmarkStart w:id="456" w:name="_Toc531095566"/>
      <w:bookmarkStart w:id="457" w:name="_Toc531099332"/>
      <w:bookmarkStart w:id="458" w:name="_Toc531101741"/>
      <w:bookmarkStart w:id="459" w:name="_Toc531764009"/>
      <w:bookmarkStart w:id="460" w:name="_Toc532912101"/>
      <w:bookmarkStart w:id="461" w:name="_Toc532914943"/>
      <w:r>
        <w:t>F</w:t>
      </w:r>
      <w:r w:rsidR="00AB4C9E">
        <w:t xml:space="preserve">it-for-purpose </w:t>
      </w:r>
      <w:r w:rsidR="00395A77">
        <w:t>a</w:t>
      </w:r>
      <w:r w:rsidR="00831F4D">
        <w:t xml:space="preserve">pproaches to measuring </w:t>
      </w:r>
      <w:r w:rsidR="00461AB4">
        <w:t xml:space="preserve">emissions and </w:t>
      </w:r>
      <w:r w:rsidR="00831F4D">
        <w:t>energy</w:t>
      </w:r>
      <w:bookmarkEnd w:id="450"/>
      <w:bookmarkEnd w:id="451"/>
      <w:bookmarkEnd w:id="452"/>
      <w:bookmarkEnd w:id="453"/>
      <w:bookmarkEnd w:id="454"/>
      <w:bookmarkEnd w:id="455"/>
      <w:bookmarkEnd w:id="456"/>
      <w:bookmarkEnd w:id="457"/>
      <w:bookmarkEnd w:id="458"/>
      <w:bookmarkEnd w:id="459"/>
      <w:bookmarkEnd w:id="460"/>
      <w:bookmarkEnd w:id="461"/>
    </w:p>
    <w:p w14:paraId="68461A3F" w14:textId="77777777" w:rsidR="00AF3AB3" w:rsidRDefault="00AF3AB3">
      <w:pPr>
        <w:pStyle w:val="CCABodytext"/>
      </w:pPr>
      <w:r>
        <w:t xml:space="preserve">The Authority found the </w:t>
      </w:r>
      <w:r w:rsidR="00A3536E">
        <w:t>measurement determination</w:t>
      </w:r>
      <w:r>
        <w:t>, which</w:t>
      </w:r>
      <w:r w:rsidR="00A3536E">
        <w:t xml:space="preserve"> details how companies must measure </w:t>
      </w:r>
      <w:r>
        <w:t xml:space="preserve">and report </w:t>
      </w:r>
      <w:r w:rsidR="00A3536E">
        <w:t>their emissions and energy data</w:t>
      </w:r>
      <w:r w:rsidR="00AB4C9E">
        <w:t>,</w:t>
      </w:r>
      <w:r>
        <w:t xml:space="preserve"> was generally fit for purpose as it led to a high quality </w:t>
      </w:r>
      <w:r w:rsidR="00AF20E9">
        <w:t>dataset</w:t>
      </w:r>
      <w:r w:rsidR="003F24F1">
        <w:t xml:space="preserve"> </w:t>
      </w:r>
      <w:r>
        <w:t xml:space="preserve">and was generally supported by the companies who use it. </w:t>
      </w:r>
    </w:p>
    <w:p w14:paraId="6469CD82" w14:textId="77777777" w:rsidR="00AF3AB3" w:rsidRPr="00A31571" w:rsidRDefault="00A3536E" w:rsidP="003A4D92">
      <w:pPr>
        <w:pStyle w:val="CCAquote"/>
      </w:pPr>
      <w:r w:rsidRPr="00A31571">
        <w:t>The methods for our industry are [an] appropriate attempt to balance the administrative workload and accuracy</w:t>
      </w:r>
      <w:r w:rsidR="00AB4C9E">
        <w:t>.</w:t>
      </w:r>
      <w:r w:rsidRPr="00A31571">
        <w:t xml:space="preserve"> </w:t>
      </w:r>
    </w:p>
    <w:p w14:paraId="49FDE046" w14:textId="77777777" w:rsidR="00AF3AB3" w:rsidRDefault="00AF3AB3" w:rsidP="008A2660">
      <w:pPr>
        <w:pStyle w:val="CCAquotesource"/>
      </w:pPr>
      <w:r>
        <w:t>The Cement Industry Federation</w:t>
      </w:r>
      <w:r w:rsidR="0005204D">
        <w:t>, submission on this review</w:t>
      </w:r>
      <w:r w:rsidR="00625697">
        <w:t xml:space="preserve"> (p</w:t>
      </w:r>
      <w:r w:rsidR="00190737">
        <w:t>.</w:t>
      </w:r>
      <w:r w:rsidR="00625697">
        <w:t xml:space="preserve"> 4)</w:t>
      </w:r>
    </w:p>
    <w:p w14:paraId="2B91B46C" w14:textId="77777777" w:rsidR="00A3536E" w:rsidRDefault="00686000" w:rsidP="00C813C5">
      <w:pPr>
        <w:pStyle w:val="CCAHeading2"/>
      </w:pPr>
      <w:bookmarkStart w:id="462" w:name="_Toc528258319"/>
      <w:bookmarkStart w:id="463" w:name="_Toc528258392"/>
      <w:bookmarkStart w:id="464" w:name="_Toc528770229"/>
      <w:bookmarkStart w:id="465" w:name="_Toc529183864"/>
      <w:bookmarkStart w:id="466" w:name="_Toc529187676"/>
      <w:bookmarkStart w:id="467" w:name="_Toc529188102"/>
      <w:bookmarkStart w:id="468" w:name="_Toc529377752"/>
      <w:bookmarkStart w:id="469" w:name="_Toc529389692"/>
      <w:bookmarkStart w:id="470" w:name="_Toc531095568"/>
      <w:bookmarkStart w:id="471" w:name="_Toc531099334"/>
      <w:bookmarkStart w:id="472" w:name="_Toc531101743"/>
      <w:bookmarkStart w:id="473" w:name="_Toc531764010"/>
      <w:bookmarkStart w:id="474" w:name="_Toc532912102"/>
      <w:bookmarkStart w:id="475" w:name="_Toc532914944"/>
      <w:bookmarkEnd w:id="462"/>
      <w:bookmarkEnd w:id="463"/>
      <w:r>
        <w:t>E</w:t>
      </w:r>
      <w:r w:rsidR="00136C6C">
        <w:t xml:space="preserve">ssential for </w:t>
      </w:r>
      <w:r w:rsidR="00A3536E">
        <w:t>meet</w:t>
      </w:r>
      <w:r w:rsidR="00136C6C">
        <w:t>ing</w:t>
      </w:r>
      <w:r w:rsidR="00A3536E">
        <w:t xml:space="preserve"> Australia’s international reporting obligations</w:t>
      </w:r>
      <w:bookmarkEnd w:id="464"/>
      <w:bookmarkEnd w:id="465"/>
      <w:bookmarkEnd w:id="466"/>
      <w:bookmarkEnd w:id="467"/>
      <w:bookmarkEnd w:id="468"/>
      <w:bookmarkEnd w:id="469"/>
      <w:bookmarkEnd w:id="470"/>
      <w:bookmarkEnd w:id="471"/>
      <w:bookmarkEnd w:id="472"/>
      <w:bookmarkEnd w:id="473"/>
      <w:bookmarkEnd w:id="474"/>
      <w:bookmarkEnd w:id="475"/>
    </w:p>
    <w:p w14:paraId="0FC368A8" w14:textId="77777777" w:rsidR="00A3536E" w:rsidRDefault="003F24F1" w:rsidP="00A3536E">
      <w:pPr>
        <w:pStyle w:val="CCABodytext"/>
      </w:pPr>
      <w:r>
        <w:t>As set out below, t</w:t>
      </w:r>
      <w:r w:rsidR="00A3536E" w:rsidRPr="00362B76">
        <w:t>he Authority found the reporting scheme plays an essential role in Australia meeting its international reporting obligations</w:t>
      </w:r>
      <w:r w:rsidR="00B94FE8">
        <w:t xml:space="preserve"> on greenhouse gas emissions and energy</w:t>
      </w:r>
      <w:r w:rsidR="00A3536E" w:rsidRPr="00362B76">
        <w:t>.</w:t>
      </w:r>
      <w:r w:rsidR="00A3536E">
        <w:t xml:space="preserve"> </w:t>
      </w:r>
      <w:r w:rsidR="000C349D">
        <w:t>T</w:t>
      </w:r>
      <w:r w:rsidR="00A3536E">
        <w:t>he importance of emissions data in informing Australia’s emissions inventory and tracking progress against emissions reduction commitments</w:t>
      </w:r>
      <w:r w:rsidR="000C349D">
        <w:t xml:space="preserve"> was widely recognised by industry</w:t>
      </w:r>
      <w:r w:rsidR="00C34976">
        <w:t xml:space="preserve">, whereas there was less understanding of the importance of the energy data. </w:t>
      </w:r>
    </w:p>
    <w:p w14:paraId="5692AB34" w14:textId="77777777" w:rsidR="00A3536E" w:rsidRPr="00B777FB" w:rsidRDefault="00A3536E" w:rsidP="00C813C5">
      <w:pPr>
        <w:pStyle w:val="CCAHeading3"/>
      </w:pPr>
      <w:r w:rsidRPr="00B777FB">
        <w:t>Australia’s international reporting on emissions to the United Nations Framework Convention on Climate Change</w:t>
      </w:r>
    </w:p>
    <w:p w14:paraId="53BED03E" w14:textId="77777777" w:rsidR="00A10437" w:rsidRDefault="00A3536E" w:rsidP="00A3536E">
      <w:pPr>
        <w:pStyle w:val="CCABodytext"/>
      </w:pPr>
      <w:r>
        <w:t>Australia is required to submit an inventory of greenhouse gas emissions to the United Nations Framework Convention on Climate Change each year. This is used to track Australia’s progress against its emission</w:t>
      </w:r>
      <w:r w:rsidR="00DD4FD4">
        <w:t>s</w:t>
      </w:r>
      <w:r>
        <w:t xml:space="preserve"> reduction commitments. The emissions </w:t>
      </w:r>
      <w:r w:rsidR="003D130F">
        <w:t xml:space="preserve">and energy </w:t>
      </w:r>
      <w:r>
        <w:t xml:space="preserve">data collected under the reporting scheme is </w:t>
      </w:r>
      <w:r w:rsidR="003D130F">
        <w:t xml:space="preserve">one of </w:t>
      </w:r>
      <w:r>
        <w:t>the principal data source</w:t>
      </w:r>
      <w:r w:rsidR="003D130F">
        <w:t>s</w:t>
      </w:r>
      <w:r>
        <w:t xml:space="preserve"> for developing Australia’s </w:t>
      </w:r>
      <w:r w:rsidR="00781F8B">
        <w:t xml:space="preserve">national </w:t>
      </w:r>
      <w:r>
        <w:t>inventory</w:t>
      </w:r>
      <w:r w:rsidR="00C10262">
        <w:t xml:space="preserve"> report</w:t>
      </w:r>
      <w:r>
        <w:t xml:space="preserve">. The </w:t>
      </w:r>
      <w:r w:rsidR="0005204D">
        <w:t>G</w:t>
      </w:r>
      <w:r>
        <w:t>overnment describes the National Greenhouse and Energy Reporting scheme as ‘one of the most critical assets in the preparation of the inventory’ (</w:t>
      </w:r>
      <w:r w:rsidR="00A90DCB">
        <w:t xml:space="preserve">Commonwealth of Australia </w:t>
      </w:r>
      <w:r>
        <w:t>2018</w:t>
      </w:r>
      <w:r w:rsidR="00A90DCB">
        <w:t>b</w:t>
      </w:r>
      <w:r>
        <w:t xml:space="preserve">). </w:t>
      </w:r>
    </w:p>
    <w:p w14:paraId="5A47B902" w14:textId="77777777" w:rsidR="00A3536E" w:rsidRDefault="00A3536E" w:rsidP="00A3536E">
      <w:pPr>
        <w:pStyle w:val="CCABodytext"/>
      </w:pPr>
      <w:r>
        <w:t xml:space="preserve">Data collected under the scheme informs the inventory directly and indirectly </w:t>
      </w:r>
      <w:r w:rsidR="009E29F0">
        <w:t>except for the agriculture and land</w:t>
      </w:r>
      <w:r w:rsidR="00BB3AA0">
        <w:t xml:space="preserve"> </w:t>
      </w:r>
      <w:r>
        <w:t>categories (</w:t>
      </w:r>
      <w:r w:rsidR="0086475F">
        <w:fldChar w:fldCharType="begin"/>
      </w:r>
      <w:r w:rsidR="0086475F">
        <w:instrText xml:space="preserve"> REF _Ref529391419 \r \h </w:instrText>
      </w:r>
      <w:r w:rsidR="0086475F">
        <w:fldChar w:fldCharType="separate"/>
      </w:r>
      <w:r w:rsidR="009A203A">
        <w:t>Figure 9</w:t>
      </w:r>
      <w:r w:rsidR="0086475F">
        <w:fldChar w:fldCharType="end"/>
      </w:r>
      <w:r>
        <w:t xml:space="preserve">). The energy data in Australian Energy Statistics (which is primarily based on the reporting data) is also used to calculate Australia’s greenhouse gas emissions from energy and transport sources. </w:t>
      </w:r>
    </w:p>
    <w:p w14:paraId="0C915D71" w14:textId="77777777" w:rsidR="00A3536E" w:rsidRDefault="00A3536E" w:rsidP="00532BE2">
      <w:pPr>
        <w:pStyle w:val="CCAFigureHeader"/>
      </w:pPr>
      <w:bookmarkStart w:id="476" w:name="_Ref529391419"/>
      <w:bookmarkStart w:id="477" w:name="_Toc531095529"/>
      <w:bookmarkStart w:id="478" w:name="_Toc531099295"/>
      <w:bookmarkStart w:id="479" w:name="_Toc531101704"/>
      <w:bookmarkStart w:id="480" w:name="_Toc531764137"/>
      <w:bookmarkStart w:id="481" w:name="_Toc532912062"/>
      <w:bookmarkStart w:id="482" w:name="_Toc532914031"/>
      <w:r>
        <w:lastRenderedPageBreak/>
        <w:t>Emission</w:t>
      </w:r>
      <w:r w:rsidR="00DD4FD4">
        <w:t>s</w:t>
      </w:r>
      <w:r>
        <w:t xml:space="preserve"> source categories in the National Greenhouse Gas Inventory informed by data from the reporting scheme</w:t>
      </w:r>
      <w:bookmarkEnd w:id="476"/>
      <w:bookmarkEnd w:id="477"/>
      <w:bookmarkEnd w:id="478"/>
      <w:bookmarkEnd w:id="479"/>
      <w:bookmarkEnd w:id="480"/>
      <w:bookmarkEnd w:id="481"/>
      <w:bookmarkEnd w:id="482"/>
    </w:p>
    <w:p w14:paraId="3602D8A4" w14:textId="4D74F313" w:rsidR="009D06BE" w:rsidRDefault="009D06BE" w:rsidP="00EE6FF9">
      <w:pPr>
        <w:pStyle w:val="CCAFigure"/>
      </w:pPr>
      <w:r>
        <w:drawing>
          <wp:inline distT="0" distB="0" distL="0" distR="0" wp14:anchorId="1A9DEC7B" wp14:editId="635CA234">
            <wp:extent cx="6115050" cy="1457325"/>
            <wp:effectExtent l="0" t="0" r="0" b="9525"/>
            <wp:docPr id="15" name="Picture 15" descr="Figure 9 is a schematic, which shows the emissions source categories in the National Greenhouse Gas Inventory informed by data from the reporting scheme are fuel combustion and fugitive emissions for the energy sector including transport, industrial processes and product use and waste." title="Emissions source categories in the National Greenhouse Gas Inventory informed by data from the report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5050" cy="1457325"/>
                    </a:xfrm>
                    <a:prstGeom prst="rect">
                      <a:avLst/>
                    </a:prstGeom>
                  </pic:spPr>
                </pic:pic>
              </a:graphicData>
            </a:graphic>
          </wp:inline>
        </w:drawing>
      </w:r>
    </w:p>
    <w:p w14:paraId="6C0F8207" w14:textId="0A2720CF" w:rsidR="00A3536E" w:rsidRDefault="00781F8B" w:rsidP="00FD4372">
      <w:pPr>
        <w:pStyle w:val="CCANotesource"/>
        <w:pBdr>
          <w:top w:val="dotted" w:sz="4" w:space="2" w:color="309CC8" w:themeColor="accent1"/>
        </w:pBdr>
        <w:spacing w:before="240"/>
      </w:pPr>
      <w:r>
        <w:rPr>
          <w:b/>
        </w:rPr>
        <w:t xml:space="preserve">Note: </w:t>
      </w:r>
      <w:r w:rsidR="00F740A8">
        <w:t>O</w:t>
      </w:r>
      <w:r w:rsidRPr="00D717A1">
        <w:t xml:space="preserve">ther </w:t>
      </w:r>
      <w:r w:rsidR="00F740A8">
        <w:t xml:space="preserve">information </w:t>
      </w:r>
      <w:r w:rsidRPr="00D717A1">
        <w:t xml:space="preserve">sources also </w:t>
      </w:r>
      <w:r w:rsidR="00F740A8">
        <w:t>inform emissions</w:t>
      </w:r>
      <w:r w:rsidR="009B51E8">
        <w:t xml:space="preserve"> estimates</w:t>
      </w:r>
      <w:r w:rsidR="00F740A8">
        <w:t xml:space="preserve"> in </w:t>
      </w:r>
      <w:r w:rsidRPr="00D717A1">
        <w:t>each sector</w:t>
      </w:r>
      <w:r w:rsidR="007078D2">
        <w:t>.</w:t>
      </w:r>
      <w:r w:rsidR="00B94FE8">
        <w:rPr>
          <w:b/>
        </w:rPr>
        <w:br/>
      </w:r>
      <w:r w:rsidR="00A3536E" w:rsidRPr="00696318">
        <w:rPr>
          <w:b/>
        </w:rPr>
        <w:t>Source</w:t>
      </w:r>
      <w:r w:rsidR="00A3536E">
        <w:t>: C</w:t>
      </w:r>
      <w:r w:rsidR="00DD3116">
        <w:t>limate Change Authority,</w:t>
      </w:r>
      <w:r w:rsidR="00A3536E">
        <w:t xml:space="preserve"> based on </w:t>
      </w:r>
      <w:r>
        <w:t>Figure 1.1 in</w:t>
      </w:r>
      <w:r w:rsidR="00A3536E">
        <w:t xml:space="preserve"> </w:t>
      </w:r>
      <w:r w:rsidR="00A90DCB">
        <w:t xml:space="preserve">Commonwealth of Australia </w:t>
      </w:r>
      <w:r w:rsidR="00A3536E" w:rsidRPr="00B15B2C">
        <w:t>2018</w:t>
      </w:r>
      <w:r w:rsidR="00A90DCB">
        <w:t>b</w:t>
      </w:r>
    </w:p>
    <w:p w14:paraId="29FC349D" w14:textId="77777777" w:rsidR="00A3536E" w:rsidRPr="002F0F5C" w:rsidRDefault="00A3536E" w:rsidP="00A3536E">
      <w:pPr>
        <w:pStyle w:val="CCABodytext"/>
      </w:pPr>
      <w:r w:rsidRPr="00CC51A9">
        <w:t xml:space="preserve">Many of the features of the reporting scheme are in place to </w:t>
      </w:r>
      <w:r w:rsidR="00C10262">
        <w:t>support</w:t>
      </w:r>
      <w:r w:rsidR="00C10262" w:rsidRPr="00CC51A9">
        <w:t xml:space="preserve"> </w:t>
      </w:r>
      <w:r w:rsidRPr="00CC51A9">
        <w:t>international reporting. For example</w:t>
      </w:r>
      <w:r>
        <w:t>,</w:t>
      </w:r>
      <w:r w:rsidRPr="00CC51A9">
        <w:t xml:space="preserve"> the gases covered, emission</w:t>
      </w:r>
      <w:r w:rsidR="00DD4FD4">
        <w:t>s</w:t>
      </w:r>
      <w:r w:rsidRPr="00CC51A9">
        <w:t xml:space="preserve"> source categories and emission</w:t>
      </w:r>
      <w:r w:rsidR="00DD4FD4">
        <w:t>s</w:t>
      </w:r>
      <w:r w:rsidRPr="00CC51A9">
        <w:t xml:space="preserve"> estimation methods used in the reporting scheme are </w:t>
      </w:r>
      <w:r w:rsidRPr="00B94FE8">
        <w:t xml:space="preserve">consistent with international rules. </w:t>
      </w:r>
    </w:p>
    <w:p w14:paraId="4B7B3E6E" w14:textId="6E6047F1" w:rsidR="00B94FE8" w:rsidRDefault="00B94FE8" w:rsidP="00A3536E">
      <w:pPr>
        <w:pStyle w:val="CCABodytext"/>
      </w:pPr>
      <w:r w:rsidRPr="00D717A1">
        <w:t xml:space="preserve">An international expert review in 2017 found </w:t>
      </w:r>
      <w:r w:rsidR="002B2CC2">
        <w:t>the system</w:t>
      </w:r>
      <w:r w:rsidR="007D3F73">
        <w:t>s</w:t>
      </w:r>
      <w:r w:rsidR="002B2CC2">
        <w:t xml:space="preserve"> supporting the delivery of Australia’s national inventory, of which the reporting </w:t>
      </w:r>
      <w:r w:rsidR="00DD3116">
        <w:t>scheme</w:t>
      </w:r>
      <w:r w:rsidR="002B2CC2">
        <w:t xml:space="preserve"> is a significant part, </w:t>
      </w:r>
      <w:r w:rsidR="00652606">
        <w:t>are</w:t>
      </w:r>
      <w:r w:rsidR="002B2CC2">
        <w:t xml:space="preserve"> working well</w:t>
      </w:r>
      <w:r w:rsidR="00CA6DEC">
        <w:t>—</w:t>
      </w:r>
      <w:r w:rsidRPr="00D717A1" w:rsidDel="00773CA8">
        <w:t>pr</w:t>
      </w:r>
      <w:r w:rsidRPr="00D717A1">
        <w:t xml:space="preserve">oviding further evidence the reporting scheme is </w:t>
      </w:r>
      <w:r w:rsidR="002B2CC2">
        <w:t>meeting this objective</w:t>
      </w:r>
      <w:r w:rsidRPr="00D717A1">
        <w:t xml:space="preserve"> (</w:t>
      </w:r>
      <w:r w:rsidR="00652606">
        <w:t>UNFCCC Compliance Committee 2018</w:t>
      </w:r>
      <w:r w:rsidRPr="00D717A1">
        <w:t>).</w:t>
      </w:r>
    </w:p>
    <w:p w14:paraId="5216E22B" w14:textId="77777777" w:rsidR="002C070D" w:rsidRPr="004D16A5" w:rsidRDefault="0057312B" w:rsidP="00C813C5">
      <w:pPr>
        <w:pStyle w:val="CCAHeading3"/>
      </w:pPr>
      <w:bookmarkStart w:id="483" w:name="_Ref529392657"/>
      <w:r>
        <w:t>R</w:t>
      </w:r>
      <w:r w:rsidR="00A3536E">
        <w:t xml:space="preserve">eporting energy </w:t>
      </w:r>
      <w:r>
        <w:t xml:space="preserve">data </w:t>
      </w:r>
      <w:r w:rsidR="00A3536E">
        <w:t>to the International Energy Agency and other international for</w:t>
      </w:r>
      <w:r w:rsidR="00272B84">
        <w:t>a</w:t>
      </w:r>
      <w:bookmarkEnd w:id="483"/>
    </w:p>
    <w:p w14:paraId="52EF6E27" w14:textId="77777777" w:rsidR="0043531B" w:rsidRPr="00D717A1" w:rsidRDefault="00A3536E" w:rsidP="00D717A1">
      <w:pPr>
        <w:pStyle w:val="CCABodytext"/>
      </w:pPr>
      <w:r w:rsidRPr="002F0F5C">
        <w:t xml:space="preserve">Australia is required to provide statistics on energy production and consumption to the International Energy Agency each year. </w:t>
      </w:r>
      <w:r w:rsidR="005F7B7A" w:rsidRPr="00D717A1">
        <w:t xml:space="preserve">These official statistics </w:t>
      </w:r>
      <w:r w:rsidR="002D773D">
        <w:t>are the Australian Energy Statistics</w:t>
      </w:r>
      <w:r w:rsidR="00136C6C">
        <w:t xml:space="preserve">, which </w:t>
      </w:r>
      <w:r w:rsidR="005F7B7A" w:rsidRPr="00D717A1">
        <w:t xml:space="preserve">estimate Australia’s energy supply and use across all types of energy and across all parts of the economy, by state and territory. The statistics are compiled using an internationally agreed framework, enabling </w:t>
      </w:r>
      <w:r w:rsidR="00B117EE" w:rsidRPr="00D717A1">
        <w:t xml:space="preserve">the </w:t>
      </w:r>
      <w:r w:rsidR="005F7B7A" w:rsidRPr="00D717A1">
        <w:t>compar</w:t>
      </w:r>
      <w:r w:rsidR="00B117EE" w:rsidRPr="00D717A1">
        <w:t>ison of</w:t>
      </w:r>
      <w:r w:rsidR="005F7B7A" w:rsidRPr="00D717A1">
        <w:t xml:space="preserve"> Australia with other countries.</w:t>
      </w:r>
      <w:r w:rsidR="00170372" w:rsidRPr="00170372">
        <w:t xml:space="preserve"> </w:t>
      </w:r>
      <w:r w:rsidR="00170372" w:rsidRPr="00D717A1">
        <w:t>The framework includes reporting primary and secondary energy production and consumption, and reporting energy consumption for different activities such as for electricity generation, transport, other stationary energy, and for non-combustion purposes such as lubricants</w:t>
      </w:r>
      <w:r w:rsidR="003C2E03">
        <w:t>.</w:t>
      </w:r>
    </w:p>
    <w:p w14:paraId="4661A28A" w14:textId="77777777" w:rsidR="00A3536E" w:rsidRPr="002F0F5C" w:rsidRDefault="00947C15" w:rsidP="002F0F5C">
      <w:pPr>
        <w:pStyle w:val="CCABodytext"/>
      </w:pPr>
      <w:r>
        <w:t>T</w:t>
      </w:r>
      <w:r w:rsidR="00A3536E" w:rsidRPr="004512E4">
        <w:t xml:space="preserve">he </w:t>
      </w:r>
      <w:r w:rsidR="00A3536E" w:rsidRPr="00CF3F86">
        <w:t>Department of the Environment and Energy produces the Australian Energy Statistics. The reporting scheme is the primary data source used to produce the</w:t>
      </w:r>
      <w:r w:rsidR="0043531B" w:rsidRPr="00CF3F86">
        <w:t>se s</w:t>
      </w:r>
      <w:r w:rsidR="00A3536E" w:rsidRPr="00CF3F86">
        <w:t xml:space="preserve">tatistics, </w:t>
      </w:r>
      <w:r w:rsidR="0043531B" w:rsidRPr="00CF3F86">
        <w:t xml:space="preserve">as it </w:t>
      </w:r>
      <w:r w:rsidR="00A3536E" w:rsidRPr="00CF3F86">
        <w:t>cover</w:t>
      </w:r>
      <w:r w:rsidR="0043531B" w:rsidRPr="00CF3F86">
        <w:t>s</w:t>
      </w:r>
      <w:r w:rsidR="00A3536E" w:rsidRPr="00CF3F86">
        <w:t xml:space="preserve"> </w:t>
      </w:r>
      <w:r w:rsidR="00272B84">
        <w:t>most</w:t>
      </w:r>
      <w:r w:rsidR="00A3536E" w:rsidRPr="00CF3F86">
        <w:t xml:space="preserve"> of </w:t>
      </w:r>
      <w:r w:rsidR="0043531B" w:rsidRPr="00CF3F86">
        <w:t xml:space="preserve">Australia’s </w:t>
      </w:r>
      <w:r w:rsidR="00A3536E" w:rsidRPr="00CF3F86">
        <w:t xml:space="preserve">energy production and </w:t>
      </w:r>
      <w:r w:rsidR="00272B84">
        <w:t>use</w:t>
      </w:r>
      <w:r w:rsidR="00A3536E" w:rsidRPr="00CF3F86">
        <w:t>. Prior to the establishment of the mandatory reporting scheme, the Australian Energy Statistics relied on a voluntary annual survey. The data gathered</w:t>
      </w:r>
      <w:r w:rsidR="00A3536E" w:rsidRPr="004512E4">
        <w:t xml:space="preserve"> through the mandatory reporting scheme </w:t>
      </w:r>
      <w:r w:rsidR="00A3536E" w:rsidRPr="004512E4">
        <w:lastRenderedPageBreak/>
        <w:t>has led to improved energy reporting</w:t>
      </w:r>
      <w:r w:rsidR="00A3536E">
        <w:t xml:space="preserve"> through an increase in the number of reports and greater detail in energy use information</w:t>
      </w:r>
      <w:r w:rsidR="007078D2">
        <w:t xml:space="preserve"> (</w:t>
      </w:r>
      <w:r w:rsidR="00A90DCB">
        <w:t xml:space="preserve">Che et al. </w:t>
      </w:r>
      <w:r w:rsidR="007078D2">
        <w:t>2013</w:t>
      </w:r>
      <w:r w:rsidR="00A90DCB">
        <w:t>)</w:t>
      </w:r>
      <w:r w:rsidR="00990FCB">
        <w:t>.</w:t>
      </w:r>
    </w:p>
    <w:p w14:paraId="2AA54FD7" w14:textId="77777777" w:rsidR="009B51E8" w:rsidRDefault="009B51E8" w:rsidP="009B51E8">
      <w:pPr>
        <w:pStyle w:val="CCABodytext"/>
      </w:pPr>
      <w:r w:rsidRPr="002F0F5C">
        <w:t>As well as reporting to the International Energy Agency, Australia supplies energy dat</w:t>
      </w:r>
      <w:r w:rsidRPr="005064A3">
        <w:t>a to a number of other international energy for</w:t>
      </w:r>
      <w:r w:rsidR="00272B84">
        <w:t>a</w:t>
      </w:r>
      <w:r w:rsidRPr="005064A3">
        <w:t xml:space="preserve">. These include the </w:t>
      </w:r>
      <w:r w:rsidRPr="00170372">
        <w:t xml:space="preserve">International Renewable Energy Agency and </w:t>
      </w:r>
      <w:r w:rsidRPr="007078D2">
        <w:t xml:space="preserve">Asia Pacific Economic Cooperation </w:t>
      </w:r>
      <w:r w:rsidRPr="00170372">
        <w:t>Energy Working Group</w:t>
      </w:r>
      <w:r w:rsidRPr="00C83835">
        <w:t xml:space="preserve"> (DoEE n.d.</w:t>
      </w:r>
      <w:r>
        <w:t>b</w:t>
      </w:r>
      <w:r w:rsidRPr="00C83835">
        <w:t>).</w:t>
      </w:r>
      <w:r w:rsidRPr="00C83835">
        <w:rPr>
          <w:rStyle w:val="FootnoteReference"/>
        </w:rPr>
        <w:footnoteReference w:id="14"/>
      </w:r>
      <w:r w:rsidRPr="00C83835">
        <w:t xml:space="preserve"> The Australian Energy Statistics </w:t>
      </w:r>
      <w:r>
        <w:t>underpin</w:t>
      </w:r>
      <w:r w:rsidRPr="00C83835">
        <w:t xml:space="preserve"> reporting to these other for</w:t>
      </w:r>
      <w:r w:rsidR="00272B84">
        <w:t>a</w:t>
      </w:r>
      <w:r w:rsidRPr="00C83835">
        <w:t>.</w:t>
      </w:r>
    </w:p>
    <w:p w14:paraId="22F4BE6E" w14:textId="77777777" w:rsidR="0005204D" w:rsidRDefault="0043531B" w:rsidP="00D717A1">
      <w:pPr>
        <w:pStyle w:val="CCABodytext"/>
      </w:pPr>
      <w:r w:rsidRPr="00D717A1">
        <w:t xml:space="preserve">The </w:t>
      </w:r>
      <w:r w:rsidR="00D92E9F">
        <w:t>Authority’s research found the</w:t>
      </w:r>
      <w:r w:rsidRPr="00D717A1">
        <w:t xml:space="preserve"> Australian Energy Statistics are widely used by all levels of government, industry, researchers and </w:t>
      </w:r>
      <w:r w:rsidR="0031448B" w:rsidRPr="00D717A1">
        <w:t>commentators</w:t>
      </w:r>
      <w:r w:rsidRPr="00D717A1">
        <w:t xml:space="preserve"> in addition to meeting international energy and emissions reporting requirements.</w:t>
      </w:r>
      <w:r w:rsidRPr="002F0F5C">
        <w:t xml:space="preserve"> </w:t>
      </w:r>
    </w:p>
    <w:p w14:paraId="223A34D7" w14:textId="77777777" w:rsidR="00A3536E" w:rsidRDefault="00A3536E" w:rsidP="00C813C5">
      <w:pPr>
        <w:pStyle w:val="CCAHeading2"/>
      </w:pPr>
      <w:bookmarkStart w:id="484" w:name="_Toc528770230"/>
      <w:bookmarkStart w:id="485" w:name="_Toc529183865"/>
      <w:bookmarkStart w:id="486" w:name="_Toc529187677"/>
      <w:bookmarkStart w:id="487" w:name="_Toc529188103"/>
      <w:bookmarkStart w:id="488" w:name="_Toc529377753"/>
      <w:bookmarkStart w:id="489" w:name="_Toc529389693"/>
      <w:bookmarkStart w:id="490" w:name="_Toc531095569"/>
      <w:bookmarkStart w:id="491" w:name="_Toc531099335"/>
      <w:bookmarkStart w:id="492" w:name="_Toc531101744"/>
      <w:bookmarkStart w:id="493" w:name="_Toc531764011"/>
      <w:bookmarkStart w:id="494" w:name="_Toc532912103"/>
      <w:bookmarkStart w:id="495" w:name="_Toc532914945"/>
      <w:r>
        <w:t>Inform</w:t>
      </w:r>
      <w:r w:rsidR="002F0F5C">
        <w:t>s</w:t>
      </w:r>
      <w:r>
        <w:t xml:space="preserve"> government policies, programs and activities</w:t>
      </w:r>
      <w:bookmarkEnd w:id="484"/>
      <w:bookmarkEnd w:id="485"/>
      <w:bookmarkEnd w:id="486"/>
      <w:bookmarkEnd w:id="487"/>
      <w:bookmarkEnd w:id="488"/>
      <w:bookmarkEnd w:id="489"/>
      <w:bookmarkEnd w:id="490"/>
      <w:bookmarkEnd w:id="491"/>
      <w:bookmarkEnd w:id="492"/>
      <w:bookmarkEnd w:id="493"/>
      <w:bookmarkEnd w:id="494"/>
      <w:bookmarkEnd w:id="495"/>
    </w:p>
    <w:p w14:paraId="2E09DC65" w14:textId="390044C8" w:rsidR="00A3536E" w:rsidRPr="00B868C0" w:rsidRDefault="00A3536E" w:rsidP="00A3536E">
      <w:pPr>
        <w:pStyle w:val="CCABodytext"/>
      </w:pPr>
      <w:r>
        <w:t xml:space="preserve">The Australian and state and territory governments have access to data reported under the </w:t>
      </w:r>
      <w:r w:rsidR="00DD3116">
        <w:t>r</w:t>
      </w:r>
      <w:r>
        <w:t>eporting scheme</w:t>
      </w:r>
      <w:r w:rsidR="00A10437">
        <w:t xml:space="preserve"> relevant to their jurisdiction</w:t>
      </w:r>
      <w:r>
        <w:t>, subject to requirements for data protection and confidentiality.</w:t>
      </w:r>
      <w:r w:rsidR="00D60C68">
        <w:t xml:space="preserve"> Th</w:t>
      </w:r>
      <w:r w:rsidR="003B0391">
        <w:t xml:space="preserve">e Authority found this </w:t>
      </w:r>
      <w:r w:rsidR="006F45EB">
        <w:t xml:space="preserve">access </w:t>
      </w:r>
      <w:r w:rsidR="00704292">
        <w:t>i</w:t>
      </w:r>
      <w:r w:rsidR="003B0391">
        <w:t xml:space="preserve">s critical for </w:t>
      </w:r>
      <w:r w:rsidR="00D60C68">
        <w:t>minimis</w:t>
      </w:r>
      <w:r w:rsidR="003B0391">
        <w:t>ing</w:t>
      </w:r>
      <w:r w:rsidR="00D60C68">
        <w:t xml:space="preserve"> duplication </w:t>
      </w:r>
      <w:r w:rsidR="003B0391">
        <w:t xml:space="preserve">by </w:t>
      </w:r>
      <w:r w:rsidR="00D60C68">
        <w:t xml:space="preserve">governments in collecting </w:t>
      </w:r>
      <w:r w:rsidR="003F24F1">
        <w:t>energy and emissions</w:t>
      </w:r>
      <w:r w:rsidR="00D60C68">
        <w:t xml:space="preserve"> data and for c</w:t>
      </w:r>
      <w:r w:rsidR="00E76E72">
        <w:t>ompanies in reporting the data</w:t>
      </w:r>
      <w:r w:rsidR="00D60C68">
        <w:t xml:space="preserve">. </w:t>
      </w:r>
      <w:r>
        <w:t xml:space="preserve">The </w:t>
      </w:r>
      <w:r w:rsidR="001F6F52">
        <w:t>Authority heard the</w:t>
      </w:r>
      <w:r>
        <w:t xml:space="preserve"> ability for state and territory governments to access data has improved over time as information sharing agreements and systems have been established.</w:t>
      </w:r>
    </w:p>
    <w:p w14:paraId="4B58E2B0" w14:textId="50EB739A" w:rsidR="00A3536E" w:rsidRDefault="006F45EB" w:rsidP="00A3536E">
      <w:pPr>
        <w:pStyle w:val="CCABodytext"/>
      </w:pPr>
      <w:r>
        <w:t>T</w:t>
      </w:r>
      <w:r w:rsidR="00A3536E">
        <w:t xml:space="preserve">he </w:t>
      </w:r>
      <w:r w:rsidR="003B0391">
        <w:t xml:space="preserve">Authority’s research </w:t>
      </w:r>
      <w:r w:rsidR="003F24F1">
        <w:t>found</w:t>
      </w:r>
      <w:r w:rsidR="003B0391">
        <w:t xml:space="preserve"> </w:t>
      </w:r>
      <w:r w:rsidR="00A3536E">
        <w:t xml:space="preserve">data </w:t>
      </w:r>
      <w:r w:rsidR="003F24F1">
        <w:t xml:space="preserve">collected under the </w:t>
      </w:r>
      <w:r w:rsidR="00DD3116">
        <w:t xml:space="preserve">reporting </w:t>
      </w:r>
      <w:r w:rsidR="003F24F1">
        <w:t>scheme is</w:t>
      </w:r>
      <w:r w:rsidR="00A3536E">
        <w:t xml:space="preserve"> used to inform a broad range of energy and emissions policies, programs and activities at both the </w:t>
      </w:r>
      <w:r w:rsidR="00746A82">
        <w:t>Australian</w:t>
      </w:r>
      <w:r w:rsidR="00A3536E">
        <w:t xml:space="preserve"> and state and territory level</w:t>
      </w:r>
      <w:r w:rsidR="00894D6E">
        <w:t>s</w:t>
      </w:r>
      <w:r w:rsidR="00A3536E">
        <w:t xml:space="preserve">. </w:t>
      </w:r>
    </w:p>
    <w:p w14:paraId="2BFD452B" w14:textId="0CA8DD57" w:rsidR="00C6512B" w:rsidRPr="005064A3" w:rsidRDefault="003B0391" w:rsidP="002F0F5C">
      <w:pPr>
        <w:pStyle w:val="CCABodytext"/>
      </w:pPr>
      <w:r>
        <w:t xml:space="preserve">The Authority’s analysis indicates </w:t>
      </w:r>
      <w:r w:rsidRPr="00CD347A">
        <w:t>that</w:t>
      </w:r>
      <w:r>
        <w:t xml:space="preserve"> data</w:t>
      </w:r>
      <w:r w:rsidR="00A3536E">
        <w:t xml:space="preserve"> reported under the </w:t>
      </w:r>
      <w:r w:rsidR="00DD3116">
        <w:t>r</w:t>
      </w:r>
      <w:r w:rsidR="00A3536E">
        <w:t>eporting scheme is integral to the development and implementation of Australian Government emissions and energy policies</w:t>
      </w:r>
      <w:r w:rsidR="0039573F" w:rsidRPr="005064A3">
        <w:t xml:space="preserve"> (</w:t>
      </w:r>
      <w:r w:rsidR="0039573F">
        <w:fldChar w:fldCharType="begin"/>
      </w:r>
      <w:r w:rsidR="0039573F">
        <w:instrText xml:space="preserve"> REF _Ref531614660 \r \h </w:instrText>
      </w:r>
      <w:r w:rsidR="0039573F">
        <w:fldChar w:fldCharType="separate"/>
      </w:r>
      <w:r w:rsidR="009A203A">
        <w:t>Table 11</w:t>
      </w:r>
      <w:r w:rsidR="0039573F">
        <w:fldChar w:fldCharType="end"/>
      </w:r>
      <w:r w:rsidR="0039573F">
        <w:t xml:space="preserve"> in </w:t>
      </w:r>
      <w:r w:rsidR="0039573F" w:rsidRPr="001C0F95">
        <w:fldChar w:fldCharType="begin"/>
      </w:r>
      <w:r w:rsidR="0039573F" w:rsidRPr="001C0F95">
        <w:instrText xml:space="preserve"> REF _Ref529390854 \r \h </w:instrText>
      </w:r>
      <w:r w:rsidR="0039573F">
        <w:rPr>
          <w:highlight w:val="green"/>
        </w:rPr>
        <w:instrText xml:space="preserve"> \* MERGEFORMAT </w:instrText>
      </w:r>
      <w:r w:rsidR="0039573F" w:rsidRPr="001C0F95">
        <w:fldChar w:fldCharType="separate"/>
      </w:r>
      <w:r w:rsidR="009A203A">
        <w:t>Appendix E</w:t>
      </w:r>
      <w:r w:rsidR="0039573F" w:rsidRPr="001C0F95">
        <w:fldChar w:fldCharType="end"/>
      </w:r>
      <w:r w:rsidR="0039573F" w:rsidRPr="001C0F95">
        <w:t>)</w:t>
      </w:r>
      <w:r w:rsidR="00A3536E">
        <w:t xml:space="preserve">. For example, the emissions data informs </w:t>
      </w:r>
      <w:r w:rsidR="003F24F1">
        <w:t xml:space="preserve">baselines and net emissions positions under </w:t>
      </w:r>
      <w:r w:rsidR="00A3536E">
        <w:t>the safeguard mechanism</w:t>
      </w:r>
      <w:r w:rsidR="000B3964">
        <w:t>;</w:t>
      </w:r>
      <w:r w:rsidR="00D60C68">
        <w:t xml:space="preserve"> and </w:t>
      </w:r>
      <w:r w:rsidR="004F44A8">
        <w:t xml:space="preserve">emissions </w:t>
      </w:r>
      <w:r w:rsidR="002D773D">
        <w:t xml:space="preserve">data and measurement factors inform </w:t>
      </w:r>
      <w:r w:rsidR="00D60C68">
        <w:t>activities under the Emissions Reduction Fund</w:t>
      </w:r>
      <w:r w:rsidR="00A3536E">
        <w:t>. It is also used to develop Australia’s emissions inventories and emissions projections</w:t>
      </w:r>
      <w:r w:rsidR="00FF1192">
        <w:t>,</w:t>
      </w:r>
      <w:r w:rsidR="00A3536E">
        <w:t xml:space="preserve"> which provide context </w:t>
      </w:r>
      <w:r w:rsidR="00A3536E" w:rsidRPr="005064A3">
        <w:t>for emission</w:t>
      </w:r>
      <w:r w:rsidR="00DD4FD4">
        <w:t>s</w:t>
      </w:r>
      <w:r w:rsidR="00A3536E" w:rsidRPr="005064A3">
        <w:t xml:space="preserve"> reduction policies</w:t>
      </w:r>
      <w:r w:rsidR="00A3536E" w:rsidRPr="001C0F95">
        <w:t>.</w:t>
      </w:r>
      <w:r w:rsidR="00A3536E" w:rsidRPr="005064A3">
        <w:t xml:space="preserve"> </w:t>
      </w:r>
    </w:p>
    <w:p w14:paraId="2E53442F" w14:textId="77777777" w:rsidR="00F740A8" w:rsidRDefault="00A03E1D" w:rsidP="00D717A1">
      <w:pPr>
        <w:pStyle w:val="CCABodytext"/>
      </w:pPr>
      <w:r w:rsidRPr="00D717A1">
        <w:t xml:space="preserve">Energy </w:t>
      </w:r>
      <w:r w:rsidR="00F97AF6">
        <w:t>statistics and</w:t>
      </w:r>
      <w:r w:rsidRPr="00D717A1">
        <w:t xml:space="preserve"> modelling developed using the energy data </w:t>
      </w:r>
      <w:r w:rsidR="005064A3" w:rsidRPr="00D717A1">
        <w:t>feeds into polic</w:t>
      </w:r>
      <w:r w:rsidR="002D773D">
        <w:t>ies such as the National Energy Productivity Plan</w:t>
      </w:r>
      <w:r w:rsidR="00894D6E">
        <w:t>,</w:t>
      </w:r>
      <w:r w:rsidR="002D773D">
        <w:t xml:space="preserve"> </w:t>
      </w:r>
      <w:r w:rsidR="00894D6E">
        <w:t>which</w:t>
      </w:r>
      <w:r w:rsidR="002D773D">
        <w:t xml:space="preserve"> </w:t>
      </w:r>
      <w:r w:rsidR="00055EBF">
        <w:t>includes</w:t>
      </w:r>
      <w:r w:rsidR="002D773D">
        <w:t xml:space="preserve"> measures to improve energy productivity by 40 per cent between 2015 and 2030</w:t>
      </w:r>
      <w:r w:rsidR="0055575F">
        <w:t xml:space="preserve"> (</w:t>
      </w:r>
      <w:r w:rsidR="006F45EB">
        <w:fldChar w:fldCharType="begin"/>
      </w:r>
      <w:r w:rsidR="006F45EB">
        <w:instrText xml:space="preserve"> REF _Ref531614660 \r \h </w:instrText>
      </w:r>
      <w:r w:rsidR="006F45EB">
        <w:fldChar w:fldCharType="separate"/>
      </w:r>
      <w:r w:rsidR="009A203A">
        <w:t>Table 11</w:t>
      </w:r>
      <w:r w:rsidR="006F45EB">
        <w:fldChar w:fldCharType="end"/>
      </w:r>
      <w:r w:rsidR="006F45EB">
        <w:t xml:space="preserve"> in </w:t>
      </w:r>
      <w:r w:rsidR="00055EBF">
        <w:fldChar w:fldCharType="begin"/>
      </w:r>
      <w:r w:rsidR="00055EBF">
        <w:instrText xml:space="preserve"> REF _Ref529390854 \r \h </w:instrText>
      </w:r>
      <w:r w:rsidR="00055EBF">
        <w:fldChar w:fldCharType="separate"/>
      </w:r>
      <w:r w:rsidR="009A203A">
        <w:t>Appendix E</w:t>
      </w:r>
      <w:r w:rsidR="00055EBF">
        <w:fldChar w:fldCharType="end"/>
      </w:r>
      <w:r w:rsidR="0055575F">
        <w:t>)</w:t>
      </w:r>
      <w:r w:rsidR="005064A3" w:rsidRPr="00D717A1">
        <w:t>.</w:t>
      </w:r>
      <w:r w:rsidR="005064A3" w:rsidRPr="00D717A1" w:rsidDel="00C6512B">
        <w:t xml:space="preserve"> </w:t>
      </w:r>
    </w:p>
    <w:p w14:paraId="4B6B9671" w14:textId="6A6DA4F5" w:rsidR="00A3536E" w:rsidRPr="00DD3116" w:rsidRDefault="00A3536E" w:rsidP="00DD3116">
      <w:pPr>
        <w:pStyle w:val="CCABodytext"/>
      </w:pPr>
      <w:r w:rsidRPr="00DD3116">
        <w:lastRenderedPageBreak/>
        <w:t xml:space="preserve">Throughout the review, the Authority heard state and territory governments use information reported and published under the legislation to inform their policy development, programs and activities. This includes guiding strategic work and policy positions, informing emissions accounts and risk assessments, tracking large emitters and reporting on state and territory government operations. State and territory government representatives said they found it useful to have a single, consistent framework. </w:t>
      </w:r>
      <w:r w:rsidR="006F45EB" w:rsidRPr="00DD3116">
        <w:fldChar w:fldCharType="begin"/>
      </w:r>
      <w:r w:rsidR="006F45EB" w:rsidRPr="00DD3116">
        <w:instrText xml:space="preserve"> REF _Ref532381536 \r \h </w:instrText>
      </w:r>
      <w:r w:rsidR="00DD3116">
        <w:instrText xml:space="preserve"> \* MERGEFORMAT </w:instrText>
      </w:r>
      <w:r w:rsidR="006F45EB" w:rsidRPr="00DD3116">
        <w:fldChar w:fldCharType="separate"/>
      </w:r>
      <w:r w:rsidR="009A203A">
        <w:t>Table 12</w:t>
      </w:r>
      <w:r w:rsidR="006F45EB" w:rsidRPr="00DD3116">
        <w:fldChar w:fldCharType="end"/>
      </w:r>
      <w:r w:rsidR="00CF77D6" w:rsidRPr="00DD3116">
        <w:t xml:space="preserve"> in </w:t>
      </w:r>
      <w:r w:rsidR="00CF77D6" w:rsidRPr="00DD3116">
        <w:fldChar w:fldCharType="begin"/>
      </w:r>
      <w:r w:rsidR="00CF77D6" w:rsidRPr="00DD3116">
        <w:instrText xml:space="preserve"> REF _Ref529390854 \r \h </w:instrText>
      </w:r>
      <w:r w:rsidR="00DD3116">
        <w:instrText xml:space="preserve"> \* MERGEFORMAT </w:instrText>
      </w:r>
      <w:r w:rsidR="00CF77D6" w:rsidRPr="00DD3116">
        <w:fldChar w:fldCharType="separate"/>
      </w:r>
      <w:r w:rsidR="009A203A">
        <w:t>Appendix E</w:t>
      </w:r>
      <w:r w:rsidR="00CF77D6" w:rsidRPr="00DD3116">
        <w:fldChar w:fldCharType="end"/>
      </w:r>
      <w:r w:rsidRPr="00DD3116">
        <w:t xml:space="preserve"> illustrates some specific examples of data informing state and territory government programs, activities and policy. </w:t>
      </w:r>
    </w:p>
    <w:p w14:paraId="79773EF2" w14:textId="77777777" w:rsidR="00D815F0" w:rsidRDefault="00D815F0" w:rsidP="003A4D92">
      <w:pPr>
        <w:pStyle w:val="CCAquote"/>
      </w:pPr>
      <w:r>
        <w:t>I</w:t>
      </w:r>
      <w:r w:rsidRPr="00EB31FF">
        <w:t>t is highly valuable for Australia to have a single, consistent framework for gathering and di</w:t>
      </w:r>
      <w:r>
        <w:t>sseminating energy</w:t>
      </w:r>
      <w:r w:rsidR="00670203">
        <w:t xml:space="preserve"> and emissions</w:t>
      </w:r>
      <w:r>
        <w:t xml:space="preserve"> info</w:t>
      </w:r>
      <w:r w:rsidR="003A5D26">
        <w:t>rmation.</w:t>
      </w:r>
    </w:p>
    <w:p w14:paraId="6EB6B835" w14:textId="48CC05EA" w:rsidR="001C4916" w:rsidRDefault="00D815F0" w:rsidP="00B15B2C">
      <w:pPr>
        <w:pStyle w:val="CCAquotesource"/>
      </w:pPr>
      <w:r w:rsidRPr="00EB31FF">
        <w:t>A</w:t>
      </w:r>
      <w:r w:rsidR="008E04E4">
        <w:t xml:space="preserve">ustralian </w:t>
      </w:r>
      <w:r w:rsidRPr="00EB31FF">
        <w:t>C</w:t>
      </w:r>
      <w:r w:rsidR="008E04E4">
        <w:t xml:space="preserve">apital </w:t>
      </w:r>
      <w:r w:rsidRPr="00EB31FF">
        <w:t>T</w:t>
      </w:r>
      <w:r w:rsidR="008E04E4">
        <w:t>erritory</w:t>
      </w:r>
      <w:r w:rsidRPr="00EB31FF">
        <w:t xml:space="preserve"> </w:t>
      </w:r>
      <w:r w:rsidRPr="003C2E03">
        <w:t xml:space="preserve">Government, </w:t>
      </w:r>
      <w:r w:rsidR="005A6904" w:rsidRPr="003C2E03">
        <w:t>pers. comm.</w:t>
      </w:r>
      <w:r w:rsidR="005A6904">
        <w:t xml:space="preserve"> </w:t>
      </w:r>
    </w:p>
    <w:p w14:paraId="58261A4E" w14:textId="1E986B9B" w:rsidR="00D815F0" w:rsidRPr="00EB31FF" w:rsidRDefault="001C4916" w:rsidP="00035222">
      <w:pPr>
        <w:pStyle w:val="CCABodytext"/>
      </w:pPr>
      <w:r>
        <w:br w:type="page"/>
      </w:r>
    </w:p>
    <w:p w14:paraId="72C5B17A" w14:textId="13E4536B" w:rsidR="007078D2" w:rsidRDefault="007078D2" w:rsidP="00C813C5">
      <w:pPr>
        <w:pStyle w:val="CCAHeading2"/>
      </w:pPr>
      <w:bookmarkStart w:id="496" w:name="_Toc531764012"/>
      <w:bookmarkStart w:id="497" w:name="_Toc532912104"/>
      <w:bookmarkStart w:id="498" w:name="_Toc532914946"/>
      <w:r>
        <w:lastRenderedPageBreak/>
        <w:t xml:space="preserve">The </w:t>
      </w:r>
      <w:r w:rsidR="00461AB4">
        <w:t>E</w:t>
      </w:r>
      <w:r>
        <w:t xml:space="preserve">missions and </w:t>
      </w:r>
      <w:r w:rsidR="00461AB4">
        <w:t>E</w:t>
      </w:r>
      <w:r>
        <w:t xml:space="preserve">nergy </w:t>
      </w:r>
      <w:r w:rsidR="00461AB4">
        <w:t>R</w:t>
      </w:r>
      <w:r>
        <w:t xml:space="preserve">eporting </w:t>
      </w:r>
      <w:r w:rsidR="00461AB4">
        <w:t>S</w:t>
      </w:r>
      <w:r>
        <w:t>ystem is easy to use and effective</w:t>
      </w:r>
      <w:bookmarkEnd w:id="496"/>
      <w:bookmarkEnd w:id="497"/>
      <w:bookmarkEnd w:id="498"/>
    </w:p>
    <w:p w14:paraId="253688A3" w14:textId="77777777" w:rsidR="007078D2" w:rsidRDefault="007078D2" w:rsidP="007078D2">
      <w:pPr>
        <w:pStyle w:val="CCABodytext"/>
      </w:pPr>
      <w:r>
        <w:rPr>
          <w:i/>
          <w:noProof/>
          <w:lang w:eastAsia="en-AU"/>
        </w:rPr>
        <mc:AlternateContent>
          <mc:Choice Requires="wpi">
            <w:drawing>
              <wp:anchor distT="0" distB="0" distL="114300" distR="114300" simplePos="0" relativeHeight="251653120" behindDoc="0" locked="0" layoutInCell="1" allowOverlap="1" wp14:anchorId="363FF756" wp14:editId="73C78013">
                <wp:simplePos x="0" y="0"/>
                <wp:positionH relativeFrom="column">
                  <wp:posOffset>5647993</wp:posOffset>
                </wp:positionH>
                <wp:positionV relativeFrom="paragraph">
                  <wp:posOffset>742808</wp:posOffset>
                </wp:positionV>
                <wp:extent cx="14400" cy="4860"/>
                <wp:effectExtent l="38100" t="38100" r="43180" b="33655"/>
                <wp:wrapNone/>
                <wp:docPr id="1" name="Ink 1"/>
                <wp:cNvGraphicFramePr/>
                <a:graphic xmlns:a="http://schemas.openxmlformats.org/drawingml/2006/main">
                  <a:graphicData uri="http://schemas.microsoft.com/office/word/2010/wordprocessingInk">
                    <w14:contentPart bwMode="auto" r:id="rId42">
                      <w14:nvContentPartPr>
                        <w14:cNvContentPartPr/>
                      </w14:nvContentPartPr>
                      <w14:xfrm>
                        <a:off x="0" y="0"/>
                        <a:ext cx="14400" cy="4860"/>
                      </w14:xfrm>
                    </w14:contentPart>
                  </a:graphicData>
                </a:graphic>
              </wp:anchor>
            </w:drawing>
          </mc:Choice>
          <mc:Fallback>
            <w:pict>
              <v:shapetype w14:anchorId="2A3646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444.5pt;margin-top:58.2pt;width:1.65pt;height:1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">
                <v:imagedata r:id="rId43" o:title=""/>
              </v:shape>
            </w:pict>
          </mc:Fallback>
        </mc:AlternateContent>
      </w:r>
      <w:r>
        <w:t>Reporters use the online Emissions and Energy Reporting System to enter their reporting data. Drawing primarily on feedback from reporters and the Regulator, the Authority found the reporting s</w:t>
      </w:r>
      <w:r w:rsidRPr="00E53099">
        <w:t>ystem</w:t>
      </w:r>
      <w:r>
        <w:t xml:space="preserve"> i</w:t>
      </w:r>
      <w:r w:rsidRPr="00E53099">
        <w:t>s working well</w:t>
      </w:r>
      <w:r>
        <w:t xml:space="preserve"> and is fit for purpose. Reporters noted the current system </w:t>
      </w:r>
      <w:r w:rsidR="00704292">
        <w:t xml:space="preserve">has improved over time and </w:t>
      </w:r>
      <w:r>
        <w:t xml:space="preserve">is an improvement </w:t>
      </w:r>
      <w:r w:rsidR="00704292">
        <w:t>over</w:t>
      </w:r>
      <w:r>
        <w:t xml:space="preserve"> the old system.</w:t>
      </w:r>
    </w:p>
    <w:p w14:paraId="38249DAC" w14:textId="77777777" w:rsidR="007078D2" w:rsidRDefault="007078D2" w:rsidP="007078D2">
      <w:pPr>
        <w:pStyle w:val="CCAquote"/>
      </w:pPr>
      <w:r>
        <w:t>…the Emissions and Energy Reporting System tool (‘EERS’) is now relatively user friendly.</w:t>
      </w:r>
    </w:p>
    <w:p w14:paraId="6FC19BC2" w14:textId="77777777" w:rsidR="007078D2" w:rsidRDefault="007078D2" w:rsidP="007078D2">
      <w:pPr>
        <w:pStyle w:val="CCAquotesource"/>
      </w:pPr>
      <w:r>
        <w:t>Rio Tinto, submission on this review (p</w:t>
      </w:r>
      <w:r w:rsidR="00190737">
        <w:t>.</w:t>
      </w:r>
      <w:r>
        <w:t xml:space="preserve"> 5)</w:t>
      </w:r>
    </w:p>
    <w:p w14:paraId="71815E3B" w14:textId="77777777" w:rsidR="00D815F0" w:rsidRDefault="007078D2" w:rsidP="00A3536E">
      <w:pPr>
        <w:pStyle w:val="CCABodytext"/>
      </w:pPr>
      <w:r w:rsidRPr="00212386">
        <w:t xml:space="preserve">In 2012, the Australian National Audit Office conducted a security audit of the online reporting tool that preceded the current </w:t>
      </w:r>
      <w:r>
        <w:t>r</w:t>
      </w:r>
      <w:r w:rsidRPr="00212386">
        <w:t xml:space="preserve">eporting </w:t>
      </w:r>
      <w:r>
        <w:t>s</w:t>
      </w:r>
      <w:r w:rsidRPr="00212386">
        <w:t xml:space="preserve">ystem. The audit identified data security vulnerabilities </w:t>
      </w:r>
      <w:r>
        <w:t xml:space="preserve">with the original tool </w:t>
      </w:r>
      <w:r w:rsidRPr="00212386">
        <w:t xml:space="preserve">and made recommendations for improvements </w:t>
      </w:r>
      <w:r>
        <w:t>to it</w:t>
      </w:r>
      <w:r w:rsidRPr="00212386">
        <w:t xml:space="preserve"> (</w:t>
      </w:r>
      <w:r w:rsidR="00A90DCB">
        <w:t>The Auditor</w:t>
      </w:r>
      <w:r w:rsidR="00B41579">
        <w:t>-</w:t>
      </w:r>
      <w:r w:rsidR="00A90DCB">
        <w:t>General</w:t>
      </w:r>
      <w:r w:rsidR="00A90DCB" w:rsidRPr="00212386">
        <w:t xml:space="preserve"> </w:t>
      </w:r>
      <w:r w:rsidRPr="00212386">
        <w:t>2012).</w:t>
      </w:r>
      <w:r>
        <w:t xml:space="preserve"> </w:t>
      </w:r>
      <w:r w:rsidR="00386BB5" w:rsidRPr="00386BB5">
        <w:t xml:space="preserve">The Regulator </w:t>
      </w:r>
      <w:r w:rsidR="00386BB5">
        <w:t xml:space="preserve">has advised the Authority they </w:t>
      </w:r>
      <w:r w:rsidR="00386BB5" w:rsidRPr="00386BB5">
        <w:t>conduct regular security tests of all systems, including the current onl</w:t>
      </w:r>
      <w:r w:rsidR="00386BB5">
        <w:t>ine reporting tool, and respond</w:t>
      </w:r>
      <w:r w:rsidR="00386BB5" w:rsidRPr="00386BB5">
        <w:t xml:space="preserve"> to any potential risks identified. As threats become increasingly sophisticated, </w:t>
      </w:r>
      <w:r w:rsidR="00386BB5">
        <w:t xml:space="preserve">the Regulator continually enhances its </w:t>
      </w:r>
      <w:r w:rsidR="00386BB5" w:rsidRPr="00386BB5">
        <w:t>systems in response.</w:t>
      </w:r>
    </w:p>
    <w:p w14:paraId="0B08E7E9" w14:textId="77777777" w:rsidR="00A3536E" w:rsidRDefault="00A3536E" w:rsidP="00C813C5">
      <w:pPr>
        <w:pStyle w:val="CCAHeading2"/>
      </w:pPr>
      <w:bookmarkStart w:id="499" w:name="_Toc528770231"/>
      <w:bookmarkStart w:id="500" w:name="_Toc529183866"/>
      <w:bookmarkStart w:id="501" w:name="_Toc529187678"/>
      <w:bookmarkStart w:id="502" w:name="_Toc529188104"/>
      <w:bookmarkStart w:id="503" w:name="_Toc529377754"/>
      <w:bookmarkStart w:id="504" w:name="_Toc529389694"/>
      <w:bookmarkStart w:id="505" w:name="_Toc531095570"/>
      <w:bookmarkStart w:id="506" w:name="_Toc531099336"/>
      <w:bookmarkStart w:id="507" w:name="_Toc531101745"/>
      <w:bookmarkStart w:id="508" w:name="_Toc531764013"/>
      <w:bookmarkStart w:id="509" w:name="_Toc532912105"/>
      <w:bookmarkStart w:id="510" w:name="_Toc532914947"/>
      <w:r>
        <w:t>Help</w:t>
      </w:r>
      <w:r w:rsidR="009941F1">
        <w:t>s</w:t>
      </w:r>
      <w:r>
        <w:t xml:space="preserve"> companies </w:t>
      </w:r>
      <w:r w:rsidR="00F90BD5">
        <w:t xml:space="preserve">better understand </w:t>
      </w:r>
      <w:r w:rsidR="00055EBF">
        <w:t xml:space="preserve">their own </w:t>
      </w:r>
      <w:r>
        <w:t>energy and emissions and meet other reporting requirements</w:t>
      </w:r>
      <w:bookmarkEnd w:id="499"/>
      <w:bookmarkEnd w:id="500"/>
      <w:bookmarkEnd w:id="501"/>
      <w:bookmarkEnd w:id="502"/>
      <w:bookmarkEnd w:id="503"/>
      <w:bookmarkEnd w:id="504"/>
      <w:bookmarkEnd w:id="505"/>
      <w:bookmarkEnd w:id="506"/>
      <w:bookmarkEnd w:id="507"/>
      <w:bookmarkEnd w:id="508"/>
      <w:bookmarkEnd w:id="509"/>
      <w:bookmarkEnd w:id="510"/>
    </w:p>
    <w:p w14:paraId="6FB58D77" w14:textId="77777777" w:rsidR="00A3536E" w:rsidRDefault="00A3536E" w:rsidP="00831F4D">
      <w:pPr>
        <w:pStyle w:val="CCABodytext"/>
      </w:pPr>
      <w:r>
        <w:t xml:space="preserve">Reporters </w:t>
      </w:r>
      <w:r w:rsidR="001F6F52">
        <w:t>said</w:t>
      </w:r>
      <w:r>
        <w:t xml:space="preserve"> the data </w:t>
      </w:r>
      <w:r w:rsidR="006F45EB">
        <w:t xml:space="preserve">they </w:t>
      </w:r>
      <w:r>
        <w:t xml:space="preserve">collect to meet the legislative requirements informed their own understanding of </w:t>
      </w:r>
      <w:r w:rsidR="00055EBF">
        <w:t xml:space="preserve">their </w:t>
      </w:r>
      <w:r>
        <w:t xml:space="preserve">energy use and emissions to varying degrees. Some said the reporting process generated valuable information while others said established internal </w:t>
      </w:r>
      <w:r w:rsidR="003F24F1">
        <w:t xml:space="preserve">data collection </w:t>
      </w:r>
      <w:r>
        <w:t>processes informed the reporting process.</w:t>
      </w:r>
    </w:p>
    <w:p w14:paraId="2300F46F" w14:textId="77777777" w:rsidR="00F90BD5" w:rsidRDefault="00C204F4" w:rsidP="003A4D92">
      <w:pPr>
        <w:pStyle w:val="CCAquote"/>
      </w:pPr>
      <w:r>
        <w:t>[Australian Industry Greenhouse Network]</w:t>
      </w:r>
      <w:r w:rsidR="00F90BD5" w:rsidRPr="00F90BD5">
        <w:t xml:space="preserve"> members prepare their respective </w:t>
      </w:r>
      <w:r w:rsidR="003A5D26">
        <w:t>[National Greenhouse and Energy Reporting scheme]</w:t>
      </w:r>
      <w:r w:rsidR="003A5D26" w:rsidRPr="001C0F95" w:rsidDel="003A5D26">
        <w:t xml:space="preserve"> </w:t>
      </w:r>
      <w:r w:rsidR="00F90BD5" w:rsidRPr="00F90BD5">
        <w:t>reports based off their own internal emissions data management systems – not the other way around.</w:t>
      </w:r>
    </w:p>
    <w:p w14:paraId="76AE16DE" w14:textId="77777777" w:rsidR="00F90BD5" w:rsidRDefault="00F90BD5">
      <w:pPr>
        <w:pStyle w:val="CCAquotesource"/>
      </w:pPr>
      <w:r>
        <w:t>A</w:t>
      </w:r>
      <w:r w:rsidR="00B41579">
        <w:t xml:space="preserve">ustralian </w:t>
      </w:r>
      <w:r>
        <w:t>I</w:t>
      </w:r>
      <w:r w:rsidR="00B41579">
        <w:t xml:space="preserve">ndustry </w:t>
      </w:r>
      <w:r>
        <w:t>G</w:t>
      </w:r>
      <w:r w:rsidR="00B41579">
        <w:t xml:space="preserve">reenhouse </w:t>
      </w:r>
      <w:r>
        <w:t>N</w:t>
      </w:r>
      <w:r w:rsidR="00B41579">
        <w:t>etwork</w:t>
      </w:r>
      <w:r>
        <w:t>, submission on this review</w:t>
      </w:r>
      <w:r w:rsidR="00CA071E">
        <w:t xml:space="preserve"> (p</w:t>
      </w:r>
      <w:r w:rsidR="00190737">
        <w:t>.</w:t>
      </w:r>
      <w:r w:rsidR="00CA071E">
        <w:t xml:space="preserve"> 4)</w:t>
      </w:r>
    </w:p>
    <w:p w14:paraId="0FB04CF8" w14:textId="77777777" w:rsidR="00A3536E" w:rsidRDefault="00A3536E" w:rsidP="00831F4D">
      <w:pPr>
        <w:pStyle w:val="CCABodytext"/>
      </w:pPr>
      <w:r>
        <w:t xml:space="preserve">Some reporters </w:t>
      </w:r>
      <w:r w:rsidR="00055EBF">
        <w:t>told the Authority</w:t>
      </w:r>
      <w:r>
        <w:t xml:space="preserve"> data </w:t>
      </w:r>
      <w:r w:rsidR="003F24F1">
        <w:t>collected under the scheme</w:t>
      </w:r>
      <w:r>
        <w:t xml:space="preserve"> inform</w:t>
      </w:r>
      <w:r w:rsidR="003F24F1">
        <w:t>s</w:t>
      </w:r>
      <w:r>
        <w:t xml:space="preserve"> their business management by:</w:t>
      </w:r>
    </w:p>
    <w:p w14:paraId="7985858E" w14:textId="77777777" w:rsidR="00A3536E" w:rsidRDefault="00A3536E" w:rsidP="000D7F42">
      <w:pPr>
        <w:pStyle w:val="ListBullet"/>
      </w:pPr>
      <w:r>
        <w:t>providing insights into variances between operations</w:t>
      </w:r>
    </w:p>
    <w:p w14:paraId="12619306" w14:textId="77777777" w:rsidR="00A3536E" w:rsidRDefault="00A3536E" w:rsidP="000D7F42">
      <w:pPr>
        <w:pStyle w:val="ListBullet"/>
      </w:pPr>
      <w:r>
        <w:t>allowing benchmarking to be performed across operations</w:t>
      </w:r>
    </w:p>
    <w:p w14:paraId="4451F92A" w14:textId="77777777" w:rsidR="00A3536E" w:rsidRDefault="00A3536E" w:rsidP="000D7F42">
      <w:pPr>
        <w:pStyle w:val="ListBullet"/>
      </w:pPr>
      <w:r>
        <w:t>enabling energy efficiency opportunities to be identified</w:t>
      </w:r>
    </w:p>
    <w:p w14:paraId="17D08BA3" w14:textId="77777777" w:rsidR="00A3536E" w:rsidRDefault="00A3536E" w:rsidP="000D7F42">
      <w:pPr>
        <w:pStyle w:val="ListBullet"/>
      </w:pPr>
      <w:r>
        <w:t>assisting with assessments of transition risk (Sustainable Business Australia</w:t>
      </w:r>
      <w:r w:rsidR="005D0038">
        <w:t>,</w:t>
      </w:r>
      <w:r>
        <w:t xml:space="preserve"> submission on this review).</w:t>
      </w:r>
    </w:p>
    <w:p w14:paraId="3689BBB7" w14:textId="77777777" w:rsidR="00A3536E" w:rsidRDefault="00F90BD5" w:rsidP="00831F4D">
      <w:pPr>
        <w:pStyle w:val="CCABodytext"/>
      </w:pPr>
      <w:r>
        <w:lastRenderedPageBreak/>
        <w:t>Other</w:t>
      </w:r>
      <w:r w:rsidR="00A3536E">
        <w:t xml:space="preserve"> reporters said reporting alone does not drive changes in business operations to reduce emissions</w:t>
      </w:r>
      <w:r w:rsidR="00B1514A">
        <w:t xml:space="preserve"> </w:t>
      </w:r>
      <w:r w:rsidR="00B15FC2">
        <w:t>and energy use</w:t>
      </w:r>
      <w:r w:rsidR="0081776F">
        <w:t>,</w:t>
      </w:r>
      <w:r w:rsidR="00B15FC2">
        <w:t xml:space="preserve"> </w:t>
      </w:r>
      <w:r w:rsidR="00A3536E">
        <w:t xml:space="preserve">as other drivers such as reducing costs and organisational values are </w:t>
      </w:r>
      <w:r w:rsidR="005509BA">
        <w:t xml:space="preserve">more </w:t>
      </w:r>
      <w:r w:rsidR="00A3536E">
        <w:t xml:space="preserve">important. </w:t>
      </w:r>
    </w:p>
    <w:p w14:paraId="5CF32A9A" w14:textId="38086354" w:rsidR="005509BA" w:rsidRDefault="00A3536E" w:rsidP="00831F4D">
      <w:pPr>
        <w:pStyle w:val="CCABodytext"/>
      </w:pPr>
      <w:r>
        <w:t xml:space="preserve">Some reporters said the energy and emissions data </w:t>
      </w:r>
      <w:r w:rsidR="009941F1">
        <w:t xml:space="preserve">reported under the scheme </w:t>
      </w:r>
      <w:r>
        <w:t>is used for other internal and external reporting</w:t>
      </w:r>
      <w:r w:rsidR="0081776F">
        <w:t>,</w:t>
      </w:r>
      <w:r>
        <w:t xml:space="preserve"> such as on climate risk and sustainability. </w:t>
      </w:r>
      <w:r w:rsidR="006F45EB">
        <w:t>The Authority heard some reporters were better able to engage their b</w:t>
      </w:r>
      <w:r w:rsidR="006F45EB" w:rsidRPr="001C0F95">
        <w:t>oard</w:t>
      </w:r>
      <w:r w:rsidR="006F45EB">
        <w:t xml:space="preserve"> when reporting about sustainability issues due to the legislative basis of the data collected and the fact it is underpinned by nationally recognised measurement methods.</w:t>
      </w:r>
    </w:p>
    <w:p w14:paraId="77B64EF4" w14:textId="382491D2" w:rsidR="00A3536E" w:rsidRDefault="006F45EB" w:rsidP="00831F4D">
      <w:pPr>
        <w:pStyle w:val="CCABodytext"/>
      </w:pPr>
      <w:r>
        <w:t>Others said they used a different approach for sustainability reporting to ensure consistency across a global business (Rio Tinto, submission on this review).</w:t>
      </w:r>
      <w:r w:rsidR="00704292">
        <w:t xml:space="preserve"> R</w:t>
      </w:r>
      <w:r w:rsidR="00436BBF">
        <w:t>eporters from the</w:t>
      </w:r>
      <w:r w:rsidR="00436BBF" w:rsidRPr="00972F29">
        <w:t xml:space="preserve"> building sector </w:t>
      </w:r>
      <w:r w:rsidR="00055EBF">
        <w:t>told the Authority</w:t>
      </w:r>
      <w:r w:rsidR="00436BBF" w:rsidRPr="00972F29">
        <w:t xml:space="preserve"> the National Australian Built Environment Rating System </w:t>
      </w:r>
      <w:r w:rsidR="00436BBF">
        <w:t>a</w:t>
      </w:r>
      <w:r w:rsidR="00436BBF" w:rsidRPr="00972F29">
        <w:t>nd the Green Star industry accreditation scheme is used for company</w:t>
      </w:r>
      <w:r w:rsidR="002F1C35">
        <w:t>-</w:t>
      </w:r>
      <w:r w:rsidR="00436BBF" w:rsidRPr="00972F29">
        <w:t>level reporting</w:t>
      </w:r>
      <w:r w:rsidR="00903F68">
        <w:t>.</w:t>
      </w:r>
      <w:r w:rsidR="00436BBF" w:rsidRPr="00972F29">
        <w:t xml:space="preserve"> </w:t>
      </w:r>
    </w:p>
    <w:p w14:paraId="27FFCDE5" w14:textId="77777777" w:rsidR="00A3536E" w:rsidRDefault="00A3536E" w:rsidP="00C813C5">
      <w:pPr>
        <w:pStyle w:val="CCAHeading2"/>
      </w:pPr>
      <w:bookmarkStart w:id="511" w:name="_Toc528770232"/>
      <w:bookmarkStart w:id="512" w:name="_Toc529183867"/>
      <w:bookmarkStart w:id="513" w:name="_Toc529187679"/>
      <w:bookmarkStart w:id="514" w:name="_Toc529188105"/>
      <w:bookmarkStart w:id="515" w:name="_Toc529377755"/>
      <w:bookmarkStart w:id="516" w:name="_Toc529389695"/>
      <w:bookmarkStart w:id="517" w:name="_Toc531095571"/>
      <w:bookmarkStart w:id="518" w:name="_Toc531099337"/>
      <w:bookmarkStart w:id="519" w:name="_Toc531101746"/>
      <w:bookmarkStart w:id="520" w:name="_Toc531764014"/>
      <w:bookmarkStart w:id="521" w:name="_Toc532912106"/>
      <w:bookmarkStart w:id="522" w:name="_Toc532914948"/>
      <w:r>
        <w:t>Informs investors and other decision</w:t>
      </w:r>
      <w:r w:rsidR="00C72A08">
        <w:t>-</w:t>
      </w:r>
      <w:r>
        <w:t>makers</w:t>
      </w:r>
      <w:bookmarkEnd w:id="511"/>
      <w:bookmarkEnd w:id="512"/>
      <w:bookmarkEnd w:id="513"/>
      <w:bookmarkEnd w:id="514"/>
      <w:bookmarkEnd w:id="515"/>
      <w:bookmarkEnd w:id="516"/>
      <w:bookmarkEnd w:id="517"/>
      <w:bookmarkEnd w:id="518"/>
      <w:bookmarkEnd w:id="519"/>
      <w:bookmarkEnd w:id="520"/>
      <w:bookmarkEnd w:id="521"/>
      <w:bookmarkEnd w:id="522"/>
    </w:p>
    <w:p w14:paraId="1B8A895C" w14:textId="77777777" w:rsidR="00A3536E" w:rsidRDefault="005D34F9" w:rsidP="00A3536E">
      <w:pPr>
        <w:pStyle w:val="CCABodytext"/>
      </w:pPr>
      <w:r>
        <w:t xml:space="preserve">The reporting data released publicly by the Regulator to meet legislative requirements, and additional </w:t>
      </w:r>
      <w:r w:rsidR="0069520D">
        <w:t xml:space="preserve">published </w:t>
      </w:r>
      <w:r>
        <w:t xml:space="preserve">aggregated information, is summarised in </w:t>
      </w:r>
      <w:r w:rsidR="00CF77D6">
        <w:fldChar w:fldCharType="begin"/>
      </w:r>
      <w:r w:rsidR="00CF77D6">
        <w:instrText xml:space="preserve"> REF _Ref529390896 \r \h </w:instrText>
      </w:r>
      <w:r w:rsidR="00CF77D6">
        <w:fldChar w:fldCharType="separate"/>
      </w:r>
      <w:r w:rsidR="009A203A">
        <w:t>Table 4</w:t>
      </w:r>
      <w:r w:rsidR="00CF77D6">
        <w:fldChar w:fldCharType="end"/>
      </w:r>
      <w:r w:rsidRPr="005C5EF6">
        <w:t>.</w:t>
      </w:r>
      <w:r>
        <w:t xml:space="preserve"> </w:t>
      </w:r>
      <w:r w:rsidR="00A3536E">
        <w:t>The Authority heard from a number of users of the published data</w:t>
      </w:r>
      <w:r>
        <w:t xml:space="preserve"> and information</w:t>
      </w:r>
      <w:r w:rsidR="00A3536E">
        <w:t>. The</w:t>
      </w:r>
      <w:r w:rsidR="005509BA">
        <w:t xml:space="preserve">y said they valued the </w:t>
      </w:r>
      <w:r w:rsidR="00AF20E9">
        <w:t>dataset</w:t>
      </w:r>
      <w:r w:rsidR="005509BA">
        <w:t xml:space="preserve"> as it was </w:t>
      </w:r>
      <w:r w:rsidR="00A3536E">
        <w:t xml:space="preserve">generated from a </w:t>
      </w:r>
      <w:r w:rsidR="00A3536E" w:rsidRPr="000E1198">
        <w:t xml:space="preserve">government source </w:t>
      </w:r>
      <w:r w:rsidR="005509BA">
        <w:t xml:space="preserve">and had a </w:t>
      </w:r>
      <w:r w:rsidR="00A3536E" w:rsidRPr="000E1198">
        <w:t xml:space="preserve">high degree of </w:t>
      </w:r>
      <w:r w:rsidR="0030716F">
        <w:t>credibility</w:t>
      </w:r>
      <w:r w:rsidR="005509BA">
        <w:t>.</w:t>
      </w:r>
      <w:r w:rsidR="005509BA" w:rsidRPr="000E1198" w:rsidDel="005509BA">
        <w:t xml:space="preserve"> </w:t>
      </w:r>
    </w:p>
    <w:p w14:paraId="2CC4469F" w14:textId="5DE6C6CB" w:rsidR="00C637F3" w:rsidRDefault="00A3536E" w:rsidP="003A5D26">
      <w:pPr>
        <w:pStyle w:val="CCABodytext"/>
      </w:pPr>
      <w:r>
        <w:t xml:space="preserve">The </w:t>
      </w:r>
      <w:r w:rsidR="005509BA">
        <w:t xml:space="preserve">Authority was told </w:t>
      </w:r>
      <w:r>
        <w:t xml:space="preserve">data </w:t>
      </w:r>
      <w:r w:rsidR="009941F1">
        <w:t xml:space="preserve">published under the scheme </w:t>
      </w:r>
      <w:r>
        <w:t xml:space="preserve">is used </w:t>
      </w:r>
      <w:r w:rsidR="005509BA">
        <w:t xml:space="preserve">by the private sector and others </w:t>
      </w:r>
      <w:r>
        <w:t xml:space="preserve">to inform </w:t>
      </w:r>
      <w:r w:rsidR="005509BA">
        <w:t xml:space="preserve">investment </w:t>
      </w:r>
      <w:r>
        <w:t xml:space="preserve">decisions and contribute to policy discussions. For example, </w:t>
      </w:r>
      <w:r w:rsidRPr="007A2E78">
        <w:t>N</w:t>
      </w:r>
      <w:r w:rsidR="0031560F" w:rsidRPr="007A2E78">
        <w:t>ational Australia Bank</w:t>
      </w:r>
      <w:r>
        <w:t xml:space="preserve"> said </w:t>
      </w:r>
      <w:r w:rsidR="00E30A0D">
        <w:t>it</w:t>
      </w:r>
      <w:r>
        <w:t xml:space="preserve"> use</w:t>
      </w:r>
      <w:r w:rsidR="00E30A0D">
        <w:t>s</w:t>
      </w:r>
      <w:r>
        <w:t xml:space="preserve"> the data for risk assessments and also when analysing their lending portfolios. Other data users said they conducted emission</w:t>
      </w:r>
      <w:r w:rsidR="0069520D">
        <w:t>s</w:t>
      </w:r>
      <w:r>
        <w:t xml:space="preserve"> intensity benchmarking </w:t>
      </w:r>
      <w:r w:rsidR="0031560F">
        <w:t>where possible</w:t>
      </w:r>
      <w:r>
        <w:t xml:space="preserve">, assessed industry trends or compared companies’ performance. Investors also </w:t>
      </w:r>
      <w:r w:rsidR="001C0713">
        <w:t xml:space="preserve">said they </w:t>
      </w:r>
      <w:r>
        <w:t xml:space="preserve">use the data to get a better understanding of the potential exposure of companies to climate risk </w:t>
      </w:r>
      <w:r w:rsidR="00A17AB4">
        <w:t>(</w:t>
      </w:r>
      <w:r w:rsidR="00777D54">
        <w:fldChar w:fldCharType="begin"/>
      </w:r>
      <w:r w:rsidR="00777D54">
        <w:instrText xml:space="preserve"> REF _Ref531723613 \r \h </w:instrText>
      </w:r>
      <w:r w:rsidR="00777D54">
        <w:fldChar w:fldCharType="separate"/>
      </w:r>
      <w:r w:rsidR="009A203A">
        <w:t>Box 2</w:t>
      </w:r>
      <w:r w:rsidR="00777D54">
        <w:fldChar w:fldCharType="end"/>
      </w:r>
      <w:r w:rsidR="00A17AB4">
        <w:t>)</w:t>
      </w:r>
      <w:r>
        <w:t>.</w:t>
      </w:r>
    </w:p>
    <w:p w14:paraId="2C812793" w14:textId="3A89FD02" w:rsidR="004D105C" w:rsidRPr="007A2E78" w:rsidRDefault="0069520D" w:rsidP="00532BE2">
      <w:pPr>
        <w:pStyle w:val="CCATableheader"/>
      </w:pPr>
      <w:bookmarkStart w:id="523" w:name="_Ref529390896"/>
      <w:bookmarkStart w:id="524" w:name="_Toc531095536"/>
      <w:bookmarkStart w:id="525" w:name="_Toc531099302"/>
      <w:bookmarkStart w:id="526" w:name="_Toc531101711"/>
      <w:bookmarkStart w:id="527" w:name="_Toc531341080"/>
      <w:bookmarkStart w:id="528" w:name="_Toc531764048"/>
      <w:bookmarkStart w:id="529" w:name="_Toc532912069"/>
      <w:bookmarkStart w:id="530" w:name="_Toc532914013"/>
      <w:r w:rsidRPr="007A2E78">
        <w:t>D</w:t>
      </w:r>
      <w:r w:rsidR="004D105C" w:rsidRPr="007A2E78">
        <w:t xml:space="preserve">ata publicly available on the </w:t>
      </w:r>
      <w:r w:rsidR="00276F19">
        <w:t xml:space="preserve">Clean Energy </w:t>
      </w:r>
      <w:r w:rsidR="004D105C" w:rsidRPr="007A2E78">
        <w:t>Regulator's website</w:t>
      </w:r>
      <w:bookmarkEnd w:id="523"/>
      <w:bookmarkEnd w:id="524"/>
      <w:bookmarkEnd w:id="525"/>
      <w:bookmarkEnd w:id="526"/>
      <w:bookmarkEnd w:id="527"/>
      <w:bookmarkEnd w:id="528"/>
      <w:bookmarkEnd w:id="529"/>
      <w:bookmarkEnd w:id="530"/>
    </w:p>
    <w:tbl>
      <w:tblPr>
        <w:tblStyle w:val="TableGrid1"/>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748"/>
        <w:gridCol w:w="5100"/>
        <w:gridCol w:w="2121"/>
      </w:tblGrid>
      <w:tr w:rsidR="00A3536E" w:rsidRPr="00236D91" w14:paraId="6E5B8F96" w14:textId="77777777" w:rsidTr="000C0509">
        <w:tc>
          <w:tcPr>
            <w:tcW w:w="0" w:type="auto"/>
            <w:tcBorders>
              <w:bottom w:val="dotted" w:sz="4" w:space="0" w:color="auto"/>
            </w:tcBorders>
            <w:shd w:val="clear" w:color="auto" w:fill="159DCE"/>
            <w:vAlign w:val="center"/>
          </w:tcPr>
          <w:p w14:paraId="71D7F1DD" w14:textId="77777777" w:rsidR="00A3536E" w:rsidRPr="003A5D26" w:rsidRDefault="00A3536E" w:rsidP="000C5FB3">
            <w:pPr>
              <w:spacing w:after="0"/>
              <w:rPr>
                <w:rFonts w:cs="Arial"/>
                <w:b/>
                <w:color w:val="FFFFFF" w:themeColor="background1"/>
                <w:sz w:val="20"/>
                <w:szCs w:val="20"/>
              </w:rPr>
            </w:pPr>
            <w:r w:rsidRPr="003A5D26">
              <w:rPr>
                <w:rFonts w:cs="Arial"/>
                <w:b/>
                <w:color w:val="FFFFFF" w:themeColor="background1"/>
                <w:sz w:val="20"/>
                <w:szCs w:val="20"/>
              </w:rPr>
              <w:t>Title</w:t>
            </w:r>
          </w:p>
        </w:tc>
        <w:tc>
          <w:tcPr>
            <w:tcW w:w="0" w:type="auto"/>
            <w:tcBorders>
              <w:bottom w:val="dotted" w:sz="4" w:space="0" w:color="auto"/>
            </w:tcBorders>
            <w:shd w:val="clear" w:color="auto" w:fill="159DCE"/>
            <w:vAlign w:val="center"/>
          </w:tcPr>
          <w:p w14:paraId="0466B139" w14:textId="77777777" w:rsidR="00A3536E" w:rsidRPr="003A5D26" w:rsidRDefault="00A3536E" w:rsidP="000C5FB3">
            <w:pPr>
              <w:spacing w:after="0"/>
              <w:rPr>
                <w:rFonts w:cs="Arial"/>
                <w:b/>
                <w:color w:val="FFFFFF" w:themeColor="background1"/>
                <w:sz w:val="20"/>
                <w:szCs w:val="20"/>
              </w:rPr>
            </w:pPr>
            <w:r w:rsidRPr="003A5D26">
              <w:rPr>
                <w:rFonts w:cs="Arial"/>
                <w:b/>
                <w:color w:val="FFFFFF" w:themeColor="background1"/>
                <w:sz w:val="20"/>
                <w:szCs w:val="20"/>
              </w:rPr>
              <w:t>Description</w:t>
            </w:r>
          </w:p>
        </w:tc>
        <w:tc>
          <w:tcPr>
            <w:tcW w:w="0" w:type="auto"/>
            <w:tcBorders>
              <w:bottom w:val="dotted" w:sz="4" w:space="0" w:color="auto"/>
            </w:tcBorders>
            <w:shd w:val="clear" w:color="auto" w:fill="159DCE"/>
            <w:vAlign w:val="center"/>
          </w:tcPr>
          <w:p w14:paraId="72A99239" w14:textId="77777777" w:rsidR="00A3536E" w:rsidRPr="003A5D26" w:rsidRDefault="00A3536E" w:rsidP="003A5D26">
            <w:pPr>
              <w:spacing w:before="40" w:after="40"/>
              <w:rPr>
                <w:rFonts w:cs="Arial"/>
                <w:b/>
                <w:color w:val="FFFFFF" w:themeColor="background1"/>
                <w:sz w:val="20"/>
                <w:szCs w:val="20"/>
              </w:rPr>
            </w:pPr>
            <w:r w:rsidRPr="003A5D26">
              <w:rPr>
                <w:rFonts w:cs="Arial"/>
                <w:b/>
                <w:color w:val="FFFFFF" w:themeColor="background1"/>
                <w:sz w:val="20"/>
                <w:szCs w:val="20"/>
              </w:rPr>
              <w:t>Publication required under legislation?</w:t>
            </w:r>
          </w:p>
        </w:tc>
      </w:tr>
      <w:tr w:rsidR="00A3536E" w:rsidRPr="00236D91" w14:paraId="134D4E9E" w14:textId="77777777" w:rsidTr="000C0509">
        <w:tc>
          <w:tcPr>
            <w:tcW w:w="0" w:type="auto"/>
            <w:tcBorders>
              <w:top w:val="dotted" w:sz="4" w:space="0" w:color="auto"/>
              <w:bottom w:val="dotted" w:sz="4" w:space="0" w:color="309CC8" w:themeColor="accent3"/>
            </w:tcBorders>
            <w:shd w:val="clear" w:color="auto" w:fill="D4EBF4" w:themeFill="accent1" w:themeFillTint="33"/>
            <w:vAlign w:val="center"/>
          </w:tcPr>
          <w:p w14:paraId="49A06980" w14:textId="77777777" w:rsidR="00A3536E" w:rsidRPr="003A5D26" w:rsidRDefault="00A3536E" w:rsidP="000C5FB3">
            <w:pPr>
              <w:spacing w:before="60" w:after="60"/>
              <w:rPr>
                <w:rFonts w:cs="Arial"/>
                <w:b/>
                <w:color w:val="FFFFFF" w:themeColor="background1"/>
                <w:sz w:val="20"/>
                <w:szCs w:val="20"/>
              </w:rPr>
            </w:pPr>
            <w:r w:rsidRPr="003A5D26">
              <w:rPr>
                <w:rFonts w:cs="Arial"/>
                <w:b/>
                <w:sz w:val="20"/>
                <w:szCs w:val="20"/>
              </w:rPr>
              <w:t>Reported data</w:t>
            </w:r>
          </w:p>
        </w:tc>
        <w:tc>
          <w:tcPr>
            <w:tcW w:w="0" w:type="auto"/>
            <w:tcBorders>
              <w:top w:val="dotted" w:sz="4" w:space="0" w:color="auto"/>
              <w:bottom w:val="dotted" w:sz="4" w:space="0" w:color="309CC8" w:themeColor="accent3"/>
            </w:tcBorders>
            <w:shd w:val="clear" w:color="auto" w:fill="D4EBF4" w:themeFill="accent1" w:themeFillTint="33"/>
            <w:vAlign w:val="center"/>
          </w:tcPr>
          <w:p w14:paraId="29FC1EA8" w14:textId="77777777" w:rsidR="00A3536E" w:rsidRPr="003A5D26" w:rsidRDefault="00A3536E" w:rsidP="000C5FB3">
            <w:pPr>
              <w:spacing w:after="0"/>
              <w:rPr>
                <w:rFonts w:cs="Arial"/>
                <w:b/>
                <w:color w:val="FFFFFF" w:themeColor="background1"/>
                <w:sz w:val="20"/>
                <w:szCs w:val="20"/>
              </w:rPr>
            </w:pPr>
          </w:p>
        </w:tc>
        <w:tc>
          <w:tcPr>
            <w:tcW w:w="0" w:type="auto"/>
            <w:tcBorders>
              <w:top w:val="dotted" w:sz="4" w:space="0" w:color="auto"/>
              <w:bottom w:val="dotted" w:sz="4" w:space="0" w:color="309CC8" w:themeColor="accent3"/>
            </w:tcBorders>
            <w:shd w:val="clear" w:color="auto" w:fill="D4EBF4" w:themeFill="accent1" w:themeFillTint="33"/>
            <w:vAlign w:val="center"/>
          </w:tcPr>
          <w:p w14:paraId="4830CDA0" w14:textId="77777777" w:rsidR="00A3536E" w:rsidRPr="003A5D26" w:rsidRDefault="00A3536E" w:rsidP="000C5FB3">
            <w:pPr>
              <w:spacing w:after="0"/>
              <w:rPr>
                <w:rFonts w:cs="Arial"/>
                <w:b/>
                <w:color w:val="FFFFFF" w:themeColor="background1"/>
                <w:sz w:val="20"/>
                <w:szCs w:val="20"/>
              </w:rPr>
            </w:pPr>
          </w:p>
        </w:tc>
      </w:tr>
      <w:tr w:rsidR="00A3536E" w:rsidRPr="00236D91" w14:paraId="509A0778" w14:textId="77777777" w:rsidTr="000C0509">
        <w:tc>
          <w:tcPr>
            <w:tcW w:w="0" w:type="auto"/>
            <w:tcBorders>
              <w:top w:val="dotted" w:sz="4" w:space="0" w:color="309CC8" w:themeColor="accent3"/>
              <w:bottom w:val="dotted" w:sz="4" w:space="0" w:color="309CC8" w:themeColor="accent3"/>
            </w:tcBorders>
            <w:vAlign w:val="center"/>
          </w:tcPr>
          <w:p w14:paraId="17CDAE8F" w14:textId="77777777" w:rsidR="00A3536E" w:rsidRPr="003A5D26" w:rsidRDefault="00A3536E" w:rsidP="000C5FB3">
            <w:pPr>
              <w:spacing w:before="60" w:after="60"/>
              <w:rPr>
                <w:rFonts w:cs="Arial"/>
                <w:sz w:val="20"/>
                <w:szCs w:val="20"/>
              </w:rPr>
            </w:pPr>
            <w:r w:rsidRPr="003A5D26">
              <w:rPr>
                <w:rFonts w:cs="Arial"/>
                <w:sz w:val="20"/>
                <w:szCs w:val="20"/>
              </w:rPr>
              <w:t>Corporate emissions and energy data</w:t>
            </w:r>
          </w:p>
        </w:tc>
        <w:tc>
          <w:tcPr>
            <w:tcW w:w="0" w:type="auto"/>
            <w:tcBorders>
              <w:top w:val="dotted" w:sz="4" w:space="0" w:color="309CC8" w:themeColor="accent3"/>
              <w:bottom w:val="dotted" w:sz="4" w:space="0" w:color="309CC8" w:themeColor="accent3"/>
            </w:tcBorders>
            <w:vAlign w:val="center"/>
          </w:tcPr>
          <w:p w14:paraId="48AE6F67" w14:textId="77777777" w:rsidR="00A3536E" w:rsidRPr="003A5D26" w:rsidRDefault="00A3536E" w:rsidP="000C5FB3">
            <w:pPr>
              <w:spacing w:before="60" w:after="60"/>
              <w:rPr>
                <w:rFonts w:cs="Arial"/>
                <w:sz w:val="20"/>
                <w:szCs w:val="20"/>
              </w:rPr>
            </w:pPr>
            <w:r w:rsidRPr="003A5D26">
              <w:rPr>
                <w:rFonts w:cs="Arial"/>
                <w:sz w:val="20"/>
                <w:szCs w:val="20"/>
              </w:rPr>
              <w:t xml:space="preserve">Scope 1 and 2 emissions and net energy consumption by </w:t>
            </w:r>
            <w:r w:rsidR="00BC477F" w:rsidRPr="003A5D26">
              <w:rPr>
                <w:rFonts w:cs="Arial"/>
                <w:sz w:val="20"/>
                <w:szCs w:val="20"/>
              </w:rPr>
              <w:t>co</w:t>
            </w:r>
            <w:r w:rsidR="00BC477F">
              <w:rPr>
                <w:rFonts w:cs="Arial"/>
                <w:sz w:val="20"/>
                <w:szCs w:val="20"/>
              </w:rPr>
              <w:t>mpany</w:t>
            </w:r>
            <w:r w:rsidRPr="003A5D26">
              <w:rPr>
                <w:rFonts w:cs="Arial"/>
                <w:sz w:val="20"/>
                <w:szCs w:val="20"/>
              </w:rPr>
              <w:t>.</w:t>
            </w:r>
          </w:p>
        </w:tc>
        <w:tc>
          <w:tcPr>
            <w:tcW w:w="0" w:type="auto"/>
            <w:tcBorders>
              <w:top w:val="dotted" w:sz="4" w:space="0" w:color="309CC8" w:themeColor="accent3"/>
              <w:bottom w:val="dotted" w:sz="4" w:space="0" w:color="309CC8" w:themeColor="accent3"/>
            </w:tcBorders>
            <w:vAlign w:val="center"/>
          </w:tcPr>
          <w:p w14:paraId="66F498E2" w14:textId="77777777" w:rsidR="00A3536E" w:rsidRPr="003A5D26" w:rsidRDefault="00A3536E" w:rsidP="0069520D">
            <w:pPr>
              <w:spacing w:before="60" w:after="60"/>
              <w:rPr>
                <w:rFonts w:cs="Arial"/>
                <w:sz w:val="20"/>
                <w:szCs w:val="20"/>
              </w:rPr>
            </w:pPr>
            <w:r w:rsidRPr="003A5D26">
              <w:rPr>
                <w:rFonts w:cs="Arial"/>
                <w:sz w:val="20"/>
                <w:szCs w:val="20"/>
              </w:rPr>
              <w:t>Yes</w:t>
            </w:r>
          </w:p>
        </w:tc>
      </w:tr>
      <w:tr w:rsidR="00A3536E" w:rsidRPr="00236D91" w14:paraId="0D735352" w14:textId="77777777" w:rsidTr="000C0509">
        <w:tc>
          <w:tcPr>
            <w:tcW w:w="0" w:type="auto"/>
            <w:tcBorders>
              <w:top w:val="dotted" w:sz="4" w:space="0" w:color="309CC8" w:themeColor="accent3"/>
              <w:bottom w:val="dotted" w:sz="4" w:space="0" w:color="309CC8" w:themeColor="accent3"/>
            </w:tcBorders>
            <w:vAlign w:val="center"/>
          </w:tcPr>
          <w:p w14:paraId="401D599D" w14:textId="77777777" w:rsidR="00A3536E" w:rsidRPr="003A5D26" w:rsidRDefault="00A3536E" w:rsidP="000C5FB3">
            <w:pPr>
              <w:spacing w:before="60" w:after="60"/>
              <w:rPr>
                <w:rFonts w:cs="Arial"/>
                <w:sz w:val="20"/>
                <w:szCs w:val="20"/>
              </w:rPr>
            </w:pPr>
            <w:r w:rsidRPr="003A5D26">
              <w:rPr>
                <w:rFonts w:cs="Arial"/>
                <w:sz w:val="20"/>
                <w:szCs w:val="20"/>
              </w:rPr>
              <w:lastRenderedPageBreak/>
              <w:t>Electricity sector emissions and generation data</w:t>
            </w:r>
          </w:p>
        </w:tc>
        <w:tc>
          <w:tcPr>
            <w:tcW w:w="0" w:type="auto"/>
            <w:tcBorders>
              <w:top w:val="dotted" w:sz="4" w:space="0" w:color="309CC8" w:themeColor="accent3"/>
              <w:bottom w:val="dotted" w:sz="4" w:space="0" w:color="309CC8" w:themeColor="accent3"/>
            </w:tcBorders>
            <w:vAlign w:val="center"/>
          </w:tcPr>
          <w:p w14:paraId="4103BFC4" w14:textId="77777777" w:rsidR="00A3536E" w:rsidRPr="003A5D26" w:rsidRDefault="00A3536E" w:rsidP="00565BF2">
            <w:pPr>
              <w:spacing w:before="60" w:after="60"/>
              <w:rPr>
                <w:rFonts w:cs="Arial"/>
                <w:sz w:val="20"/>
                <w:szCs w:val="20"/>
              </w:rPr>
            </w:pPr>
            <w:r w:rsidRPr="003A5D26">
              <w:rPr>
                <w:rFonts w:cs="Arial"/>
                <w:sz w:val="20"/>
                <w:szCs w:val="20"/>
              </w:rPr>
              <w:t>Emissions and generation data at the facility level in the electricity sector</w:t>
            </w:r>
            <w:r w:rsidR="00565BF2" w:rsidRPr="003A5D26">
              <w:rPr>
                <w:rFonts w:cs="Arial"/>
                <w:sz w:val="20"/>
                <w:szCs w:val="20"/>
              </w:rPr>
              <w:t>.</w:t>
            </w:r>
            <w:r w:rsidR="0069520D" w:rsidRPr="003A5D26">
              <w:rPr>
                <w:rStyle w:val="FootnoteReference"/>
                <w:rFonts w:cs="Arial"/>
                <w:sz w:val="20"/>
                <w:szCs w:val="20"/>
              </w:rPr>
              <w:footnoteReference w:id="15"/>
            </w:r>
          </w:p>
        </w:tc>
        <w:tc>
          <w:tcPr>
            <w:tcW w:w="0" w:type="auto"/>
            <w:tcBorders>
              <w:top w:val="dotted" w:sz="4" w:space="0" w:color="309CC8" w:themeColor="accent3"/>
              <w:bottom w:val="dotted" w:sz="4" w:space="0" w:color="309CC8" w:themeColor="accent3"/>
            </w:tcBorders>
            <w:shd w:val="clear" w:color="auto" w:fill="auto"/>
            <w:vAlign w:val="center"/>
          </w:tcPr>
          <w:p w14:paraId="47E092FA" w14:textId="77777777" w:rsidR="00A3536E" w:rsidRPr="003A5D26" w:rsidRDefault="00A3536E" w:rsidP="0069520D">
            <w:pPr>
              <w:spacing w:before="60" w:after="60"/>
              <w:rPr>
                <w:rFonts w:cs="Arial"/>
                <w:sz w:val="20"/>
                <w:szCs w:val="20"/>
              </w:rPr>
            </w:pPr>
            <w:r w:rsidRPr="003A5D26">
              <w:rPr>
                <w:rFonts w:cs="Arial"/>
                <w:sz w:val="20"/>
                <w:szCs w:val="20"/>
              </w:rPr>
              <w:t>Yes</w:t>
            </w:r>
          </w:p>
        </w:tc>
      </w:tr>
      <w:tr w:rsidR="00A3536E" w:rsidRPr="00236D91" w14:paraId="7D08DF81" w14:textId="77777777" w:rsidTr="000C0509">
        <w:tc>
          <w:tcPr>
            <w:tcW w:w="0" w:type="auto"/>
            <w:tcBorders>
              <w:top w:val="dotted" w:sz="4" w:space="0" w:color="309CC8" w:themeColor="accent3"/>
              <w:bottom w:val="dotted" w:sz="4" w:space="0" w:color="309CC8" w:themeColor="accent3"/>
            </w:tcBorders>
            <w:vAlign w:val="center"/>
          </w:tcPr>
          <w:p w14:paraId="1C5023BE" w14:textId="77777777" w:rsidR="00A3536E" w:rsidRPr="003A5D26" w:rsidRDefault="00A3536E" w:rsidP="000C5FB3">
            <w:pPr>
              <w:spacing w:before="60" w:after="60"/>
              <w:rPr>
                <w:rFonts w:cs="Arial"/>
                <w:sz w:val="20"/>
                <w:szCs w:val="20"/>
              </w:rPr>
            </w:pPr>
            <w:r w:rsidRPr="003A5D26">
              <w:rPr>
                <w:rFonts w:cs="Arial"/>
                <w:sz w:val="20"/>
                <w:szCs w:val="20"/>
              </w:rPr>
              <w:t>Extract of the National Greenhouse and Energy Register by year</w:t>
            </w:r>
          </w:p>
        </w:tc>
        <w:tc>
          <w:tcPr>
            <w:tcW w:w="0" w:type="auto"/>
            <w:tcBorders>
              <w:top w:val="dotted" w:sz="4" w:space="0" w:color="309CC8" w:themeColor="accent3"/>
              <w:bottom w:val="dotted" w:sz="4" w:space="0" w:color="309CC8" w:themeColor="accent3"/>
            </w:tcBorders>
            <w:vAlign w:val="center"/>
          </w:tcPr>
          <w:p w14:paraId="4977F748" w14:textId="77777777" w:rsidR="00A3536E" w:rsidRPr="003A5D26" w:rsidRDefault="00A3536E" w:rsidP="000C5FB3">
            <w:pPr>
              <w:spacing w:before="60" w:after="60"/>
              <w:rPr>
                <w:rFonts w:cs="Arial"/>
                <w:sz w:val="20"/>
                <w:szCs w:val="20"/>
              </w:rPr>
            </w:pPr>
            <w:r w:rsidRPr="003A5D26">
              <w:rPr>
                <w:rFonts w:cs="Arial"/>
                <w:sz w:val="20"/>
                <w:szCs w:val="20"/>
              </w:rPr>
              <w:t>A list of those registered under the N</w:t>
            </w:r>
            <w:r w:rsidR="00C27F8B" w:rsidRPr="003A5D26">
              <w:rPr>
                <w:rFonts w:cs="Arial"/>
                <w:sz w:val="20"/>
                <w:szCs w:val="20"/>
              </w:rPr>
              <w:t xml:space="preserve">ational </w:t>
            </w:r>
            <w:r w:rsidRPr="003A5D26">
              <w:rPr>
                <w:rFonts w:cs="Arial"/>
                <w:sz w:val="20"/>
                <w:szCs w:val="20"/>
              </w:rPr>
              <w:t>G</w:t>
            </w:r>
            <w:r w:rsidR="00C27F8B" w:rsidRPr="003A5D26">
              <w:rPr>
                <w:rFonts w:cs="Arial"/>
                <w:sz w:val="20"/>
                <w:szCs w:val="20"/>
              </w:rPr>
              <w:t xml:space="preserve">reenhouse and </w:t>
            </w:r>
            <w:r w:rsidRPr="003A5D26">
              <w:rPr>
                <w:rFonts w:cs="Arial"/>
                <w:sz w:val="20"/>
                <w:szCs w:val="20"/>
              </w:rPr>
              <w:t>E</w:t>
            </w:r>
            <w:r w:rsidR="00C27F8B" w:rsidRPr="003A5D26">
              <w:rPr>
                <w:rFonts w:cs="Arial"/>
                <w:sz w:val="20"/>
                <w:szCs w:val="20"/>
              </w:rPr>
              <w:t xml:space="preserve">nergy </w:t>
            </w:r>
            <w:r w:rsidRPr="003A5D26">
              <w:rPr>
                <w:rFonts w:cs="Arial"/>
                <w:sz w:val="20"/>
                <w:szCs w:val="20"/>
              </w:rPr>
              <w:t>R</w:t>
            </w:r>
            <w:r w:rsidR="00C27F8B" w:rsidRPr="003A5D26">
              <w:rPr>
                <w:rFonts w:cs="Arial"/>
                <w:sz w:val="20"/>
                <w:szCs w:val="20"/>
              </w:rPr>
              <w:t>eporting</w:t>
            </w:r>
            <w:r w:rsidRPr="003A5D26">
              <w:rPr>
                <w:rFonts w:cs="Arial"/>
                <w:sz w:val="20"/>
                <w:szCs w:val="20"/>
              </w:rPr>
              <w:t xml:space="preserve"> Act for the previous reporting year.</w:t>
            </w:r>
          </w:p>
        </w:tc>
        <w:tc>
          <w:tcPr>
            <w:tcW w:w="0" w:type="auto"/>
            <w:tcBorders>
              <w:top w:val="dotted" w:sz="4" w:space="0" w:color="309CC8" w:themeColor="accent3"/>
              <w:bottom w:val="dotted" w:sz="4" w:space="0" w:color="309CC8" w:themeColor="accent3"/>
            </w:tcBorders>
            <w:vAlign w:val="center"/>
          </w:tcPr>
          <w:p w14:paraId="1A565508" w14:textId="77777777" w:rsidR="00A3536E" w:rsidRPr="003A5D26" w:rsidRDefault="00A3536E" w:rsidP="0069520D">
            <w:pPr>
              <w:spacing w:before="60" w:after="60"/>
              <w:rPr>
                <w:rFonts w:cs="Arial"/>
                <w:sz w:val="20"/>
                <w:szCs w:val="20"/>
              </w:rPr>
            </w:pPr>
            <w:r w:rsidRPr="003A5D26">
              <w:rPr>
                <w:rFonts w:cs="Arial"/>
                <w:sz w:val="20"/>
                <w:szCs w:val="20"/>
              </w:rPr>
              <w:t>Yes</w:t>
            </w:r>
          </w:p>
        </w:tc>
      </w:tr>
      <w:tr w:rsidR="00A3536E" w:rsidRPr="00236D91" w14:paraId="60466885" w14:textId="77777777" w:rsidTr="000C0509">
        <w:tc>
          <w:tcPr>
            <w:tcW w:w="0" w:type="auto"/>
            <w:tcBorders>
              <w:top w:val="dotted" w:sz="4" w:space="0" w:color="309CC8" w:themeColor="accent3"/>
              <w:bottom w:val="dotted" w:sz="4" w:space="0" w:color="309CC8" w:themeColor="accent3"/>
            </w:tcBorders>
            <w:vAlign w:val="center"/>
          </w:tcPr>
          <w:p w14:paraId="587362A1" w14:textId="77777777" w:rsidR="00A3536E" w:rsidRPr="000E7A47" w:rsidRDefault="00A3536E" w:rsidP="000C5FB3">
            <w:pPr>
              <w:spacing w:before="60" w:after="60"/>
              <w:rPr>
                <w:rFonts w:cs="Arial"/>
                <w:sz w:val="20"/>
                <w:szCs w:val="20"/>
              </w:rPr>
            </w:pPr>
            <w:r w:rsidRPr="000E7A47">
              <w:rPr>
                <w:rFonts w:cs="Arial"/>
                <w:sz w:val="20"/>
                <w:szCs w:val="20"/>
              </w:rPr>
              <w:t>Safeguard baselines table</w:t>
            </w:r>
          </w:p>
        </w:tc>
        <w:tc>
          <w:tcPr>
            <w:tcW w:w="0" w:type="auto"/>
            <w:tcBorders>
              <w:top w:val="dotted" w:sz="4" w:space="0" w:color="309CC8" w:themeColor="accent3"/>
              <w:bottom w:val="dotted" w:sz="4" w:space="0" w:color="309CC8" w:themeColor="accent3"/>
            </w:tcBorders>
            <w:vAlign w:val="center"/>
          </w:tcPr>
          <w:p w14:paraId="5D9BA39C" w14:textId="77777777" w:rsidR="00A3536E" w:rsidRPr="000E7A47" w:rsidRDefault="00A3536E" w:rsidP="000C5FB3">
            <w:pPr>
              <w:spacing w:before="60" w:after="60"/>
              <w:rPr>
                <w:rFonts w:cs="Arial"/>
                <w:sz w:val="20"/>
                <w:szCs w:val="20"/>
              </w:rPr>
            </w:pPr>
            <w:r w:rsidRPr="000E7A47">
              <w:rPr>
                <w:rFonts w:cs="Arial"/>
                <w:sz w:val="20"/>
                <w:szCs w:val="20"/>
              </w:rPr>
              <w:t>Baseline number and type of baseline in force</w:t>
            </w:r>
            <w:r w:rsidR="003B32D0" w:rsidRPr="000E7A47">
              <w:rPr>
                <w:rFonts w:cs="Arial"/>
                <w:sz w:val="20"/>
                <w:szCs w:val="20"/>
              </w:rPr>
              <w:t>,</w:t>
            </w:r>
            <w:r w:rsidRPr="000E7A47">
              <w:rPr>
                <w:rFonts w:cs="Arial"/>
                <w:sz w:val="20"/>
                <w:szCs w:val="20"/>
              </w:rPr>
              <w:t xml:space="preserve"> by facility.</w:t>
            </w:r>
          </w:p>
        </w:tc>
        <w:tc>
          <w:tcPr>
            <w:tcW w:w="0" w:type="auto"/>
            <w:tcBorders>
              <w:top w:val="dotted" w:sz="4" w:space="0" w:color="309CC8" w:themeColor="accent3"/>
              <w:bottom w:val="dotted" w:sz="4" w:space="0" w:color="309CC8" w:themeColor="accent3"/>
            </w:tcBorders>
            <w:shd w:val="clear" w:color="auto" w:fill="auto"/>
            <w:vAlign w:val="center"/>
          </w:tcPr>
          <w:p w14:paraId="36E091CE" w14:textId="77777777" w:rsidR="00A3536E" w:rsidRPr="000E7A47" w:rsidRDefault="00A3536E" w:rsidP="0069520D">
            <w:pPr>
              <w:spacing w:before="60" w:after="60"/>
              <w:rPr>
                <w:rFonts w:cs="Arial"/>
                <w:sz w:val="20"/>
                <w:szCs w:val="20"/>
              </w:rPr>
            </w:pPr>
            <w:r w:rsidRPr="000E7A47">
              <w:rPr>
                <w:rFonts w:cs="Arial"/>
                <w:sz w:val="20"/>
                <w:szCs w:val="20"/>
              </w:rPr>
              <w:t>Yes</w:t>
            </w:r>
          </w:p>
        </w:tc>
      </w:tr>
      <w:tr w:rsidR="00A3536E" w:rsidRPr="00236D91" w14:paraId="4CB5E3F6" w14:textId="77777777" w:rsidTr="000C0509">
        <w:tc>
          <w:tcPr>
            <w:tcW w:w="0" w:type="auto"/>
            <w:tcBorders>
              <w:top w:val="dotted" w:sz="4" w:space="0" w:color="309CC8" w:themeColor="accent3"/>
              <w:bottom w:val="dotted" w:sz="4" w:space="0" w:color="309CC8" w:themeColor="accent3"/>
            </w:tcBorders>
            <w:vAlign w:val="center"/>
          </w:tcPr>
          <w:p w14:paraId="0824AA9C" w14:textId="77777777" w:rsidR="00A3536E" w:rsidRPr="000E7A47" w:rsidRDefault="00A3536E" w:rsidP="000C5FB3">
            <w:pPr>
              <w:spacing w:before="60" w:after="60"/>
              <w:rPr>
                <w:rFonts w:cs="Arial"/>
                <w:sz w:val="20"/>
                <w:szCs w:val="20"/>
              </w:rPr>
            </w:pPr>
            <w:r w:rsidRPr="000E7A47">
              <w:rPr>
                <w:rFonts w:cs="Arial"/>
                <w:sz w:val="20"/>
                <w:szCs w:val="20"/>
              </w:rPr>
              <w:t>Safeguard facility reported emissions</w:t>
            </w:r>
          </w:p>
        </w:tc>
        <w:tc>
          <w:tcPr>
            <w:tcW w:w="0" w:type="auto"/>
            <w:tcBorders>
              <w:top w:val="dotted" w:sz="4" w:space="0" w:color="309CC8" w:themeColor="accent3"/>
              <w:bottom w:val="dotted" w:sz="4" w:space="0" w:color="309CC8" w:themeColor="accent3"/>
            </w:tcBorders>
            <w:vAlign w:val="center"/>
          </w:tcPr>
          <w:p w14:paraId="01B1D28E" w14:textId="77777777" w:rsidR="00A3536E" w:rsidRPr="000E7A47" w:rsidRDefault="00A3536E" w:rsidP="000C5FB3">
            <w:pPr>
              <w:spacing w:before="60" w:after="60"/>
              <w:rPr>
                <w:rFonts w:cs="Arial"/>
                <w:sz w:val="20"/>
                <w:szCs w:val="20"/>
              </w:rPr>
            </w:pPr>
            <w:r w:rsidRPr="000E7A47">
              <w:rPr>
                <w:rFonts w:cs="Arial"/>
                <w:sz w:val="20"/>
                <w:szCs w:val="20"/>
              </w:rPr>
              <w:t xml:space="preserve">Reported covered emissions, baseline number, surrendered Australian Carbon Credit Units and net emissions by facility. </w:t>
            </w:r>
          </w:p>
        </w:tc>
        <w:tc>
          <w:tcPr>
            <w:tcW w:w="0" w:type="auto"/>
            <w:tcBorders>
              <w:top w:val="dotted" w:sz="4" w:space="0" w:color="309CC8" w:themeColor="accent3"/>
              <w:bottom w:val="dotted" w:sz="4" w:space="0" w:color="309CC8" w:themeColor="accent3"/>
            </w:tcBorders>
            <w:shd w:val="clear" w:color="auto" w:fill="auto"/>
            <w:vAlign w:val="center"/>
          </w:tcPr>
          <w:p w14:paraId="1DE747B0" w14:textId="77777777" w:rsidR="00A3536E" w:rsidRPr="000E7A47" w:rsidRDefault="00A3536E" w:rsidP="0069520D">
            <w:pPr>
              <w:spacing w:before="60" w:after="60"/>
              <w:rPr>
                <w:rFonts w:cs="Arial"/>
                <w:sz w:val="20"/>
                <w:szCs w:val="20"/>
              </w:rPr>
            </w:pPr>
            <w:r w:rsidRPr="000E7A47">
              <w:rPr>
                <w:rFonts w:cs="Arial"/>
                <w:sz w:val="20"/>
                <w:szCs w:val="20"/>
              </w:rPr>
              <w:t>Yes</w:t>
            </w:r>
          </w:p>
        </w:tc>
      </w:tr>
      <w:tr w:rsidR="00A3536E" w:rsidRPr="00236D91" w14:paraId="3E93B889" w14:textId="77777777" w:rsidTr="000C0509">
        <w:tc>
          <w:tcPr>
            <w:tcW w:w="0" w:type="auto"/>
            <w:tcBorders>
              <w:top w:val="dotted" w:sz="4" w:space="0" w:color="309CC8" w:themeColor="accent3"/>
              <w:bottom w:val="dotted" w:sz="4" w:space="0" w:color="309CC8" w:themeColor="accent3"/>
            </w:tcBorders>
            <w:vAlign w:val="center"/>
          </w:tcPr>
          <w:p w14:paraId="78F7279C" w14:textId="77777777" w:rsidR="00A3536E" w:rsidRPr="000E7A47" w:rsidRDefault="00A3536E" w:rsidP="000C5FB3">
            <w:pPr>
              <w:spacing w:before="60" w:after="60"/>
              <w:rPr>
                <w:rFonts w:cs="Arial"/>
                <w:sz w:val="20"/>
                <w:szCs w:val="20"/>
              </w:rPr>
            </w:pPr>
            <w:r w:rsidRPr="000E7A47">
              <w:rPr>
                <w:rFonts w:cs="Arial"/>
                <w:sz w:val="20"/>
                <w:szCs w:val="20"/>
              </w:rPr>
              <w:t>Register of auditors</w:t>
            </w:r>
          </w:p>
        </w:tc>
        <w:tc>
          <w:tcPr>
            <w:tcW w:w="0" w:type="auto"/>
            <w:tcBorders>
              <w:top w:val="dotted" w:sz="4" w:space="0" w:color="309CC8" w:themeColor="accent3"/>
              <w:bottom w:val="dotted" w:sz="4" w:space="0" w:color="309CC8" w:themeColor="accent3"/>
            </w:tcBorders>
            <w:vAlign w:val="center"/>
          </w:tcPr>
          <w:p w14:paraId="3CB7844F" w14:textId="77777777" w:rsidR="00A3536E" w:rsidRPr="000E7A47" w:rsidRDefault="00A3536E" w:rsidP="000C5FB3">
            <w:pPr>
              <w:spacing w:before="60" w:after="60"/>
              <w:rPr>
                <w:rFonts w:cs="Arial"/>
                <w:sz w:val="20"/>
                <w:szCs w:val="20"/>
              </w:rPr>
            </w:pPr>
            <w:r w:rsidRPr="000E7A47">
              <w:rPr>
                <w:rFonts w:cs="Arial"/>
                <w:sz w:val="20"/>
                <w:szCs w:val="20"/>
              </w:rPr>
              <w:t>A list of registered auditors to assist participants in identifying and appointing an auditor</w:t>
            </w:r>
            <w:r w:rsidR="0069520D" w:rsidRPr="000E7A47">
              <w:rPr>
                <w:rFonts w:cs="Arial"/>
                <w:sz w:val="20"/>
                <w:szCs w:val="20"/>
              </w:rPr>
              <w:t>.</w:t>
            </w:r>
          </w:p>
        </w:tc>
        <w:tc>
          <w:tcPr>
            <w:tcW w:w="0" w:type="auto"/>
            <w:tcBorders>
              <w:top w:val="dotted" w:sz="4" w:space="0" w:color="309CC8" w:themeColor="accent3"/>
              <w:bottom w:val="dotted" w:sz="4" w:space="0" w:color="309CC8" w:themeColor="accent3"/>
            </w:tcBorders>
            <w:shd w:val="clear" w:color="auto" w:fill="auto"/>
            <w:vAlign w:val="center"/>
          </w:tcPr>
          <w:p w14:paraId="675B8F42" w14:textId="77777777" w:rsidR="00A3536E" w:rsidRPr="000E7A47" w:rsidRDefault="00A3536E" w:rsidP="0069520D">
            <w:pPr>
              <w:spacing w:before="60" w:after="60"/>
              <w:rPr>
                <w:rFonts w:cs="Arial"/>
                <w:sz w:val="20"/>
                <w:szCs w:val="20"/>
              </w:rPr>
            </w:pPr>
            <w:r w:rsidRPr="000E7A47">
              <w:rPr>
                <w:rFonts w:cs="Arial"/>
                <w:sz w:val="20"/>
                <w:szCs w:val="20"/>
              </w:rPr>
              <w:t>Yes</w:t>
            </w:r>
          </w:p>
        </w:tc>
      </w:tr>
      <w:tr w:rsidR="00A3536E" w:rsidRPr="00236D91" w14:paraId="68626755" w14:textId="77777777" w:rsidTr="000C0509">
        <w:tc>
          <w:tcPr>
            <w:tcW w:w="0" w:type="auto"/>
            <w:tcBorders>
              <w:top w:val="dotted" w:sz="4" w:space="0" w:color="309CC8" w:themeColor="accent3"/>
              <w:bottom w:val="dotted" w:sz="4" w:space="0" w:color="309CC8" w:themeColor="accent3"/>
            </w:tcBorders>
            <w:vAlign w:val="center"/>
          </w:tcPr>
          <w:p w14:paraId="441B2647" w14:textId="77777777" w:rsidR="00A3536E" w:rsidRPr="000E7A47" w:rsidRDefault="00A3536E" w:rsidP="000C5FB3">
            <w:pPr>
              <w:spacing w:before="60" w:after="60"/>
              <w:rPr>
                <w:rFonts w:cs="Arial"/>
                <w:sz w:val="20"/>
                <w:szCs w:val="20"/>
              </w:rPr>
            </w:pPr>
            <w:r w:rsidRPr="000E7A47">
              <w:rPr>
                <w:rFonts w:cs="Arial"/>
                <w:sz w:val="20"/>
                <w:szCs w:val="20"/>
              </w:rPr>
              <w:t>Net energy consumption 2010 to 2012</w:t>
            </w:r>
          </w:p>
        </w:tc>
        <w:tc>
          <w:tcPr>
            <w:tcW w:w="0" w:type="auto"/>
            <w:tcBorders>
              <w:top w:val="dotted" w:sz="4" w:space="0" w:color="309CC8" w:themeColor="accent3"/>
              <w:bottom w:val="dotted" w:sz="4" w:space="0" w:color="309CC8" w:themeColor="accent3"/>
            </w:tcBorders>
            <w:vAlign w:val="center"/>
          </w:tcPr>
          <w:p w14:paraId="609848B5" w14:textId="77777777" w:rsidR="00A3536E" w:rsidRPr="000E7A47" w:rsidRDefault="00A3536E" w:rsidP="00B16BAA">
            <w:pPr>
              <w:spacing w:before="60" w:after="60"/>
              <w:rPr>
                <w:rFonts w:cs="Arial"/>
                <w:sz w:val="20"/>
                <w:szCs w:val="20"/>
              </w:rPr>
            </w:pPr>
            <w:r w:rsidRPr="000E7A47">
              <w:rPr>
                <w:rFonts w:cs="Arial"/>
                <w:sz w:val="20"/>
                <w:szCs w:val="20"/>
              </w:rPr>
              <w:t xml:space="preserve">Data that preceded that listed under </w:t>
            </w:r>
            <w:r w:rsidR="003B32D0" w:rsidRPr="000E7A47">
              <w:rPr>
                <w:rFonts w:cs="Arial"/>
                <w:sz w:val="20"/>
                <w:szCs w:val="20"/>
              </w:rPr>
              <w:t xml:space="preserve">corporate </w:t>
            </w:r>
            <w:r w:rsidRPr="000E7A47">
              <w:rPr>
                <w:rFonts w:cs="Arial"/>
                <w:sz w:val="20"/>
                <w:szCs w:val="20"/>
              </w:rPr>
              <w:t>emissions and energy data.</w:t>
            </w:r>
          </w:p>
        </w:tc>
        <w:tc>
          <w:tcPr>
            <w:tcW w:w="0" w:type="auto"/>
            <w:tcBorders>
              <w:top w:val="dotted" w:sz="4" w:space="0" w:color="309CC8" w:themeColor="accent3"/>
              <w:bottom w:val="dotted" w:sz="4" w:space="0" w:color="309CC8" w:themeColor="accent3"/>
            </w:tcBorders>
            <w:shd w:val="clear" w:color="auto" w:fill="auto"/>
            <w:vAlign w:val="center"/>
          </w:tcPr>
          <w:p w14:paraId="4D2A3C91" w14:textId="77777777" w:rsidR="00A3536E" w:rsidRPr="000E7A47" w:rsidRDefault="00A3536E" w:rsidP="000C5FB3">
            <w:pPr>
              <w:spacing w:before="60" w:after="60"/>
              <w:rPr>
                <w:rFonts w:cs="Arial"/>
                <w:sz w:val="20"/>
                <w:szCs w:val="20"/>
              </w:rPr>
            </w:pPr>
            <w:r w:rsidRPr="000E7A47">
              <w:rPr>
                <w:rFonts w:cs="Arial"/>
                <w:sz w:val="20"/>
                <w:szCs w:val="20"/>
              </w:rPr>
              <w:t>No</w:t>
            </w:r>
          </w:p>
        </w:tc>
      </w:tr>
      <w:tr w:rsidR="00A3536E" w:rsidRPr="00236D91" w14:paraId="7B26C50A" w14:textId="77777777" w:rsidTr="000C0509">
        <w:tc>
          <w:tcPr>
            <w:tcW w:w="0" w:type="auto"/>
            <w:tcBorders>
              <w:top w:val="dotted" w:sz="4" w:space="0" w:color="309CC8" w:themeColor="accent3"/>
              <w:bottom w:val="dotted" w:sz="4" w:space="0" w:color="309CC8" w:themeColor="accent3"/>
            </w:tcBorders>
            <w:shd w:val="clear" w:color="auto" w:fill="D4EBF4" w:themeFill="accent1" w:themeFillTint="33"/>
            <w:vAlign w:val="center"/>
          </w:tcPr>
          <w:p w14:paraId="22230DDC" w14:textId="77777777" w:rsidR="00A3536E" w:rsidRPr="000E7A47" w:rsidRDefault="00A3536E" w:rsidP="000C5FB3">
            <w:pPr>
              <w:spacing w:before="60" w:after="60"/>
              <w:rPr>
                <w:rFonts w:cs="Arial"/>
                <w:b/>
                <w:sz w:val="20"/>
                <w:szCs w:val="20"/>
              </w:rPr>
            </w:pPr>
            <w:r w:rsidRPr="000E7A47">
              <w:rPr>
                <w:rFonts w:cs="Arial"/>
                <w:b/>
                <w:sz w:val="20"/>
                <w:szCs w:val="20"/>
              </w:rPr>
              <w:t>Aggregated data</w:t>
            </w:r>
          </w:p>
        </w:tc>
        <w:tc>
          <w:tcPr>
            <w:tcW w:w="0" w:type="auto"/>
            <w:tcBorders>
              <w:top w:val="dotted" w:sz="4" w:space="0" w:color="309CC8" w:themeColor="accent3"/>
              <w:bottom w:val="dotted" w:sz="4" w:space="0" w:color="309CC8" w:themeColor="accent3"/>
            </w:tcBorders>
            <w:shd w:val="clear" w:color="auto" w:fill="D4EBF4" w:themeFill="accent1" w:themeFillTint="33"/>
            <w:vAlign w:val="center"/>
          </w:tcPr>
          <w:p w14:paraId="35D76C91" w14:textId="77777777" w:rsidR="00A3536E" w:rsidRPr="000E7A47" w:rsidRDefault="00A3536E" w:rsidP="000C5FB3">
            <w:pPr>
              <w:spacing w:before="60" w:after="60"/>
              <w:rPr>
                <w:rFonts w:cs="Arial"/>
                <w:sz w:val="20"/>
                <w:szCs w:val="20"/>
              </w:rPr>
            </w:pPr>
          </w:p>
        </w:tc>
        <w:tc>
          <w:tcPr>
            <w:tcW w:w="0" w:type="auto"/>
            <w:tcBorders>
              <w:top w:val="dotted" w:sz="4" w:space="0" w:color="309CC8" w:themeColor="accent3"/>
              <w:bottom w:val="dotted" w:sz="4" w:space="0" w:color="309CC8" w:themeColor="accent3"/>
            </w:tcBorders>
            <w:shd w:val="clear" w:color="auto" w:fill="D4EBF4" w:themeFill="accent1" w:themeFillTint="33"/>
            <w:vAlign w:val="center"/>
          </w:tcPr>
          <w:p w14:paraId="246CC0A2" w14:textId="77777777" w:rsidR="00A3536E" w:rsidRPr="000E7A47" w:rsidRDefault="00A3536E" w:rsidP="000C5FB3">
            <w:pPr>
              <w:spacing w:before="60" w:after="60"/>
              <w:rPr>
                <w:rFonts w:cs="Arial"/>
                <w:sz w:val="20"/>
                <w:szCs w:val="20"/>
              </w:rPr>
            </w:pPr>
          </w:p>
        </w:tc>
      </w:tr>
      <w:tr w:rsidR="00A3536E" w:rsidRPr="00236D91" w14:paraId="3688F0EF" w14:textId="77777777" w:rsidTr="000C0509">
        <w:tc>
          <w:tcPr>
            <w:tcW w:w="0" w:type="auto"/>
            <w:tcBorders>
              <w:top w:val="dotted" w:sz="4" w:space="0" w:color="309CC8" w:themeColor="accent3"/>
              <w:bottom w:val="dotted" w:sz="4" w:space="0" w:color="309CC8" w:themeColor="accent3"/>
            </w:tcBorders>
            <w:vAlign w:val="center"/>
          </w:tcPr>
          <w:p w14:paraId="196207B2" w14:textId="77777777" w:rsidR="00A3536E" w:rsidRPr="000E7A47" w:rsidRDefault="00A3536E" w:rsidP="000C5FB3">
            <w:pPr>
              <w:spacing w:before="60" w:after="60"/>
              <w:rPr>
                <w:rFonts w:cs="Arial"/>
                <w:sz w:val="20"/>
                <w:szCs w:val="20"/>
              </w:rPr>
            </w:pPr>
            <w:r w:rsidRPr="000E7A47">
              <w:rPr>
                <w:rFonts w:cs="Arial"/>
                <w:sz w:val="20"/>
                <w:szCs w:val="20"/>
              </w:rPr>
              <w:t>A closer look at emissions and energy data</w:t>
            </w:r>
          </w:p>
        </w:tc>
        <w:tc>
          <w:tcPr>
            <w:tcW w:w="0" w:type="auto"/>
            <w:tcBorders>
              <w:top w:val="dotted" w:sz="4" w:space="0" w:color="309CC8" w:themeColor="accent3"/>
              <w:bottom w:val="dotted" w:sz="4" w:space="0" w:color="309CC8" w:themeColor="accent3"/>
            </w:tcBorders>
            <w:vAlign w:val="center"/>
          </w:tcPr>
          <w:p w14:paraId="60CE0344" w14:textId="77777777" w:rsidR="00A3536E" w:rsidRPr="000E7A47" w:rsidRDefault="00A3536E" w:rsidP="000C5FB3">
            <w:pPr>
              <w:spacing w:before="60" w:after="60"/>
              <w:rPr>
                <w:rFonts w:cs="Arial"/>
                <w:sz w:val="20"/>
                <w:szCs w:val="20"/>
              </w:rPr>
            </w:pPr>
            <w:r w:rsidRPr="000E7A47">
              <w:rPr>
                <w:rFonts w:cs="Arial"/>
                <w:sz w:val="20"/>
                <w:szCs w:val="20"/>
              </w:rPr>
              <w:t xml:space="preserve">Summarised information </w:t>
            </w:r>
            <w:r w:rsidR="00170372" w:rsidRPr="000E7A47">
              <w:rPr>
                <w:rFonts w:cs="Arial"/>
                <w:sz w:val="20"/>
                <w:szCs w:val="20"/>
              </w:rPr>
              <w:t xml:space="preserve">from the reporting data </w:t>
            </w:r>
            <w:r w:rsidRPr="000E7A47">
              <w:rPr>
                <w:rFonts w:cs="Arial"/>
                <w:sz w:val="20"/>
                <w:szCs w:val="20"/>
              </w:rPr>
              <w:t>on emissions, energy consumption and production across industries, states and territories.</w:t>
            </w:r>
          </w:p>
        </w:tc>
        <w:tc>
          <w:tcPr>
            <w:tcW w:w="0" w:type="auto"/>
            <w:tcBorders>
              <w:top w:val="dotted" w:sz="4" w:space="0" w:color="309CC8" w:themeColor="accent3"/>
              <w:bottom w:val="dotted" w:sz="4" w:space="0" w:color="309CC8" w:themeColor="accent3"/>
            </w:tcBorders>
            <w:shd w:val="clear" w:color="auto" w:fill="auto"/>
            <w:vAlign w:val="center"/>
          </w:tcPr>
          <w:p w14:paraId="5A602C1B" w14:textId="77777777" w:rsidR="00A3536E" w:rsidRPr="000E7A47" w:rsidRDefault="00A3536E" w:rsidP="000C5FB3">
            <w:pPr>
              <w:spacing w:before="60" w:after="60"/>
              <w:rPr>
                <w:rFonts w:cs="Arial"/>
                <w:sz w:val="20"/>
                <w:szCs w:val="20"/>
              </w:rPr>
            </w:pPr>
            <w:r w:rsidRPr="000E7A47">
              <w:rPr>
                <w:rFonts w:cs="Arial"/>
                <w:sz w:val="20"/>
                <w:szCs w:val="20"/>
              </w:rPr>
              <w:t>No</w:t>
            </w:r>
          </w:p>
        </w:tc>
      </w:tr>
      <w:tr w:rsidR="00A3536E" w:rsidRPr="00236D91" w14:paraId="18C9F080" w14:textId="77777777" w:rsidTr="000C0509">
        <w:tc>
          <w:tcPr>
            <w:tcW w:w="0" w:type="auto"/>
            <w:tcBorders>
              <w:top w:val="dotted" w:sz="4" w:space="0" w:color="309CC8" w:themeColor="accent3"/>
              <w:bottom w:val="nil"/>
            </w:tcBorders>
            <w:vAlign w:val="center"/>
          </w:tcPr>
          <w:p w14:paraId="3E8FD498" w14:textId="77777777" w:rsidR="00A3536E" w:rsidRPr="000E7A47" w:rsidRDefault="00A3536E" w:rsidP="000C5FB3">
            <w:pPr>
              <w:spacing w:before="60" w:after="60"/>
              <w:rPr>
                <w:rFonts w:cs="Arial"/>
                <w:sz w:val="20"/>
                <w:szCs w:val="20"/>
              </w:rPr>
            </w:pPr>
            <w:r w:rsidRPr="000E7A47">
              <w:rPr>
                <w:rFonts w:cs="Arial"/>
                <w:sz w:val="20"/>
                <w:szCs w:val="20"/>
              </w:rPr>
              <w:t>Data highlights</w:t>
            </w:r>
          </w:p>
        </w:tc>
        <w:tc>
          <w:tcPr>
            <w:tcW w:w="0" w:type="auto"/>
            <w:tcBorders>
              <w:top w:val="dotted" w:sz="4" w:space="0" w:color="309CC8" w:themeColor="accent3"/>
              <w:bottom w:val="nil"/>
            </w:tcBorders>
            <w:vAlign w:val="center"/>
          </w:tcPr>
          <w:p w14:paraId="2EDBA7E8" w14:textId="77777777" w:rsidR="00A3536E" w:rsidRPr="000E7A47" w:rsidRDefault="00A3536E" w:rsidP="00B16BAA">
            <w:pPr>
              <w:spacing w:before="60" w:after="60"/>
              <w:rPr>
                <w:rFonts w:cs="Arial"/>
                <w:sz w:val="20"/>
                <w:szCs w:val="20"/>
              </w:rPr>
            </w:pPr>
            <w:r w:rsidRPr="000E7A47">
              <w:rPr>
                <w:rFonts w:cs="Arial"/>
                <w:sz w:val="20"/>
                <w:szCs w:val="20"/>
              </w:rPr>
              <w:t>Key points arising from previous year’s reporting data, presented graphically. This includes emissions by state and industry and a list of the top emitters.</w:t>
            </w:r>
          </w:p>
        </w:tc>
        <w:tc>
          <w:tcPr>
            <w:tcW w:w="0" w:type="auto"/>
            <w:tcBorders>
              <w:top w:val="dotted" w:sz="4" w:space="0" w:color="309CC8" w:themeColor="accent3"/>
              <w:bottom w:val="nil"/>
            </w:tcBorders>
            <w:shd w:val="clear" w:color="auto" w:fill="auto"/>
            <w:vAlign w:val="center"/>
          </w:tcPr>
          <w:p w14:paraId="3BC53D35" w14:textId="77777777" w:rsidR="00A3536E" w:rsidRPr="000E7A47" w:rsidRDefault="00A3536E" w:rsidP="000C5FB3">
            <w:pPr>
              <w:spacing w:before="60" w:after="60"/>
              <w:rPr>
                <w:rFonts w:cs="Arial"/>
                <w:sz w:val="20"/>
                <w:szCs w:val="20"/>
              </w:rPr>
            </w:pPr>
            <w:r w:rsidRPr="000E7A47">
              <w:rPr>
                <w:rFonts w:cs="Arial"/>
                <w:sz w:val="20"/>
                <w:szCs w:val="20"/>
              </w:rPr>
              <w:t>No</w:t>
            </w:r>
          </w:p>
        </w:tc>
      </w:tr>
    </w:tbl>
    <w:p w14:paraId="161C149A" w14:textId="77777777" w:rsidR="00C637F3" w:rsidRDefault="00A3536E" w:rsidP="00A3536E">
      <w:pPr>
        <w:pStyle w:val="CCANotesource"/>
      </w:pPr>
      <w:r w:rsidRPr="00A52D90">
        <w:rPr>
          <w:b/>
        </w:rPr>
        <w:t>Source</w:t>
      </w:r>
      <w:r w:rsidRPr="00DA1347">
        <w:t xml:space="preserve">: </w:t>
      </w:r>
      <w:r w:rsidR="00B0741B">
        <w:t>CER 2018</w:t>
      </w:r>
      <w:r w:rsidR="00A90DCB">
        <w:t>f</w:t>
      </w:r>
      <w:r w:rsidR="00B0741B" w:rsidRPr="00DA1347" w:rsidDel="00B0741B">
        <w:t xml:space="preserve"> </w:t>
      </w:r>
    </w:p>
    <w:p w14:paraId="4E4F10F7" w14:textId="77777777" w:rsidR="00C637F3" w:rsidRDefault="00C637F3">
      <w:pPr>
        <w:spacing w:after="200" w:line="276" w:lineRule="auto"/>
        <w:rPr>
          <w:rFonts w:eastAsia="Calibri" w:cs="Times New Roman"/>
          <w:bCs/>
          <w:color w:val="auto"/>
          <w:sz w:val="18"/>
          <w:szCs w:val="24"/>
          <w:lang w:eastAsia="en-GB"/>
        </w:rPr>
      </w:pPr>
      <w:r>
        <w:br w:type="page"/>
      </w:r>
    </w:p>
    <w:tbl>
      <w:tblPr>
        <w:tblStyle w:val="TableLayout1"/>
        <w:tblpPr w:leftFromText="180" w:rightFromText="180" w:vertAnchor="text" w:tblpXSpec="center" w:tblpY="1"/>
        <w:tblOverlap w:val="never"/>
        <w:tblW w:w="494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BF4" w:themeFill="accent4" w:themeFillTint="33"/>
        <w:tblLook w:val="04A0" w:firstRow="1" w:lastRow="0" w:firstColumn="1" w:lastColumn="0" w:noHBand="0" w:noVBand="1"/>
      </w:tblPr>
      <w:tblGrid>
        <w:gridCol w:w="9861"/>
      </w:tblGrid>
      <w:tr w:rsidR="00F97127" w:rsidRPr="000D5CD5" w14:paraId="76CA8062" w14:textId="77777777" w:rsidTr="00990FCB">
        <w:trPr>
          <w:cnfStyle w:val="100000000000" w:firstRow="1" w:lastRow="0" w:firstColumn="0" w:lastColumn="0" w:oddVBand="0" w:evenVBand="0" w:oddHBand="0" w:evenHBand="0" w:firstRowFirstColumn="0" w:firstRowLastColumn="0" w:lastRowFirstColumn="0" w:lastRowLastColumn="0"/>
          <w:trHeight w:val="425"/>
          <w:jc w:val="center"/>
        </w:trPr>
        <w:tc>
          <w:tcPr>
            <w:tcW w:w="5000" w:type="pct"/>
            <w:shd w:val="clear" w:color="auto" w:fill="D4EBF4" w:themeFill="accent4" w:themeFillTint="33"/>
          </w:tcPr>
          <w:p w14:paraId="4A4AB656" w14:textId="77777777" w:rsidR="00F97127" w:rsidRPr="00FA4FC5" w:rsidRDefault="00F97127" w:rsidP="009947F2">
            <w:pPr>
              <w:pStyle w:val="CCABoxheading"/>
              <w:framePr w:hSpace="0" w:wrap="auto" w:vAnchor="margin" w:xAlign="left" w:yAlign="inline"/>
              <w:suppressOverlap w:val="0"/>
              <w:rPr>
                <w:sz w:val="24"/>
                <w:szCs w:val="22"/>
              </w:rPr>
            </w:pPr>
            <w:bookmarkStart w:id="531" w:name="_Ref531723613"/>
            <w:bookmarkStart w:id="532" w:name="_Toc531764071"/>
            <w:bookmarkStart w:id="533" w:name="_Toc532912048"/>
            <w:bookmarkStart w:id="534" w:name="_Toc532914036"/>
            <w:r w:rsidRPr="00FA4FC5">
              <w:rPr>
                <w:sz w:val="22"/>
              </w:rPr>
              <w:lastRenderedPageBreak/>
              <w:t>Climate-related financial risk disclosure</w:t>
            </w:r>
            <w:bookmarkEnd w:id="531"/>
            <w:bookmarkEnd w:id="532"/>
            <w:bookmarkEnd w:id="533"/>
            <w:bookmarkEnd w:id="534"/>
          </w:p>
          <w:p w14:paraId="2F41DC95" w14:textId="77777777" w:rsidR="00F97127" w:rsidRPr="00F97127" w:rsidRDefault="00F97127" w:rsidP="00F97127">
            <w:pPr>
              <w:pStyle w:val="CCABodytext"/>
            </w:pPr>
            <w:r w:rsidRPr="00F97127">
              <w:t>The National Greenhouse and Energy Reporting scheme provides information that investors and companies can draw on for climate-related financial risk disclosure.</w:t>
            </w:r>
          </w:p>
          <w:p w14:paraId="0CB803B8" w14:textId="70F596CD" w:rsidR="00F97127" w:rsidRPr="00F97127" w:rsidRDefault="00F97127" w:rsidP="00F97127">
            <w:pPr>
              <w:pStyle w:val="CCABodytext"/>
            </w:pPr>
            <w:r w:rsidRPr="00F97127">
              <w:t>Financial regulators, institutional investors and shareholders are placing increasing pressure on companies to report climate risks and how they are being managed (for example ACSI 2017</w:t>
            </w:r>
            <w:r w:rsidR="00B15D24">
              <w:t>,</w:t>
            </w:r>
            <w:r w:rsidR="00B15D24" w:rsidRPr="00F97127">
              <w:t xml:space="preserve"> IGCC 2016</w:t>
            </w:r>
            <w:r w:rsidRPr="00F97127">
              <w:t xml:space="preserve">). The Australian Prudential Regulation Authority has recognised climate change imposes ‘foreseeable, material and actionable’ financial risks on Australian companies (Summerhayes 2017). The Australian regulatory framework </w:t>
            </w:r>
            <w:r w:rsidR="00260229">
              <w:t>for</w:t>
            </w:r>
            <w:r w:rsidRPr="00F97127">
              <w:t xml:space="preserve"> financial reporting may already require disclosure of climate risks. The </w:t>
            </w:r>
            <w:r w:rsidRPr="00F97127">
              <w:rPr>
                <w:i/>
              </w:rPr>
              <w:t>Corporations Act 2001</w:t>
            </w:r>
            <w:r w:rsidRPr="00F97127">
              <w:t xml:space="preserve"> (Cth) requires company directors to report on ‘any matter …that has significantly affected, or may significantly affect the entity… in future financial years’ (s</w:t>
            </w:r>
            <w:r w:rsidR="0023341F">
              <w:t>. </w:t>
            </w:r>
            <w:r w:rsidRPr="00F97127">
              <w:t xml:space="preserve">299). </w:t>
            </w:r>
            <w:r w:rsidR="00990FCB">
              <w:t xml:space="preserve">The </w:t>
            </w:r>
            <w:r w:rsidR="00990FCB" w:rsidRPr="00990FCB">
              <w:t>Australian Securities and Investments Commission</w:t>
            </w:r>
            <w:r w:rsidRPr="00F97127">
              <w:t xml:space="preserve"> has issued guidance that these matters include environmental risks (ASIC 2016). Legal advice provided by Noel Hu</w:t>
            </w:r>
            <w:r w:rsidR="006B635D">
              <w:t>tley SC and Sebastian Hartford</w:t>
            </w:r>
            <w:r w:rsidR="006B635D">
              <w:noBreakHyphen/>
            </w:r>
            <w:r w:rsidRPr="00F97127">
              <w:t xml:space="preserve">Davis to the Centre for Policy Development stated that directors have legal obligations to consider climate change risks and if they don’t they could be found liable for breaching their duty of care and diligence in the future </w:t>
            </w:r>
            <w:r w:rsidR="00B15D24">
              <w:t>(CPD 2016)</w:t>
            </w:r>
            <w:r w:rsidRPr="00F97127">
              <w:t xml:space="preserve">. </w:t>
            </w:r>
          </w:p>
          <w:p w14:paraId="0A73572E" w14:textId="4240C747" w:rsidR="00F97127" w:rsidRPr="00F97127" w:rsidRDefault="00F97127" w:rsidP="00F97127">
            <w:pPr>
              <w:pStyle w:val="CCABodytext"/>
            </w:pPr>
            <w:r w:rsidRPr="00F97127">
              <w:t>Information about the emissions associated with a company’s activities can assist investors to understand the degree of risk the global transition to a lower-carbon economy exposes the company to. The Task Force on Climate</w:t>
            </w:r>
            <w:r w:rsidR="00405E73">
              <w:t>-r</w:t>
            </w:r>
            <w:r w:rsidRPr="00F97127">
              <w:t>elated Financial Disclosures recommends</w:t>
            </w:r>
            <w:r w:rsidR="001C4916">
              <w:t xml:space="preserve"> companies disclose their scope </w:t>
            </w:r>
            <w:r w:rsidRPr="00F97127">
              <w:t>1 and scope 2 emissions and the related risks in their financial reporting, as well as scope 3 emissions if appropriate (TCFD 2017</w:t>
            </w:r>
            <w:r w:rsidR="00B15D24">
              <w:t>a</w:t>
            </w:r>
            <w:r w:rsidRPr="00F97127">
              <w:t>).</w:t>
            </w:r>
            <w:r w:rsidRPr="00F97127">
              <w:rPr>
                <w:rStyle w:val="FootnoteReference"/>
              </w:rPr>
              <w:footnoteReference w:id="16"/>
            </w:r>
            <w:r w:rsidRPr="00F97127">
              <w:t xml:space="preserve"> </w:t>
            </w:r>
          </w:p>
          <w:p w14:paraId="05E42F12" w14:textId="3F19EB00" w:rsidR="00F97127" w:rsidRPr="00F97127" w:rsidRDefault="00F97127" w:rsidP="00F97127">
            <w:pPr>
              <w:pStyle w:val="CCABodytext"/>
            </w:pPr>
            <w:r w:rsidRPr="00F97127">
              <w:t>While the current reporting framework does not include scope 3 emissions, the data reported on scope</w:t>
            </w:r>
            <w:r w:rsidR="001C4916">
              <w:t> </w:t>
            </w:r>
            <w:r w:rsidRPr="00F97127">
              <w:t>1 and 2 emissions and energy use could be used to help inform climate-related financial risk disclosure statements. In its submission on this review, ClimateWorks said emissions and energy data is valuable for investors to understand climate risk exposure and that further disclosure would help pric</w:t>
            </w:r>
            <w:r w:rsidR="001C4916">
              <w:t>e these risks into the market</w:t>
            </w:r>
            <w:r w:rsidRPr="00F97127">
              <w:t>.</w:t>
            </w:r>
          </w:p>
          <w:p w14:paraId="1DEE713A" w14:textId="5754C9CB" w:rsidR="00F97127" w:rsidRPr="00F97127" w:rsidRDefault="00F97127" w:rsidP="00F97127">
            <w:pPr>
              <w:pStyle w:val="CCABodytext"/>
            </w:pPr>
            <w:r w:rsidRPr="00F97127">
              <w:t xml:space="preserve">Companies, market analysts and the </w:t>
            </w:r>
            <w:r w:rsidR="001C4916">
              <w:t>T</w:t>
            </w:r>
            <w:r w:rsidR="00990FCB">
              <w:t xml:space="preserve">ask </w:t>
            </w:r>
            <w:r w:rsidR="001C4916">
              <w:t>F</w:t>
            </w:r>
            <w:r w:rsidR="00990FCB">
              <w:t>orce</w:t>
            </w:r>
            <w:r w:rsidRPr="00F97127">
              <w:t xml:space="preserve"> have identified the lack of standardised metrics as a barrier to companies adequately disclosing their climate risks (EY 2018, </w:t>
            </w:r>
            <w:r w:rsidR="00B15D24" w:rsidRPr="00F97127">
              <w:t xml:space="preserve">SBA 2017, </w:t>
            </w:r>
            <w:r w:rsidRPr="00F97127">
              <w:t>TCFD 2017</w:t>
            </w:r>
            <w:r w:rsidR="00B15D24">
              <w:t>a</w:t>
            </w:r>
            <w:r w:rsidRPr="00F97127">
              <w:t xml:space="preserve">). The Authority supports further work </w:t>
            </w:r>
            <w:r w:rsidR="00260229">
              <w:t>o</w:t>
            </w:r>
            <w:r w:rsidRPr="00F97127">
              <w:t>n this through collaborative efforts between the public and private sectors. In developing principles to underpin metrics for climate risk disclosure, it is important that agencies responsible for financial regulation and policy development work with those responsible for emissions and energy reporting data</w:t>
            </w:r>
            <w:r w:rsidR="00405E73">
              <w:t>,</w:t>
            </w:r>
            <w:r w:rsidRPr="00F97127">
              <w:t xml:space="preserve"> and energy and climate policies. Metrics should build on existing data and minimise the burden on business.</w:t>
            </w:r>
          </w:p>
          <w:p w14:paraId="5F7A6D93" w14:textId="27D3C0B7" w:rsidR="00F97127" w:rsidRPr="000D5CD5" w:rsidRDefault="00F97127" w:rsidP="00F97127">
            <w:pPr>
              <w:pStyle w:val="CCABodytext"/>
            </w:pPr>
            <w:r w:rsidRPr="00F97127">
              <w:t xml:space="preserve">The Authority is of the view </w:t>
            </w:r>
            <w:r w:rsidRPr="00681041">
              <w:t>that</w:t>
            </w:r>
            <w:r w:rsidRPr="00F97127">
              <w:t xml:space="preserve"> while the reporting data should continue to be used by companies to inform their climate-related financial risk disclosures, the </w:t>
            </w:r>
            <w:r w:rsidR="001C4916">
              <w:t xml:space="preserve">reporting </w:t>
            </w:r>
            <w:r w:rsidRPr="00F97127">
              <w:t>scheme should not be expanded to include other aspects of these disclosures. This view is supported by stakeholders. For example, one stakeholder cautioned against expanding the scope of the reporting scheme if other mechanisms already exist for reporters to communicate with their stakeholders on climate-related risks.</w:t>
            </w:r>
          </w:p>
        </w:tc>
      </w:tr>
    </w:tbl>
    <w:p w14:paraId="51AC2397" w14:textId="77777777" w:rsidR="00055EBF" w:rsidRDefault="00055EBF" w:rsidP="004D105C">
      <w:pPr>
        <w:pStyle w:val="CCABodytext"/>
        <w:sectPr w:rsidR="00055EBF" w:rsidSect="00041493">
          <w:pgSz w:w="11907" w:h="16840" w:code="9"/>
          <w:pgMar w:top="1418" w:right="1077" w:bottom="851" w:left="1077" w:header="850" w:footer="720" w:gutter="0"/>
          <w:pgNumType w:chapStyle="1" w:chapSep="emDash"/>
          <w:cols w:space="720"/>
          <w:docGrid w:linePitch="360"/>
        </w:sectPr>
      </w:pPr>
    </w:p>
    <w:p w14:paraId="53DE3896" w14:textId="77777777" w:rsidR="00A3536E" w:rsidRDefault="00055EBF" w:rsidP="00C813C5">
      <w:pPr>
        <w:pStyle w:val="CCAHeading1"/>
      </w:pPr>
      <w:bookmarkStart w:id="535" w:name="_Toc528770233"/>
      <w:bookmarkStart w:id="536" w:name="_Toc529183868"/>
      <w:bookmarkStart w:id="537" w:name="_Toc529187680"/>
      <w:bookmarkStart w:id="538" w:name="_Toc529188106"/>
      <w:bookmarkStart w:id="539" w:name="_Toc529377756"/>
      <w:bookmarkStart w:id="540" w:name="_Toc529389697"/>
      <w:bookmarkStart w:id="541" w:name="_Toc531095572"/>
      <w:bookmarkStart w:id="542" w:name="_Toc531099338"/>
      <w:bookmarkStart w:id="543" w:name="_Toc531101747"/>
      <w:bookmarkStart w:id="544" w:name="_Toc531764015"/>
      <w:bookmarkStart w:id="545" w:name="_Toc532912107"/>
      <w:bookmarkStart w:id="546" w:name="_Toc532914949"/>
      <w:r>
        <w:lastRenderedPageBreak/>
        <w:t xml:space="preserve">The reporting scheme: </w:t>
      </w:r>
      <w:r w:rsidR="00A3536E">
        <w:t xml:space="preserve">What </w:t>
      </w:r>
      <w:r w:rsidR="00A3536E" w:rsidRPr="00F92F48">
        <w:t>could</w:t>
      </w:r>
      <w:r w:rsidR="00A3536E">
        <w:t xml:space="preserve"> be improved?</w:t>
      </w:r>
      <w:bookmarkEnd w:id="535"/>
      <w:bookmarkEnd w:id="536"/>
      <w:bookmarkEnd w:id="537"/>
      <w:bookmarkEnd w:id="538"/>
      <w:bookmarkEnd w:id="539"/>
      <w:bookmarkEnd w:id="540"/>
      <w:bookmarkEnd w:id="541"/>
      <w:bookmarkEnd w:id="542"/>
      <w:bookmarkEnd w:id="543"/>
      <w:bookmarkEnd w:id="544"/>
      <w:bookmarkEnd w:id="545"/>
      <w:bookmarkEnd w:id="546"/>
    </w:p>
    <w:p w14:paraId="0F2DBF71" w14:textId="77777777" w:rsidR="00C12F51" w:rsidRPr="00C23DB2" w:rsidRDefault="004F26A4" w:rsidP="00C23DB2">
      <w:pPr>
        <w:pStyle w:val="CCABodytext"/>
      </w:pPr>
      <w:r>
        <w:t>As discussed in C</w:t>
      </w:r>
      <w:r w:rsidR="00C12F51" w:rsidRPr="00B15B2C">
        <w:t xml:space="preserve">hapter </w:t>
      </w:r>
      <w:r w:rsidR="007646E3" w:rsidRPr="00B15B2C">
        <w:t>3</w:t>
      </w:r>
      <w:r>
        <w:t>,</w:t>
      </w:r>
      <w:r w:rsidR="007646E3" w:rsidRPr="00B15B2C">
        <w:t xml:space="preserve"> </w:t>
      </w:r>
      <w:r>
        <w:t>t</w:t>
      </w:r>
      <w:r w:rsidR="007646E3" w:rsidRPr="00B15B2C">
        <w:t xml:space="preserve">he </w:t>
      </w:r>
      <w:r w:rsidR="000C0509">
        <w:t>Climate Change</w:t>
      </w:r>
      <w:r w:rsidR="007646E3" w:rsidRPr="00B15B2C">
        <w:t xml:space="preserve"> Authority found </w:t>
      </w:r>
      <w:r w:rsidR="00C23DB2" w:rsidRPr="00B15B2C">
        <w:t xml:space="preserve">the </w:t>
      </w:r>
      <w:r w:rsidR="00C12F51" w:rsidRPr="00B15B2C">
        <w:t xml:space="preserve">reporting scheme is </w:t>
      </w:r>
      <w:r w:rsidR="00E378CF" w:rsidRPr="00B15B2C">
        <w:t xml:space="preserve">generally working well, has broad support and is </w:t>
      </w:r>
      <w:r w:rsidR="00C12F51" w:rsidRPr="00B15B2C">
        <w:t>meeting its objective</w:t>
      </w:r>
      <w:r w:rsidR="00C23DB2" w:rsidRPr="00B15B2C">
        <w:t>. However,</w:t>
      </w:r>
      <w:r w:rsidR="00C12F51" w:rsidRPr="00B15B2C">
        <w:t xml:space="preserve"> the</w:t>
      </w:r>
      <w:r w:rsidR="00E378CF" w:rsidRPr="00B15B2C">
        <w:t xml:space="preserve"> Authority </w:t>
      </w:r>
      <w:r>
        <w:t xml:space="preserve">has also </w:t>
      </w:r>
      <w:r w:rsidR="00E378CF" w:rsidRPr="00B15B2C">
        <w:t xml:space="preserve">identified </w:t>
      </w:r>
      <w:r w:rsidR="00C12F51" w:rsidRPr="00B15B2C">
        <w:t>a number of opportunities for improvements. Many of these opportunities</w:t>
      </w:r>
      <w:r w:rsidR="0057312B">
        <w:t xml:space="preserve">, which are described in </w:t>
      </w:r>
      <w:r w:rsidR="00E27D1D">
        <w:t>t</w:t>
      </w:r>
      <w:r w:rsidR="0057312B">
        <w:t>his chapter,</w:t>
      </w:r>
      <w:r w:rsidR="00C12F51" w:rsidRPr="00B15B2C">
        <w:t xml:space="preserve"> can reduce costs to businesses or the scheme’s administrators, while further enhancing the integrity of the data collected. </w:t>
      </w:r>
    </w:p>
    <w:p w14:paraId="69160992" w14:textId="58CA3E44" w:rsidR="00A3536E" w:rsidRDefault="001E5DB3" w:rsidP="00C813C5">
      <w:pPr>
        <w:pStyle w:val="CCAHeading2"/>
      </w:pPr>
      <w:bookmarkStart w:id="547" w:name="_Toc528770234"/>
      <w:bookmarkStart w:id="548" w:name="_Toc529183869"/>
      <w:bookmarkStart w:id="549" w:name="_Toc529187681"/>
      <w:bookmarkStart w:id="550" w:name="_Toc529188107"/>
      <w:bookmarkStart w:id="551" w:name="_Toc529377757"/>
      <w:bookmarkStart w:id="552" w:name="_Toc529389698"/>
      <w:bookmarkStart w:id="553" w:name="_Ref529392631"/>
      <w:bookmarkStart w:id="554" w:name="_Toc531095573"/>
      <w:bookmarkStart w:id="555" w:name="_Toc531099339"/>
      <w:bookmarkStart w:id="556" w:name="_Toc531101748"/>
      <w:bookmarkStart w:id="557" w:name="_Toc531764016"/>
      <w:bookmarkStart w:id="558" w:name="_Toc532912108"/>
      <w:bookmarkStart w:id="559" w:name="_Toc532914950"/>
      <w:r>
        <w:t>S</w:t>
      </w:r>
      <w:r w:rsidR="00A3536E">
        <w:t xml:space="preserve">treamlining government requirements for </w:t>
      </w:r>
      <w:r w:rsidR="00461AB4">
        <w:t xml:space="preserve">emissions and </w:t>
      </w:r>
      <w:r w:rsidR="00A3536E">
        <w:t xml:space="preserve">energy </w:t>
      </w:r>
      <w:bookmarkEnd w:id="547"/>
      <w:bookmarkEnd w:id="548"/>
      <w:bookmarkEnd w:id="549"/>
      <w:bookmarkEnd w:id="550"/>
      <w:r w:rsidR="005D34F9">
        <w:t>data</w:t>
      </w:r>
      <w:bookmarkEnd w:id="551"/>
      <w:bookmarkEnd w:id="552"/>
      <w:bookmarkEnd w:id="553"/>
      <w:bookmarkEnd w:id="554"/>
      <w:bookmarkEnd w:id="555"/>
      <w:bookmarkEnd w:id="556"/>
      <w:bookmarkEnd w:id="557"/>
      <w:bookmarkEnd w:id="558"/>
      <w:bookmarkEnd w:id="559"/>
    </w:p>
    <w:p w14:paraId="0D7A16BC" w14:textId="02FD0300" w:rsidR="000E6BFE" w:rsidRDefault="00C27F8B" w:rsidP="00C40E60">
      <w:pPr>
        <w:pStyle w:val="CCABodytext"/>
      </w:pPr>
      <w:r>
        <w:t>T</w:t>
      </w:r>
      <w:r w:rsidR="00A3536E">
        <w:t xml:space="preserve">here may be opportunities for </w:t>
      </w:r>
      <w:r w:rsidR="0057312B">
        <w:t>further</w:t>
      </w:r>
      <w:r w:rsidR="00A3536E">
        <w:t xml:space="preserve"> streamlining of business reporting obligations</w:t>
      </w:r>
      <w:r w:rsidR="005D34F9">
        <w:t xml:space="preserve"> to governments</w:t>
      </w:r>
      <w:r w:rsidR="00A3536E">
        <w:t xml:space="preserve">. </w:t>
      </w:r>
      <w:r w:rsidR="000E6BFE">
        <w:t xml:space="preserve">The Australian Government </w:t>
      </w:r>
      <w:r w:rsidR="005D34F9">
        <w:t xml:space="preserve">and some states and territories have a small number of </w:t>
      </w:r>
      <w:r w:rsidR="000E6BFE">
        <w:t xml:space="preserve">programs that overlap to some extent </w:t>
      </w:r>
      <w:r w:rsidR="005D34F9">
        <w:t>with the reporting scheme</w:t>
      </w:r>
      <w:r w:rsidR="00367063">
        <w:t>,</w:t>
      </w:r>
      <w:r w:rsidR="005D34F9">
        <w:t xml:space="preserve"> </w:t>
      </w:r>
      <w:r w:rsidR="000E6BFE">
        <w:t xml:space="preserve">in terms of activities reported </w:t>
      </w:r>
      <w:r>
        <w:t>and</w:t>
      </w:r>
      <w:r w:rsidR="000E6BFE">
        <w:t xml:space="preserve"> businesses required to report. Further reporting requirements are </w:t>
      </w:r>
      <w:r w:rsidR="005D34F9">
        <w:t xml:space="preserve">also </w:t>
      </w:r>
      <w:r w:rsidR="000E6BFE">
        <w:t>expected in the near future</w:t>
      </w:r>
      <w:r w:rsidR="00367063">
        <w:t>;</w:t>
      </w:r>
      <w:r w:rsidR="0031560F">
        <w:t xml:space="preserve"> for example</w:t>
      </w:r>
      <w:r w:rsidR="00367063">
        <w:t>,</w:t>
      </w:r>
      <w:r w:rsidR="0031560F">
        <w:t xml:space="preserve"> for compliance under the </w:t>
      </w:r>
      <w:r w:rsidR="00460DA7" w:rsidRPr="007F3DC3">
        <w:t>Carbon Offsetting and Reduction Scheme for International Aviation</w:t>
      </w:r>
      <w:r w:rsidR="00460DA7">
        <w:t xml:space="preserve"> </w:t>
      </w:r>
      <w:r w:rsidR="00367063">
        <w:t>(</w:t>
      </w:r>
      <w:r w:rsidR="00C7232B">
        <w:t>S</w:t>
      </w:r>
      <w:r w:rsidR="0031560F">
        <w:t xml:space="preserve">ection </w:t>
      </w:r>
      <w:r w:rsidR="00E27D1D">
        <w:fldChar w:fldCharType="begin"/>
      </w:r>
      <w:r w:rsidR="00E27D1D">
        <w:instrText xml:space="preserve"> REF _Ref531547047 \r \h </w:instrText>
      </w:r>
      <w:r w:rsidR="00E27D1D">
        <w:fldChar w:fldCharType="separate"/>
      </w:r>
      <w:r w:rsidR="009A203A">
        <w:t>4.1.2</w:t>
      </w:r>
      <w:r w:rsidR="00E27D1D">
        <w:fldChar w:fldCharType="end"/>
      </w:r>
      <w:r w:rsidR="00367063">
        <w:t>)</w:t>
      </w:r>
      <w:r w:rsidR="000E6BFE">
        <w:t>.</w:t>
      </w:r>
    </w:p>
    <w:p w14:paraId="1FC6E4F8" w14:textId="77777777" w:rsidR="005D34F9" w:rsidRDefault="005D34F9" w:rsidP="005D34F9">
      <w:pPr>
        <w:pStyle w:val="CCABodytext"/>
        <w:rPr>
          <w:color w:val="414141"/>
        </w:rPr>
      </w:pPr>
      <w:r>
        <w:t>In this section, the Authority considers whether new or existing reporting schemes could or should share the data generated</w:t>
      </w:r>
      <w:r w:rsidR="0081776F">
        <w:t>;</w:t>
      </w:r>
      <w:r>
        <w:t xml:space="preserve"> be integrated with the National Greenhouse and Energy Reporting scheme</w:t>
      </w:r>
      <w:r w:rsidR="0081776F">
        <w:t>;</w:t>
      </w:r>
      <w:r>
        <w:t xml:space="preserve"> or draw upon the </w:t>
      </w:r>
      <w:r w:rsidR="002B71AD">
        <w:t xml:space="preserve">existing </w:t>
      </w:r>
      <w:r>
        <w:t>administrative arrangements of the reporting scheme.</w:t>
      </w:r>
    </w:p>
    <w:p w14:paraId="2C4ABA30" w14:textId="77777777" w:rsidR="005D34F9" w:rsidRDefault="005D34F9" w:rsidP="005D34F9">
      <w:pPr>
        <w:pStyle w:val="CCABodytext"/>
      </w:pPr>
      <w:r>
        <w:t>To inform its views the Authority has considered</w:t>
      </w:r>
      <w:r w:rsidR="004F26A4">
        <w:t xml:space="preserve"> if there</w:t>
      </w:r>
      <w:r>
        <w:t xml:space="preserve">: </w:t>
      </w:r>
    </w:p>
    <w:p w14:paraId="49D590D7" w14:textId="77777777" w:rsidR="009161F5" w:rsidRDefault="009161F5" w:rsidP="000D7F42">
      <w:pPr>
        <w:pStyle w:val="ListBullet"/>
      </w:pPr>
      <w:r>
        <w:t xml:space="preserve">is overlap in the information that is measured and reported </w:t>
      </w:r>
    </w:p>
    <w:p w14:paraId="212253EF" w14:textId="1E890E8C" w:rsidR="009161F5" w:rsidRPr="004B740E" w:rsidRDefault="009161F5" w:rsidP="000D7F42">
      <w:pPr>
        <w:pStyle w:val="ListBullet"/>
      </w:pPr>
      <w:r w:rsidRPr="004B740E">
        <w:t>is convergence or opportunities to align</w:t>
      </w:r>
      <w:r w:rsidR="006037FF">
        <w:t>:</w:t>
      </w:r>
      <w:r w:rsidRPr="004B740E">
        <w:t xml:space="preserve"> reporting periods, compliance deadlines or the criteria for </w:t>
      </w:r>
      <w:r w:rsidR="00184249">
        <w:t>compan</w:t>
      </w:r>
      <w:r w:rsidR="00184249" w:rsidRPr="004B740E">
        <w:t xml:space="preserve">ies </w:t>
      </w:r>
      <w:r w:rsidRPr="004B740E">
        <w:t>that will be responsible for reporting</w:t>
      </w:r>
    </w:p>
    <w:p w14:paraId="3CFACAC5" w14:textId="77777777" w:rsidR="009161F5" w:rsidRDefault="009161F5" w:rsidP="000D7F42">
      <w:pPr>
        <w:pStyle w:val="ListBullet"/>
      </w:pPr>
      <w:r>
        <w:t>are reasons to align the compliance, enforcement and data management frameworks</w:t>
      </w:r>
    </w:p>
    <w:p w14:paraId="7C41C453" w14:textId="77777777" w:rsidR="009161F5" w:rsidRDefault="009161F5" w:rsidP="000D7F42">
      <w:pPr>
        <w:pStyle w:val="ListBullet"/>
      </w:pPr>
      <w:r>
        <w:t>are administrative efficiencies to be gained through administration by the Clean Energy Regulator.</w:t>
      </w:r>
    </w:p>
    <w:p w14:paraId="02159F6A" w14:textId="77777777" w:rsidR="00196E31" w:rsidRDefault="00196E31" w:rsidP="00C813C5">
      <w:pPr>
        <w:pStyle w:val="CCAHeading3"/>
      </w:pPr>
      <w:bookmarkStart w:id="560" w:name="_Ref529391826"/>
      <w:r>
        <w:t>Increased data sharing</w:t>
      </w:r>
      <w:bookmarkEnd w:id="560"/>
    </w:p>
    <w:p w14:paraId="12915158" w14:textId="77777777" w:rsidR="00196E31" w:rsidRPr="00F92F48" w:rsidRDefault="00196E31" w:rsidP="00354794">
      <w:pPr>
        <w:pStyle w:val="CCAHeading4"/>
      </w:pPr>
      <w:r w:rsidRPr="00F92F48">
        <w:t>Petroleum and other fuels reporting</w:t>
      </w:r>
    </w:p>
    <w:p w14:paraId="6BEA5A69" w14:textId="77777777" w:rsidR="00A02F3C" w:rsidRDefault="00460DA7" w:rsidP="00E27D1D">
      <w:pPr>
        <w:pStyle w:val="CCABodytext"/>
      </w:pPr>
      <w:r w:rsidRPr="00460DA7">
        <w:t>Currently, businesses that produce, refine, wholesale or hold stocks of oil, petroleum fuels or fuel</w:t>
      </w:r>
      <w:r w:rsidR="00367063">
        <w:t>-</w:t>
      </w:r>
      <w:r w:rsidRPr="00460DA7">
        <w:t xml:space="preserve">related products are required to report monthly information relating to </w:t>
      </w:r>
      <w:r w:rsidRPr="00460DA7">
        <w:lastRenderedPageBreak/>
        <w:t xml:space="preserve">these activities to the Department of </w:t>
      </w:r>
      <w:r w:rsidR="002B71AD">
        <w:t xml:space="preserve">the </w:t>
      </w:r>
      <w:r w:rsidRPr="00460DA7">
        <w:t xml:space="preserve">Environment and Energy under the </w:t>
      </w:r>
      <w:r w:rsidRPr="00E27D1D">
        <w:rPr>
          <w:i/>
        </w:rPr>
        <w:t>Petroleum and Other Fuels Reporting Act 2017</w:t>
      </w:r>
      <w:r>
        <w:rPr>
          <w:i/>
        </w:rPr>
        <w:t xml:space="preserve"> </w:t>
      </w:r>
      <w:r>
        <w:t>(Cth)</w:t>
      </w:r>
      <w:r w:rsidRPr="00460DA7">
        <w:t xml:space="preserve">. This data is used to inform energy security policy, meet Australia’s reporting obligations as a member of the International Energy Agency and to prepare the monthly Australian Petroleum Statistics Report. </w:t>
      </w:r>
    </w:p>
    <w:p w14:paraId="189B5CE4" w14:textId="77777777" w:rsidR="00460DA7" w:rsidRPr="00460DA7" w:rsidRDefault="00A02F3C" w:rsidP="00E27D1D">
      <w:pPr>
        <w:pStyle w:val="CCABodytext"/>
      </w:pPr>
      <w:r>
        <w:t>I</w:t>
      </w:r>
      <w:r w:rsidR="00460DA7" w:rsidRPr="00460DA7">
        <w:t>n designing the mandatory petroleum statistics reporting scheme, consideration was given to information already collected by Government and opportu</w:t>
      </w:r>
      <w:r w:rsidR="00460DA7">
        <w:t xml:space="preserve">nities for data sharing across </w:t>
      </w:r>
      <w:r w:rsidR="007201EA">
        <w:t xml:space="preserve">Government </w:t>
      </w:r>
      <w:r w:rsidR="00460DA7">
        <w:t>a</w:t>
      </w:r>
      <w:r w:rsidR="00460DA7" w:rsidRPr="00460DA7">
        <w:t xml:space="preserve">gencies to reduce the regulatory burden on business. </w:t>
      </w:r>
      <w:r>
        <w:t xml:space="preserve">The Department advised the Authority that </w:t>
      </w:r>
      <w:r w:rsidRPr="00460DA7">
        <w:t>after careful review</w:t>
      </w:r>
      <w:r>
        <w:t>,</w:t>
      </w:r>
      <w:r w:rsidRPr="00460DA7">
        <w:t xml:space="preserve"> </w:t>
      </w:r>
      <w:r>
        <w:t>it</w:t>
      </w:r>
      <w:r w:rsidRPr="00460DA7">
        <w:t xml:space="preserve"> concluded the definitions, format and frequency </w:t>
      </w:r>
      <w:r w:rsidR="008E18FE">
        <w:t xml:space="preserve">used in the </w:t>
      </w:r>
      <w:r w:rsidR="00FD6959">
        <w:t xml:space="preserve">National Greenhouse </w:t>
      </w:r>
      <w:r w:rsidR="00C204F4">
        <w:t>a</w:t>
      </w:r>
      <w:r w:rsidR="00FD6959">
        <w:t xml:space="preserve">nd Energy Reporting </w:t>
      </w:r>
      <w:r w:rsidR="008E18FE">
        <w:t>scheme meant the data collected</w:t>
      </w:r>
      <w:r w:rsidRPr="00460DA7">
        <w:t xml:space="preserve"> did not </w:t>
      </w:r>
      <w:r w:rsidR="008E18FE">
        <w:t>meet</w:t>
      </w:r>
      <w:r w:rsidRPr="00460DA7">
        <w:t xml:space="preserve"> the requirements </w:t>
      </w:r>
      <w:r w:rsidR="00CD23FE">
        <w:t>for</w:t>
      </w:r>
      <w:r w:rsidR="008E18FE">
        <w:t xml:space="preserve"> </w:t>
      </w:r>
      <w:r w:rsidRPr="00460DA7">
        <w:t>petroleum reporting</w:t>
      </w:r>
      <w:r w:rsidR="00DF66D4">
        <w:t xml:space="preserve">. </w:t>
      </w:r>
      <w:r w:rsidR="00460DA7" w:rsidRPr="00460DA7">
        <w:t xml:space="preserve">A number of </w:t>
      </w:r>
      <w:r w:rsidR="008E18FE">
        <w:t xml:space="preserve">other </w:t>
      </w:r>
      <w:r w:rsidR="00460DA7" w:rsidRPr="00460DA7">
        <w:t xml:space="preserve">data sharing arrangements were put in place including with the National Offshore Petroleum Titles Administrator, the Western Australian Department of Mines, Industry Regulation and Safety, the Australian Competition and Consumer Commission, </w:t>
      </w:r>
      <w:r w:rsidR="00460DA7">
        <w:t>t</w:t>
      </w:r>
      <w:r w:rsidR="00460DA7" w:rsidRPr="00460DA7">
        <w:t xml:space="preserve">he Department of Home Affairs and the Australian Taxation Office. </w:t>
      </w:r>
    </w:p>
    <w:p w14:paraId="1B475C4A" w14:textId="32513BAB" w:rsidR="009161F5" w:rsidRDefault="00C5150A" w:rsidP="00C40E60">
      <w:pPr>
        <w:pStyle w:val="CCABodytext"/>
      </w:pPr>
      <w:r>
        <w:t>Nonetheless, t</w:t>
      </w:r>
      <w:r w:rsidR="00A02F3C">
        <w:t xml:space="preserve">he Authority </w:t>
      </w:r>
      <w:r>
        <w:t>considers</w:t>
      </w:r>
      <w:r w:rsidR="00A02F3C">
        <w:t xml:space="preserve"> there </w:t>
      </w:r>
      <w:r>
        <w:t>remains</w:t>
      </w:r>
      <w:r w:rsidR="00A02F3C">
        <w:t xml:space="preserve"> some duplication of reporting that could be reduced </w:t>
      </w:r>
      <w:r w:rsidR="008E18FE">
        <w:t>by using the petroleum data to inform the reporting scheme</w:t>
      </w:r>
      <w:r w:rsidR="00A02F3C">
        <w:t>. For example, e</w:t>
      </w:r>
      <w:r w:rsidR="00460DA7" w:rsidRPr="00460DA7">
        <w:t xml:space="preserve">nergy production data from upstream oil production, petroleum refineries and biofuel producers is collected under </w:t>
      </w:r>
      <w:r w:rsidR="00A02F3C">
        <w:t xml:space="preserve">both </w:t>
      </w:r>
      <w:r w:rsidR="00460DA7" w:rsidRPr="00460DA7">
        <w:t>scheme</w:t>
      </w:r>
      <w:r w:rsidR="00A02F3C">
        <w:t>s</w:t>
      </w:r>
      <w:r w:rsidR="00460DA7" w:rsidRPr="00460DA7">
        <w:t>.</w:t>
      </w:r>
      <w:r w:rsidR="00460DA7">
        <w:t xml:space="preserve"> </w:t>
      </w:r>
      <w:r w:rsidR="00A02F3C" w:rsidRPr="00A02F3C">
        <w:t>Some monthly data reported under the petroleum reporting framework could be aggregated and used as an input to the annual</w:t>
      </w:r>
      <w:r w:rsidR="006037FF">
        <w:t xml:space="preserve"> emissions</w:t>
      </w:r>
      <w:r w:rsidR="00A02F3C" w:rsidRPr="00A02F3C">
        <w:t xml:space="preserve"> and energy reporting, reducing the need for companies to report again. The Authority recommends the Department consider opportunities to share the </w:t>
      </w:r>
      <w:r w:rsidR="006037FF">
        <w:t xml:space="preserve">petroleum </w:t>
      </w:r>
      <w:r w:rsidR="00A02F3C" w:rsidRPr="00A02F3C">
        <w:t>data with the reporting scheme (</w:t>
      </w:r>
      <w:r w:rsidR="00A02F3C">
        <w:t>see</w:t>
      </w:r>
      <w:r w:rsidR="00A02F3C" w:rsidRPr="00A02F3C">
        <w:t xml:space="preserve"> </w:t>
      </w:r>
      <w:r w:rsidR="008B40B4">
        <w:t>S</w:t>
      </w:r>
      <w:r w:rsidR="00A02F3C" w:rsidRPr="00A02F3C">
        <w:t>ection 4.</w:t>
      </w:r>
      <w:r w:rsidR="003E4446">
        <w:t>4</w:t>
      </w:r>
      <w:r w:rsidR="00A02F3C" w:rsidRPr="00A02F3C">
        <w:t>). This would help to reduce the reporting requirements on businesses that report under both schemes and improve consistency in datasets.</w:t>
      </w:r>
    </w:p>
    <w:p w14:paraId="1BAC44F9" w14:textId="77777777" w:rsidR="000E6BFE" w:rsidRDefault="000E6BFE" w:rsidP="00354794">
      <w:pPr>
        <w:pStyle w:val="CCAHeading4"/>
      </w:pPr>
      <w:r w:rsidRPr="00B15B2C">
        <w:t>National Pollutant Inventory</w:t>
      </w:r>
    </w:p>
    <w:p w14:paraId="3ADEBFE0" w14:textId="77777777" w:rsidR="00BD4190" w:rsidRDefault="009161F5" w:rsidP="009161F5">
      <w:pPr>
        <w:pStyle w:val="CCABodytext"/>
      </w:pPr>
      <w:r w:rsidRPr="00E90163">
        <w:t>The National Pollutant Inventory provides the community, industry and government</w:t>
      </w:r>
      <w:r w:rsidR="00C645CE">
        <w:t>s</w:t>
      </w:r>
      <w:r w:rsidRPr="00E90163">
        <w:t xml:space="preserve"> with information about 93 toxic substances and the source and location of these emissions. </w:t>
      </w:r>
      <w:r>
        <w:t xml:space="preserve">The data collected and published addresses the community’s right to know about substances that could potentially harm their health or environment </w:t>
      </w:r>
      <w:r w:rsidR="000F1A20">
        <w:t>(Commonwealth of Australia 2018c)</w:t>
      </w:r>
      <w:r>
        <w:t xml:space="preserve">. </w:t>
      </w:r>
    </w:p>
    <w:p w14:paraId="0E73CFCA" w14:textId="32E20C77" w:rsidR="00BD4190" w:rsidRDefault="00BD4190" w:rsidP="00BD4190">
      <w:pPr>
        <w:pStyle w:val="CCABodytext"/>
      </w:pPr>
      <w:r>
        <w:t xml:space="preserve">Several reporters told the Authority there was </w:t>
      </w:r>
      <w:r w:rsidR="006037FF">
        <w:t xml:space="preserve">some </w:t>
      </w:r>
      <w:r>
        <w:t xml:space="preserve">duplication in reporting under the reporting scheme and the pollutant inventory. </w:t>
      </w:r>
      <w:r w:rsidR="006037FF" w:rsidRPr="00E90163">
        <w:t>Over 200 organisations commonly report to both the pollutant inventory and the National Greenhouse and Energy Reporting scheme</w:t>
      </w:r>
      <w:r w:rsidR="006037FF">
        <w:t xml:space="preserve">. </w:t>
      </w:r>
      <w:r w:rsidRPr="004B740E">
        <w:t>For the most part</w:t>
      </w:r>
      <w:r w:rsidR="00367063" w:rsidRPr="004B740E">
        <w:t>,</w:t>
      </w:r>
      <w:r>
        <w:t xml:space="preserve"> the substances reported under the two schemes differ but both schemes collect d</w:t>
      </w:r>
      <w:r w:rsidR="006037FF">
        <w:t>ata related to fuel combustion.</w:t>
      </w:r>
    </w:p>
    <w:p w14:paraId="0BF742F1" w14:textId="77777777" w:rsidR="003159E8" w:rsidRDefault="003159E8" w:rsidP="009161F5">
      <w:pPr>
        <w:pStyle w:val="CCABodytext"/>
      </w:pPr>
      <w:r>
        <w:rPr>
          <w:rFonts w:cs="Arial"/>
        </w:rPr>
        <w:t>Under the pollutant inventory, fuel combustion information is used to estimate emissions of indirect greenhouse gases and aerosols</w:t>
      </w:r>
      <w:r w:rsidR="00221655">
        <w:rPr>
          <w:rFonts w:cs="Arial"/>
        </w:rPr>
        <w:t>—</w:t>
      </w:r>
      <w:r>
        <w:rPr>
          <w:rFonts w:cs="Arial"/>
        </w:rPr>
        <w:t xml:space="preserve">which are both air pollutants and </w:t>
      </w:r>
      <w:r>
        <w:rPr>
          <w:rFonts w:cs="Arial"/>
        </w:rPr>
        <w:lastRenderedPageBreak/>
        <w:t xml:space="preserve">affect </w:t>
      </w:r>
      <w:r w:rsidR="00490AC4">
        <w:rPr>
          <w:rFonts w:cs="Arial"/>
        </w:rPr>
        <w:t xml:space="preserve">the </w:t>
      </w:r>
      <w:r>
        <w:rPr>
          <w:rFonts w:cs="Arial"/>
        </w:rPr>
        <w:t>climate (</w:t>
      </w:r>
      <w:r w:rsidR="00BE6E38">
        <w:rPr>
          <w:rFonts w:cs="Arial"/>
        </w:rPr>
        <w:t>S</w:t>
      </w:r>
      <w:r>
        <w:rPr>
          <w:rFonts w:cs="Arial"/>
        </w:rPr>
        <w:t xml:space="preserve">ection </w:t>
      </w:r>
      <w:r w:rsidR="00E76E72">
        <w:rPr>
          <w:rFonts w:cs="Arial"/>
        </w:rPr>
        <w:fldChar w:fldCharType="begin"/>
      </w:r>
      <w:r w:rsidR="00E76E72">
        <w:rPr>
          <w:rFonts w:cs="Arial"/>
        </w:rPr>
        <w:instrText xml:space="preserve"> REF _Ref529392587 \r \h </w:instrText>
      </w:r>
      <w:r w:rsidR="00E76E72">
        <w:rPr>
          <w:rFonts w:cs="Arial"/>
        </w:rPr>
      </w:r>
      <w:r w:rsidR="00E76E72">
        <w:rPr>
          <w:rFonts w:cs="Arial"/>
        </w:rPr>
        <w:fldChar w:fldCharType="separate"/>
      </w:r>
      <w:r w:rsidR="009A203A">
        <w:rPr>
          <w:rFonts w:cs="Arial"/>
        </w:rPr>
        <w:t>4.6.2</w:t>
      </w:r>
      <w:r w:rsidR="00E76E72">
        <w:rPr>
          <w:rFonts w:cs="Arial"/>
        </w:rPr>
        <w:fldChar w:fldCharType="end"/>
      </w:r>
      <w:r>
        <w:rPr>
          <w:rFonts w:cs="Arial"/>
        </w:rPr>
        <w:t xml:space="preserve">). Under the reporting scheme the major greenhouse gas </w:t>
      </w:r>
      <w:r w:rsidR="003970E8">
        <w:rPr>
          <w:rFonts w:cs="Arial"/>
        </w:rPr>
        <w:t xml:space="preserve">emissions from fuel combustion </w:t>
      </w:r>
      <w:r>
        <w:rPr>
          <w:rFonts w:cs="Arial"/>
        </w:rPr>
        <w:t>are reported.</w:t>
      </w:r>
    </w:p>
    <w:p w14:paraId="27CFC0C3" w14:textId="77777777" w:rsidR="005D34F9" w:rsidRDefault="00DC37DC" w:rsidP="009161F5">
      <w:pPr>
        <w:pStyle w:val="CCABodytext"/>
      </w:pPr>
      <w:r>
        <w:t xml:space="preserve">The </w:t>
      </w:r>
      <w:r w:rsidR="00BD4190">
        <w:t>p</w:t>
      </w:r>
      <w:r>
        <w:t xml:space="preserve">ollutant </w:t>
      </w:r>
      <w:r w:rsidR="00BD4190">
        <w:t>i</w:t>
      </w:r>
      <w:r>
        <w:t>nventory is particularly concerned with spatial aspects of activities and informing those in the immediate vicinity. By contrast, the precise location of activities that lead to greenhouse gas emissions and energy use is not as important</w:t>
      </w:r>
      <w:r w:rsidR="003159E8">
        <w:t xml:space="preserve"> for health or environment </w:t>
      </w:r>
      <w:r w:rsidR="00BD4190">
        <w:t>reasons</w:t>
      </w:r>
      <w:r>
        <w:t xml:space="preserve">. </w:t>
      </w:r>
      <w:r w:rsidR="009161F5">
        <w:t xml:space="preserve">The </w:t>
      </w:r>
      <w:r>
        <w:t xml:space="preserve">different purposes of the </w:t>
      </w:r>
      <w:r w:rsidR="009161F5">
        <w:t xml:space="preserve">two schemes </w:t>
      </w:r>
      <w:r w:rsidR="00A7064C">
        <w:t xml:space="preserve">means the schemes use different thresholds and facility definitions. </w:t>
      </w:r>
    </w:p>
    <w:p w14:paraId="6822CEEE" w14:textId="77777777" w:rsidR="00AE72B2" w:rsidRDefault="009161F5" w:rsidP="009161F5">
      <w:pPr>
        <w:pStyle w:val="CCABodytext"/>
      </w:pPr>
      <w:r>
        <w:t xml:space="preserve">In </w:t>
      </w:r>
      <w:r w:rsidRPr="004B740E">
        <w:t xml:space="preserve">submissions </w:t>
      </w:r>
      <w:r w:rsidR="00BD4190" w:rsidRPr="004B740E">
        <w:t>on</w:t>
      </w:r>
      <w:r w:rsidRPr="004B740E">
        <w:t xml:space="preserve"> this review</w:t>
      </w:r>
      <w:r>
        <w:t xml:space="preserve">, </w:t>
      </w:r>
      <w:r w:rsidR="00BD4190">
        <w:t xml:space="preserve">the </w:t>
      </w:r>
      <w:r>
        <w:t>differen</w:t>
      </w:r>
      <w:r w:rsidR="005D34F9">
        <w:t>t</w:t>
      </w:r>
      <w:r>
        <w:t xml:space="preserve"> purposes of the two schemes </w:t>
      </w:r>
      <w:r w:rsidR="00BD4190">
        <w:t>were recognised</w:t>
      </w:r>
      <w:r w:rsidRPr="00B35FD5" w:rsidDel="008501F3">
        <w:t>.</w:t>
      </w:r>
      <w:r w:rsidRPr="00B35FD5">
        <w:t xml:space="preserve"> </w:t>
      </w:r>
    </w:p>
    <w:p w14:paraId="1A69755A" w14:textId="77777777" w:rsidR="00AE72B2" w:rsidRDefault="00AE72B2" w:rsidP="003D4E85">
      <w:pPr>
        <w:pStyle w:val="CCAquote"/>
      </w:pPr>
      <w:r>
        <w:t>[Australian Industry Greenhouse Network]</w:t>
      </w:r>
      <w:r w:rsidRPr="00AE72B2">
        <w:t xml:space="preserve"> members support </w:t>
      </w:r>
      <w:r>
        <w:t>[the National Greenhouse and Energy Reporting scheme]</w:t>
      </w:r>
      <w:r w:rsidRPr="00AE72B2">
        <w:t xml:space="preserve"> and the National Pollutant Inventory (NPI) remaining separate due to their different purposes.</w:t>
      </w:r>
    </w:p>
    <w:p w14:paraId="5AC7BEF5" w14:textId="77777777" w:rsidR="009161F5" w:rsidRDefault="00AE72B2" w:rsidP="003D4E85">
      <w:pPr>
        <w:pStyle w:val="CCAquotesource"/>
      </w:pPr>
      <w:r>
        <w:t>Australian Industry Greenhouse Network, submission on this review (p. 5)</w:t>
      </w:r>
    </w:p>
    <w:p w14:paraId="3BF59EDC" w14:textId="77777777" w:rsidR="009161F5" w:rsidRDefault="009161F5" w:rsidP="009161F5">
      <w:pPr>
        <w:pStyle w:val="CCABodytext"/>
      </w:pPr>
      <w:r>
        <w:t>Other</w:t>
      </w:r>
      <w:r w:rsidR="00D87C8A">
        <w:t>s</w:t>
      </w:r>
      <w:r>
        <w:t>, however, said they would like to see the two schemes integrated or harmonised to some extent. This included aligning reporting dates, or sharing data.</w:t>
      </w:r>
    </w:p>
    <w:p w14:paraId="58DC404D" w14:textId="77777777" w:rsidR="003200FA" w:rsidRDefault="00765EA9" w:rsidP="00FA654E">
      <w:pPr>
        <w:pStyle w:val="CCABodytext"/>
      </w:pPr>
      <w:r>
        <w:t>T</w:t>
      </w:r>
      <w:r w:rsidR="009161F5">
        <w:t>he Authority</w:t>
      </w:r>
      <w:r>
        <w:t xml:space="preserve"> recognises</w:t>
      </w:r>
      <w:r w:rsidR="009161F5">
        <w:t xml:space="preserve"> the different purposes </w:t>
      </w:r>
      <w:r>
        <w:t xml:space="preserve">of the two schemes </w:t>
      </w:r>
      <w:r w:rsidR="009161F5">
        <w:t xml:space="preserve">and </w:t>
      </w:r>
      <w:r>
        <w:t>t</w:t>
      </w:r>
      <w:r w:rsidR="009161F5">
        <w:t xml:space="preserve">he </w:t>
      </w:r>
      <w:r w:rsidR="003200FA">
        <w:t xml:space="preserve">associated </w:t>
      </w:r>
      <w:r>
        <w:t xml:space="preserve">differences in </w:t>
      </w:r>
      <w:r w:rsidR="009161F5">
        <w:t>definitions, responsible reporters, thresholds, timing and legislative frameworks. Chang</w:t>
      </w:r>
      <w:r w:rsidR="00016F29">
        <w:t xml:space="preserve">ing </w:t>
      </w:r>
      <w:r w:rsidR="00FA654E">
        <w:t xml:space="preserve">these </w:t>
      </w:r>
      <w:r w:rsidR="00016F29">
        <w:t xml:space="preserve">factors to </w:t>
      </w:r>
      <w:r w:rsidR="00FA654E">
        <w:t>harmonise the two schemes may have unintended consequences that compromise the achievement of the scheme</w:t>
      </w:r>
      <w:r w:rsidR="00A5323C">
        <w:t>s</w:t>
      </w:r>
      <w:r w:rsidR="00BD4190">
        <w:t>’</w:t>
      </w:r>
      <w:r w:rsidR="00FA654E">
        <w:t xml:space="preserve"> objectives. </w:t>
      </w:r>
    </w:p>
    <w:p w14:paraId="149BB6C6" w14:textId="77777777" w:rsidR="002F2EBA" w:rsidRDefault="003200FA" w:rsidP="002F2EBA">
      <w:pPr>
        <w:pStyle w:val="CCABodytext"/>
        <w:rPr>
          <w:rFonts w:cs="Arial"/>
        </w:rPr>
      </w:pPr>
      <w:r>
        <w:rPr>
          <w:rFonts w:cs="Arial"/>
        </w:rPr>
        <w:t xml:space="preserve">The Authority is of the view the Department and the Regulator should work together to identify the potential for sharing fuel combustion data between the two schemes where relevant definitions and reporters align. This will help to reduce the regulatory burden on business and increase the consistency of government </w:t>
      </w:r>
      <w:r w:rsidR="00AF20E9">
        <w:rPr>
          <w:rFonts w:cs="Arial"/>
        </w:rPr>
        <w:t>dataset</w:t>
      </w:r>
      <w:r>
        <w:rPr>
          <w:rFonts w:cs="Arial"/>
        </w:rPr>
        <w:t>s.</w:t>
      </w:r>
    </w:p>
    <w:p w14:paraId="34BF7384" w14:textId="77777777" w:rsidR="00FC4D37" w:rsidRDefault="00FC4D37" w:rsidP="00354794">
      <w:pPr>
        <w:pStyle w:val="CCAHeading4"/>
      </w:pPr>
      <w:r>
        <w:t xml:space="preserve">Energy, Water and Environment </w:t>
      </w:r>
      <w:r w:rsidR="00BD4190">
        <w:t>S</w:t>
      </w:r>
      <w:r>
        <w:t>urvey</w:t>
      </w:r>
    </w:p>
    <w:p w14:paraId="2FBF6187" w14:textId="77777777" w:rsidR="00FC4D37" w:rsidRDefault="00FC4D37" w:rsidP="00FC4D37">
      <w:pPr>
        <w:pStyle w:val="CCABodytext"/>
      </w:pPr>
      <w:r>
        <w:t>The Australian Bureau of Statistics conducts the Energy, Water and Environment Survey every three years. The survey</w:t>
      </w:r>
      <w:r w:rsidR="0005735D">
        <w:t>,</w:t>
      </w:r>
      <w:r>
        <w:t xml:space="preserve"> </w:t>
      </w:r>
      <w:r w:rsidR="0005735D">
        <w:t>which</w:t>
      </w:r>
      <w:r>
        <w:t xml:space="preserve"> is used to compile industry benchmarks</w:t>
      </w:r>
      <w:r w:rsidR="0005735D">
        <w:t>,</w:t>
      </w:r>
      <w:r>
        <w:t xml:space="preserve"> is being conducted </w:t>
      </w:r>
      <w:r w:rsidR="0005735D">
        <w:t>this year</w:t>
      </w:r>
      <w:r>
        <w:t xml:space="preserve"> and has been sent to approximately </w:t>
      </w:r>
      <w:r w:rsidR="006A5F7C">
        <w:t>10,000</w:t>
      </w:r>
      <w:r>
        <w:t xml:space="preserve"> businesses in the mining, manufacturing, utilities, construction and transport industries.</w:t>
      </w:r>
    </w:p>
    <w:p w14:paraId="5C0D31F6" w14:textId="39DE2CDB" w:rsidR="00FC4D37" w:rsidRDefault="00FC4D37" w:rsidP="00FC4D37">
      <w:pPr>
        <w:pStyle w:val="CCABodytext"/>
      </w:pPr>
      <w:r>
        <w:t xml:space="preserve">In 2015 the Australian Bureau of Statistics trialled </w:t>
      </w:r>
      <w:r w:rsidR="0005735D">
        <w:t xml:space="preserve">substituting energy consumption </w:t>
      </w:r>
      <w:r>
        <w:t xml:space="preserve">data from the reporting scheme to </w:t>
      </w:r>
      <w:r w:rsidR="0005735D">
        <w:t>reduce</w:t>
      </w:r>
      <w:r>
        <w:t xml:space="preserve"> the </w:t>
      </w:r>
      <w:r w:rsidR="0005735D">
        <w:t xml:space="preserve">reporting burden for businesses completing the </w:t>
      </w:r>
      <w:r w:rsidR="006037FF">
        <w:t>s</w:t>
      </w:r>
      <w:r w:rsidR="0005735D">
        <w:t>urvey</w:t>
      </w:r>
      <w:r>
        <w:t xml:space="preserve">. This approach was also applied to the 2016 and 2017 iterations of the Environment Indicators Survey which is shorter and </w:t>
      </w:r>
      <w:r w:rsidR="0005735D">
        <w:t>surveys</w:t>
      </w:r>
      <w:r>
        <w:t xml:space="preserve"> fewer businesses</w:t>
      </w:r>
      <w:r w:rsidR="0005735D">
        <w:t xml:space="preserve"> in the intervening years</w:t>
      </w:r>
      <w:r>
        <w:t>.</w:t>
      </w:r>
    </w:p>
    <w:p w14:paraId="014293DF" w14:textId="77777777" w:rsidR="00FC4D37" w:rsidRDefault="0005735D" w:rsidP="00FC4D37">
      <w:pPr>
        <w:pStyle w:val="CCABodytext"/>
      </w:pPr>
      <w:r>
        <w:t>Data subst</w:t>
      </w:r>
      <w:r w:rsidR="00AD0AFF">
        <w:t>itu</w:t>
      </w:r>
      <w:r>
        <w:t>tion stopped i</w:t>
      </w:r>
      <w:r w:rsidR="00FC4D37">
        <w:t xml:space="preserve">n 2018 </w:t>
      </w:r>
      <w:r>
        <w:t xml:space="preserve">and </w:t>
      </w:r>
      <w:r w:rsidR="00FC4D37">
        <w:t>the survey</w:t>
      </w:r>
      <w:r>
        <w:t>s are</w:t>
      </w:r>
      <w:r w:rsidR="00FC4D37">
        <w:t xml:space="preserve"> again collecting all data from </w:t>
      </w:r>
      <w:r w:rsidR="00490AC4">
        <w:t xml:space="preserve">the </w:t>
      </w:r>
      <w:r w:rsidR="00FC4D37">
        <w:t>businesses</w:t>
      </w:r>
      <w:r w:rsidR="00490AC4">
        <w:t xml:space="preserve"> surveyed</w:t>
      </w:r>
      <w:r w:rsidR="00FC4D37">
        <w:t xml:space="preserve">. The Australian Bureau of Statistics found there was not </w:t>
      </w:r>
      <w:r w:rsidR="00FC4D37">
        <w:lastRenderedPageBreak/>
        <w:t xml:space="preserve">much direct overlap between the </w:t>
      </w:r>
      <w:r w:rsidR="00653C69">
        <w:t xml:space="preserve">two reporting </w:t>
      </w:r>
      <w:r w:rsidR="00FC4D37">
        <w:t xml:space="preserve">schemes. </w:t>
      </w:r>
      <w:r w:rsidR="00653C69">
        <w:t>The Bureau told the Authority</w:t>
      </w:r>
      <w:r w:rsidR="00BD4190">
        <w:t xml:space="preserve"> that</w:t>
      </w:r>
      <w:r w:rsidR="00653C69">
        <w:t xml:space="preserve"> </w:t>
      </w:r>
      <w:r w:rsidR="00AD0AFF">
        <w:t xml:space="preserve">of the 40 items in the </w:t>
      </w:r>
      <w:r w:rsidR="00BD4190">
        <w:t>Energy, Water and Environment S</w:t>
      </w:r>
      <w:r w:rsidR="00AD0AFF">
        <w:t>urvey,</w:t>
      </w:r>
      <w:r w:rsidR="00131CF3">
        <w:t xml:space="preserve"> on average</w:t>
      </w:r>
      <w:r w:rsidR="00AD0AFF">
        <w:t xml:space="preserve"> </w:t>
      </w:r>
      <w:r w:rsidR="003E4B58">
        <w:t xml:space="preserve">five data items on energy consumption from </w:t>
      </w:r>
      <w:r w:rsidR="00FC4D37">
        <w:t>200</w:t>
      </w:r>
      <w:r w:rsidR="00927F6F">
        <w:t>–</w:t>
      </w:r>
      <w:r w:rsidR="00FC4D37">
        <w:t xml:space="preserve">300 business units </w:t>
      </w:r>
      <w:r w:rsidR="00AD0AFF">
        <w:t xml:space="preserve">(compared with 700 companies reporting to both schemes) </w:t>
      </w:r>
      <w:r>
        <w:t>could substitute</w:t>
      </w:r>
      <w:r w:rsidR="00FC4D37">
        <w:t xml:space="preserve"> data from the reporting scheme. This is due to differences in requirements of the survey and the reporting scheme</w:t>
      </w:r>
      <w:r w:rsidR="00AD0AFF">
        <w:t>. For example,</w:t>
      </w:r>
      <w:r w:rsidR="003E4B58">
        <w:t xml:space="preserve"> reporting scheme </w:t>
      </w:r>
      <w:r w:rsidR="00AD0AFF">
        <w:t xml:space="preserve">business definitions are based on </w:t>
      </w:r>
      <w:r w:rsidR="003E4B58">
        <w:t xml:space="preserve">operational control </w:t>
      </w:r>
      <w:r w:rsidR="00AD0AFF">
        <w:t xml:space="preserve">while </w:t>
      </w:r>
      <w:r w:rsidR="003E4B58">
        <w:t xml:space="preserve">the survey </w:t>
      </w:r>
      <w:r w:rsidR="00AD0AFF">
        <w:t>uses</w:t>
      </w:r>
      <w:r w:rsidR="003E4B58">
        <w:t xml:space="preserve"> financial control</w:t>
      </w:r>
      <w:r w:rsidR="00FC4D37">
        <w:t>.</w:t>
      </w:r>
      <w:r>
        <w:t xml:space="preserve"> The data from the reporting scheme continues to be used by the Australian Bureau of Statistics as a valuable </w:t>
      </w:r>
      <w:r w:rsidR="00AD0AFF">
        <w:t xml:space="preserve">data </w:t>
      </w:r>
      <w:r>
        <w:t>source for comparison.</w:t>
      </w:r>
    </w:p>
    <w:p w14:paraId="722F7BE5" w14:textId="77777777" w:rsidR="004032A3" w:rsidRPr="00C805C3" w:rsidRDefault="00FC4D37" w:rsidP="004032A3">
      <w:pPr>
        <w:pStyle w:val="CCABodytext"/>
      </w:pPr>
      <w:r>
        <w:t>The</w:t>
      </w:r>
      <w:r w:rsidR="000F6AA7">
        <w:t xml:space="preserve"> Authority encourages the</w:t>
      </w:r>
      <w:r>
        <w:t xml:space="preserve"> Australian Bureau of Statistics to </w:t>
      </w:r>
      <w:r w:rsidR="000F6AA7">
        <w:t>continue</w:t>
      </w:r>
      <w:r>
        <w:t xml:space="preserve"> working with the Regulator on ways to make best use of reporting scheme data to corroborate the survey and to reduce the reporting burden </w:t>
      </w:r>
      <w:r w:rsidR="000F6AA7">
        <w:t>on businesses</w:t>
      </w:r>
      <w:r w:rsidR="006A5F7C">
        <w:t>,</w:t>
      </w:r>
      <w:r w:rsidR="000F6AA7">
        <w:t xml:space="preserve"> </w:t>
      </w:r>
      <w:r>
        <w:t xml:space="preserve">such as through </w:t>
      </w:r>
      <w:r w:rsidR="007118A5">
        <w:t>sharing data</w:t>
      </w:r>
      <w:r>
        <w:t xml:space="preserve"> for those </w:t>
      </w:r>
      <w:r w:rsidR="00184249">
        <w:t xml:space="preserve">companies </w:t>
      </w:r>
      <w:r w:rsidR="006C644B">
        <w:t>who report to both.</w:t>
      </w:r>
    </w:p>
    <w:tbl>
      <w:tblPr>
        <w:tblStyle w:val="TableGrid"/>
        <w:tblW w:w="0" w:type="auto"/>
        <w:tblInd w:w="284" w:type="dxa"/>
        <w:tblLook w:val="04A0" w:firstRow="1" w:lastRow="0" w:firstColumn="1" w:lastColumn="0" w:noHBand="0" w:noVBand="1"/>
      </w:tblPr>
      <w:tblGrid>
        <w:gridCol w:w="9781"/>
      </w:tblGrid>
      <w:tr w:rsidR="004032A3" w:rsidRPr="00155241" w14:paraId="6EFE112B"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22B0EEA4" w14:textId="77777777" w:rsidR="004032A3" w:rsidRPr="00027FFA" w:rsidRDefault="004032A3" w:rsidP="004032A3">
            <w:pPr>
              <w:pStyle w:val="CCAForRheading"/>
            </w:pPr>
            <w:r>
              <w:t>Recommendation</w:t>
            </w:r>
          </w:p>
          <w:p w14:paraId="78BFBE8D" w14:textId="77777777" w:rsidR="004032A3" w:rsidRPr="00E45370" w:rsidRDefault="006C644B" w:rsidP="004032A3">
            <w:pPr>
              <w:pStyle w:val="CCARecommendation"/>
            </w:pPr>
            <w:r w:rsidRPr="00F92F48">
              <w:t>The</w:t>
            </w:r>
            <w:r w:rsidRPr="00F92F48" w:rsidDel="00490AC4">
              <w:t xml:space="preserve"> </w:t>
            </w:r>
            <w:r w:rsidRPr="00F92F48">
              <w:t xml:space="preserve">Department and Regulator analyse opportunities for data sharing between the reporting scheme and the National Pollutant Inventory and the Petroleum and Other Fuels Reporting program, and work with the Australian Bureau of Statistics on opportunities to share data with the Energy, Water and Environment </w:t>
            </w:r>
            <w:r>
              <w:t>S</w:t>
            </w:r>
            <w:r w:rsidRPr="00F92F48">
              <w:t>urvey</w:t>
            </w:r>
            <w:r w:rsidR="004032A3" w:rsidRPr="00E45370">
              <w:t>.</w:t>
            </w:r>
          </w:p>
        </w:tc>
      </w:tr>
    </w:tbl>
    <w:p w14:paraId="23E598D5" w14:textId="77777777" w:rsidR="00A7064C" w:rsidRDefault="00A7064C" w:rsidP="009161F5">
      <w:pPr>
        <w:pStyle w:val="CCABodytext"/>
        <w:rPr>
          <w:rFonts w:cs="Arial"/>
        </w:rPr>
      </w:pPr>
    </w:p>
    <w:p w14:paraId="3A24E0BF" w14:textId="77777777" w:rsidR="007D222A" w:rsidRDefault="007D222A" w:rsidP="00C813C5">
      <w:pPr>
        <w:pStyle w:val="CCAHeading3"/>
      </w:pPr>
      <w:bookmarkStart w:id="561" w:name="_Ref531547047"/>
      <w:r>
        <w:t>Streamlined administration of reporting schemes</w:t>
      </w:r>
      <w:r w:rsidR="00AF5769">
        <w:t xml:space="preserve"> and other programs</w:t>
      </w:r>
      <w:bookmarkEnd w:id="561"/>
    </w:p>
    <w:p w14:paraId="33CED029" w14:textId="77777777" w:rsidR="00196E31" w:rsidRDefault="00196E31" w:rsidP="00354794">
      <w:pPr>
        <w:pStyle w:val="CCAHeading4"/>
      </w:pPr>
      <w:r>
        <w:t xml:space="preserve">National Carbon </w:t>
      </w:r>
      <w:r w:rsidRPr="00DD15CF">
        <w:t>Offset</w:t>
      </w:r>
      <w:r>
        <w:t xml:space="preserve"> Standard</w:t>
      </w:r>
    </w:p>
    <w:p w14:paraId="20148765" w14:textId="77777777" w:rsidR="00196E31" w:rsidRDefault="00B676A0" w:rsidP="009161F5">
      <w:pPr>
        <w:pStyle w:val="CCABodytext"/>
        <w:rPr>
          <w:rFonts w:cs="Arial"/>
        </w:rPr>
      </w:pPr>
      <w:r>
        <w:rPr>
          <w:rFonts w:cs="Arial"/>
        </w:rPr>
        <w:t xml:space="preserve">The Department currently administers </w:t>
      </w:r>
      <w:r w:rsidR="00AF5769">
        <w:rPr>
          <w:rFonts w:cs="Arial"/>
        </w:rPr>
        <w:t xml:space="preserve">carbon neutral certification against </w:t>
      </w:r>
      <w:r>
        <w:rPr>
          <w:rFonts w:cs="Arial"/>
        </w:rPr>
        <w:t>the National Carbon Offset Standard. Businesses that wish to be certified must measure</w:t>
      </w:r>
      <w:r w:rsidR="007E24A9">
        <w:rPr>
          <w:rFonts w:cs="Arial"/>
        </w:rPr>
        <w:t>, reduce</w:t>
      </w:r>
      <w:r>
        <w:rPr>
          <w:rFonts w:cs="Arial"/>
        </w:rPr>
        <w:t xml:space="preserve"> and</w:t>
      </w:r>
      <w:r w:rsidRPr="00B676A0">
        <w:rPr>
          <w:rFonts w:cs="Arial"/>
        </w:rPr>
        <w:t xml:space="preserve"> offset </w:t>
      </w:r>
      <w:r w:rsidR="007E24A9">
        <w:rPr>
          <w:rFonts w:cs="Arial"/>
        </w:rPr>
        <w:t xml:space="preserve">their </w:t>
      </w:r>
      <w:r w:rsidRPr="00B676A0">
        <w:rPr>
          <w:rFonts w:cs="Arial"/>
        </w:rPr>
        <w:t>emissions and publicly report on their carbon neutrality</w:t>
      </w:r>
      <w:r w:rsidR="00AF5769">
        <w:rPr>
          <w:rFonts w:cs="Arial"/>
        </w:rPr>
        <w:t xml:space="preserve"> annually</w:t>
      </w:r>
      <w:r>
        <w:rPr>
          <w:rFonts w:cs="Arial"/>
        </w:rPr>
        <w:t xml:space="preserve">. </w:t>
      </w:r>
      <w:r w:rsidR="00AF5769">
        <w:rPr>
          <w:rFonts w:cs="Arial"/>
        </w:rPr>
        <w:t>The Department checks that businesses have met their reporting obligations, and assesses the accuracy of the carbon accounts and offsets prior to re</w:t>
      </w:r>
      <w:r w:rsidR="00703DB6">
        <w:rPr>
          <w:rFonts w:cs="Arial"/>
        </w:rPr>
        <w:noBreakHyphen/>
      </w:r>
      <w:r w:rsidR="00AF5769">
        <w:rPr>
          <w:rFonts w:cs="Arial"/>
        </w:rPr>
        <w:t>certification.</w:t>
      </w:r>
      <w:r>
        <w:rPr>
          <w:rFonts w:cs="Arial"/>
        </w:rPr>
        <w:t xml:space="preserve"> The Department is currently </w:t>
      </w:r>
      <w:r w:rsidR="00AF5769">
        <w:rPr>
          <w:rFonts w:cs="Arial"/>
        </w:rPr>
        <w:t>streamlining this annual reporting administration process, which includes compliance and carbon data assessment.</w:t>
      </w:r>
    </w:p>
    <w:p w14:paraId="4E9AE0A4" w14:textId="77777777" w:rsidR="004032A3" w:rsidRPr="00C805C3" w:rsidRDefault="00B676A0" w:rsidP="004032A3">
      <w:pPr>
        <w:pStyle w:val="CCABodytext"/>
      </w:pPr>
      <w:r>
        <w:rPr>
          <w:rFonts w:cs="Arial"/>
        </w:rPr>
        <w:t xml:space="preserve">Given the Regulator already has established systems for </w:t>
      </w:r>
      <w:r w:rsidR="00AF5769">
        <w:rPr>
          <w:rFonts w:cs="Arial"/>
        </w:rPr>
        <w:t xml:space="preserve">businesses to </w:t>
      </w:r>
      <w:r>
        <w:rPr>
          <w:rFonts w:cs="Arial"/>
        </w:rPr>
        <w:t xml:space="preserve">report energy and emissions data, there could be opportunities for efficiency gains by </w:t>
      </w:r>
      <w:r w:rsidR="00AF5769">
        <w:rPr>
          <w:rFonts w:cs="Arial"/>
        </w:rPr>
        <w:t xml:space="preserve">using </w:t>
      </w:r>
      <w:r>
        <w:rPr>
          <w:rFonts w:cs="Arial"/>
        </w:rPr>
        <w:t>the Regulator</w:t>
      </w:r>
      <w:r w:rsidR="00AF5769">
        <w:rPr>
          <w:rFonts w:cs="Arial"/>
        </w:rPr>
        <w:t>’s systems</w:t>
      </w:r>
      <w:r w:rsidR="00DD15CF">
        <w:rPr>
          <w:rFonts w:cs="Arial"/>
        </w:rPr>
        <w:t xml:space="preserve"> (</w:t>
      </w:r>
      <w:r w:rsidR="00BE6E38">
        <w:rPr>
          <w:rFonts w:cs="Arial"/>
        </w:rPr>
        <w:t>S</w:t>
      </w:r>
      <w:r w:rsidR="00DD15CF">
        <w:rPr>
          <w:rFonts w:cs="Arial"/>
        </w:rPr>
        <w:t xml:space="preserve">ection </w:t>
      </w:r>
      <w:r w:rsidR="00DD15CF">
        <w:rPr>
          <w:rFonts w:cs="Arial"/>
        </w:rPr>
        <w:fldChar w:fldCharType="begin"/>
      </w:r>
      <w:r w:rsidR="00DD15CF">
        <w:rPr>
          <w:rFonts w:cs="Arial"/>
        </w:rPr>
        <w:instrText xml:space="preserve"> REF _Ref531355435 \r \h </w:instrText>
      </w:r>
      <w:r w:rsidR="00DD15CF">
        <w:rPr>
          <w:rFonts w:cs="Arial"/>
        </w:rPr>
      </w:r>
      <w:r w:rsidR="00DD15CF">
        <w:rPr>
          <w:rFonts w:cs="Arial"/>
        </w:rPr>
        <w:fldChar w:fldCharType="separate"/>
      </w:r>
      <w:r w:rsidR="009A203A">
        <w:rPr>
          <w:rFonts w:cs="Arial"/>
        </w:rPr>
        <w:t>4.2</w:t>
      </w:r>
      <w:r w:rsidR="00DD15CF">
        <w:rPr>
          <w:rFonts w:cs="Arial"/>
        </w:rPr>
        <w:fldChar w:fldCharType="end"/>
      </w:r>
      <w:r w:rsidR="00DD15CF">
        <w:rPr>
          <w:rFonts w:cs="Arial"/>
        </w:rPr>
        <w:t>)</w:t>
      </w:r>
      <w:r w:rsidR="002774A7">
        <w:rPr>
          <w:rFonts w:cs="Arial"/>
        </w:rPr>
        <w:t>. If pursued, t</w:t>
      </w:r>
      <w:r>
        <w:rPr>
          <w:rFonts w:cs="Arial"/>
        </w:rPr>
        <w:t xml:space="preserve">he Department </w:t>
      </w:r>
      <w:r w:rsidR="000F6AA7">
        <w:rPr>
          <w:rFonts w:cs="Arial"/>
        </w:rPr>
        <w:t>sh</w:t>
      </w:r>
      <w:r>
        <w:rPr>
          <w:rFonts w:cs="Arial"/>
        </w:rPr>
        <w:t>ould continue to be responsible for policy development</w:t>
      </w:r>
      <w:r w:rsidR="002774A7">
        <w:rPr>
          <w:rFonts w:cs="Arial"/>
        </w:rPr>
        <w:t xml:space="preserve"> </w:t>
      </w:r>
      <w:r w:rsidR="000F6AA7">
        <w:rPr>
          <w:rFonts w:cs="Arial"/>
        </w:rPr>
        <w:t xml:space="preserve">of the </w:t>
      </w:r>
      <w:r w:rsidR="00702D78" w:rsidRPr="00F1656B">
        <w:rPr>
          <w:rFonts w:cs="Arial"/>
        </w:rPr>
        <w:t>s</w:t>
      </w:r>
      <w:r w:rsidR="000F6AA7" w:rsidRPr="00D27B14">
        <w:rPr>
          <w:rFonts w:cs="Arial"/>
        </w:rPr>
        <w:t>tandard</w:t>
      </w:r>
      <w:r w:rsidR="000F6AA7">
        <w:rPr>
          <w:rFonts w:cs="Arial"/>
        </w:rPr>
        <w:t xml:space="preserve"> </w:t>
      </w:r>
      <w:r w:rsidR="002774A7">
        <w:rPr>
          <w:rFonts w:cs="Arial"/>
        </w:rPr>
        <w:t>and</w:t>
      </w:r>
      <w:r>
        <w:rPr>
          <w:rFonts w:cs="Arial"/>
        </w:rPr>
        <w:t xml:space="preserve"> would </w:t>
      </w:r>
      <w:r w:rsidR="000F6AA7">
        <w:rPr>
          <w:rFonts w:cs="Arial"/>
        </w:rPr>
        <w:t xml:space="preserve">be able to focus </w:t>
      </w:r>
      <w:r>
        <w:rPr>
          <w:rFonts w:cs="Arial"/>
        </w:rPr>
        <w:t xml:space="preserve">resources on expanding </w:t>
      </w:r>
      <w:r w:rsidR="007E24A9">
        <w:rPr>
          <w:rFonts w:cs="Arial"/>
        </w:rPr>
        <w:t xml:space="preserve">its </w:t>
      </w:r>
      <w:r>
        <w:rPr>
          <w:rFonts w:cs="Arial"/>
        </w:rPr>
        <w:t xml:space="preserve">uptake. </w:t>
      </w:r>
      <w:r w:rsidR="001F40E0">
        <w:rPr>
          <w:rFonts w:cs="Arial"/>
        </w:rPr>
        <w:t xml:space="preserve">The Regulator would need to be adequately resourced to administer </w:t>
      </w:r>
      <w:r w:rsidR="00AF5769">
        <w:rPr>
          <w:rFonts w:cs="Arial"/>
        </w:rPr>
        <w:t xml:space="preserve">the annual </w:t>
      </w:r>
      <w:r w:rsidR="001F40E0">
        <w:rPr>
          <w:rFonts w:cs="Arial"/>
        </w:rPr>
        <w:t xml:space="preserve">reporting </w:t>
      </w:r>
      <w:r w:rsidR="00AF5769">
        <w:rPr>
          <w:rFonts w:cs="Arial"/>
        </w:rPr>
        <w:t xml:space="preserve">against </w:t>
      </w:r>
      <w:r w:rsidR="001F40E0" w:rsidRPr="00702D78">
        <w:rPr>
          <w:rFonts w:cs="Arial"/>
        </w:rPr>
        <w:t xml:space="preserve">the </w:t>
      </w:r>
      <w:r w:rsidR="00702D78" w:rsidRPr="00F1656B">
        <w:rPr>
          <w:rFonts w:cs="Arial"/>
        </w:rPr>
        <w:t>s</w:t>
      </w:r>
      <w:r w:rsidR="001F40E0" w:rsidRPr="00D27B14">
        <w:rPr>
          <w:rFonts w:cs="Arial"/>
        </w:rPr>
        <w:t>tandard</w:t>
      </w:r>
      <w:r w:rsidR="00373587" w:rsidRPr="00D27B14">
        <w:rPr>
          <w:rFonts w:cs="Arial"/>
        </w:rPr>
        <w:t>.</w:t>
      </w:r>
      <w:r w:rsidR="00373587">
        <w:rPr>
          <w:rFonts w:cs="Arial"/>
        </w:rPr>
        <w:t xml:space="preserve"> </w:t>
      </w:r>
    </w:p>
    <w:tbl>
      <w:tblPr>
        <w:tblStyle w:val="TableGrid"/>
        <w:tblW w:w="0" w:type="auto"/>
        <w:tblInd w:w="284" w:type="dxa"/>
        <w:tblLook w:val="04A0" w:firstRow="1" w:lastRow="0" w:firstColumn="1" w:lastColumn="0" w:noHBand="0" w:noVBand="1"/>
      </w:tblPr>
      <w:tblGrid>
        <w:gridCol w:w="9781"/>
      </w:tblGrid>
      <w:tr w:rsidR="004032A3" w:rsidRPr="00155241" w14:paraId="62780805"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26A8E133" w14:textId="77777777" w:rsidR="004032A3" w:rsidRPr="00027FFA" w:rsidRDefault="004032A3" w:rsidP="004032A3">
            <w:pPr>
              <w:pStyle w:val="CCAForRheading"/>
            </w:pPr>
            <w:r>
              <w:lastRenderedPageBreak/>
              <w:t>Recommendation</w:t>
            </w:r>
          </w:p>
          <w:p w14:paraId="37D43167" w14:textId="77777777" w:rsidR="004032A3" w:rsidRPr="00E45370" w:rsidRDefault="006C644B" w:rsidP="004032A3">
            <w:pPr>
              <w:pStyle w:val="CCARecommendation"/>
            </w:pPr>
            <w:r w:rsidRPr="00F92F48">
              <w:t>The</w:t>
            </w:r>
            <w:r w:rsidRPr="00F92F48" w:rsidDel="00490AC4">
              <w:t xml:space="preserve"> </w:t>
            </w:r>
            <w:r w:rsidRPr="00F92F48">
              <w:t xml:space="preserve">Department examine whether there are efficiency gains in having the Regulator administer the </w:t>
            </w:r>
            <w:r>
              <w:t>reporting for carbon neutral certification against</w:t>
            </w:r>
            <w:r w:rsidRPr="00F92F48">
              <w:t xml:space="preserve"> the National Carbon Offset Standard</w:t>
            </w:r>
            <w:r w:rsidR="004032A3" w:rsidRPr="00E45370">
              <w:t>.</w:t>
            </w:r>
          </w:p>
        </w:tc>
      </w:tr>
    </w:tbl>
    <w:p w14:paraId="31D88C39" w14:textId="77777777" w:rsidR="004032A3" w:rsidRDefault="004032A3" w:rsidP="004032A3">
      <w:pPr>
        <w:pStyle w:val="CCABodytext"/>
      </w:pPr>
    </w:p>
    <w:p w14:paraId="5B882977" w14:textId="77777777" w:rsidR="00196E31" w:rsidRDefault="00196E31" w:rsidP="00354794">
      <w:pPr>
        <w:pStyle w:val="CCAHeading4"/>
      </w:pPr>
      <w:bookmarkStart w:id="562" w:name="_Ref531354265"/>
      <w:r w:rsidRPr="007F3DC3">
        <w:t>International aviation reporting</w:t>
      </w:r>
      <w:bookmarkEnd w:id="562"/>
    </w:p>
    <w:p w14:paraId="11ABB45E" w14:textId="18709F82" w:rsidR="00196E31" w:rsidRDefault="00196E31" w:rsidP="00196E31">
      <w:pPr>
        <w:pStyle w:val="CCABodytext"/>
      </w:pPr>
      <w:r w:rsidRPr="007F3DC3">
        <w:t xml:space="preserve">Australian aircraft operators will soon </w:t>
      </w:r>
      <w:r>
        <w:t>need</w:t>
      </w:r>
      <w:r w:rsidR="004A2D65">
        <w:t xml:space="preserve"> to report on</w:t>
      </w:r>
      <w:r w:rsidRPr="007F3DC3">
        <w:t xml:space="preserve"> and manage emissions from international flights under the Carbon Offsetting and Reduction Scheme for International Aviation (</w:t>
      </w:r>
      <w:r>
        <w:t>aviation scheme</w:t>
      </w:r>
      <w:r w:rsidRPr="007F3DC3">
        <w:t>) (</w:t>
      </w:r>
      <w:r w:rsidRPr="00AA6AD7">
        <w:rPr>
          <w:rStyle w:val="RefChar"/>
        </w:rPr>
        <w:t xml:space="preserve">ICAO </w:t>
      </w:r>
      <w:r w:rsidR="000F1A20">
        <w:rPr>
          <w:rStyle w:val="RefChar"/>
        </w:rPr>
        <w:t>n.d.</w:t>
      </w:r>
      <w:r w:rsidRPr="007F3DC3">
        <w:t xml:space="preserve">). </w:t>
      </w:r>
      <w:r>
        <w:t>Under th</w:t>
      </w:r>
      <w:r w:rsidR="000F6AA7">
        <w:t>e</w:t>
      </w:r>
      <w:r>
        <w:t xml:space="preserve"> aviation scheme, the Australian Government will be responsible for </w:t>
      </w:r>
      <w:r w:rsidR="007E24A9">
        <w:t xml:space="preserve">collating and reporting </w:t>
      </w:r>
      <w:r>
        <w:t>emissions information</w:t>
      </w:r>
      <w:r w:rsidRPr="007F3DC3">
        <w:t xml:space="preserve"> </w:t>
      </w:r>
      <w:r>
        <w:t>and</w:t>
      </w:r>
      <w:r w:rsidRPr="007F3DC3">
        <w:t xml:space="preserve"> ensur</w:t>
      </w:r>
      <w:r>
        <w:t>ing</w:t>
      </w:r>
      <w:r w:rsidRPr="007F3DC3">
        <w:t xml:space="preserve"> Australian aircraft operators </w:t>
      </w:r>
      <w:r>
        <w:t xml:space="preserve">manage their emissions in line with the scheme requirements. </w:t>
      </w:r>
    </w:p>
    <w:p w14:paraId="0333307A" w14:textId="77777777" w:rsidR="00196E31" w:rsidRDefault="004A2D65" w:rsidP="00196E31">
      <w:pPr>
        <w:pStyle w:val="CCABodytext"/>
      </w:pPr>
      <w:r>
        <w:t xml:space="preserve">As a result of </w:t>
      </w:r>
      <w:r w:rsidR="00196E31">
        <w:t xml:space="preserve">significant differences between the </w:t>
      </w:r>
      <w:r>
        <w:t>two schemes,</w:t>
      </w:r>
      <w:r w:rsidR="001F40E0">
        <w:t xml:space="preserve"> the </w:t>
      </w:r>
      <w:r w:rsidR="00196E31">
        <w:t xml:space="preserve">reporting </w:t>
      </w:r>
      <w:r w:rsidR="001F40E0">
        <w:t xml:space="preserve">scheme </w:t>
      </w:r>
      <w:r>
        <w:t xml:space="preserve">as it currently stands </w:t>
      </w:r>
      <w:r w:rsidR="001F40E0">
        <w:t xml:space="preserve">cannot be used to meet the </w:t>
      </w:r>
      <w:r w:rsidR="00196E31">
        <w:t xml:space="preserve">international aviation reporting </w:t>
      </w:r>
      <w:r w:rsidR="00196E31" w:rsidRPr="007F3DC3">
        <w:t>requirements</w:t>
      </w:r>
      <w:r w:rsidR="00196E31">
        <w:t>.</w:t>
      </w:r>
      <w:r w:rsidR="000917FD" w:rsidRPr="000917FD">
        <w:t xml:space="preserve"> </w:t>
      </w:r>
      <w:r w:rsidR="000917FD">
        <w:t>For example, there is no overlap in the emissions that aircraft operators would report on under the two schemes: under the reporting scheme only domestic flights are covered, and only international flights are relevant for the aviation scheme.</w:t>
      </w:r>
    </w:p>
    <w:p w14:paraId="5DD75FE2" w14:textId="4011DEA9" w:rsidR="00373587" w:rsidRDefault="001F40E0" w:rsidP="00373587">
      <w:pPr>
        <w:pStyle w:val="CCABodytext"/>
      </w:pPr>
      <w:r>
        <w:t>However, g</w:t>
      </w:r>
      <w:r w:rsidR="00196E31" w:rsidRPr="007F3DC3">
        <w:t xml:space="preserve">iven the Regulator has </w:t>
      </w:r>
      <w:r w:rsidR="00126CDD">
        <w:t xml:space="preserve">the </w:t>
      </w:r>
      <w:r w:rsidR="00196E31" w:rsidRPr="007F3DC3">
        <w:t xml:space="preserve">experience and systems </w:t>
      </w:r>
      <w:r w:rsidR="00126CDD">
        <w:t>required</w:t>
      </w:r>
      <w:r w:rsidR="00196E31" w:rsidRPr="007F3DC3">
        <w:t xml:space="preserve"> to administer </w:t>
      </w:r>
      <w:r w:rsidR="00937A76">
        <w:t>energy and emissions</w:t>
      </w:r>
      <w:r w:rsidR="00196E31">
        <w:t xml:space="preserve"> </w:t>
      </w:r>
      <w:r w:rsidR="00196E31" w:rsidRPr="007A2E78">
        <w:t>reporting</w:t>
      </w:r>
      <w:r w:rsidR="00126CDD" w:rsidRPr="007A2E78">
        <w:t>,</w:t>
      </w:r>
      <w:r w:rsidR="00196E31" w:rsidRPr="007F3DC3">
        <w:t xml:space="preserve"> the Authority considers they would be well placed to manage </w:t>
      </w:r>
      <w:r w:rsidR="00196E31">
        <w:t xml:space="preserve">the administration of Australia’s requirements </w:t>
      </w:r>
      <w:r w:rsidR="00196E31" w:rsidRPr="007F3DC3">
        <w:t xml:space="preserve">under the </w:t>
      </w:r>
      <w:r w:rsidR="00221655">
        <w:t>aviation scheme</w:t>
      </w:r>
      <w:r w:rsidR="00196E31" w:rsidRPr="007F3DC3">
        <w:t>.</w:t>
      </w:r>
      <w:r w:rsidR="00196E31">
        <w:t xml:space="preserve"> </w:t>
      </w:r>
      <w:r w:rsidR="00373587">
        <w:t xml:space="preserve">The Authority also </w:t>
      </w:r>
      <w:r w:rsidR="004A2D65">
        <w:t>considers</w:t>
      </w:r>
      <w:r w:rsidR="00373587">
        <w:t xml:space="preserve"> </w:t>
      </w:r>
      <w:r w:rsidR="00373587" w:rsidRPr="00681041">
        <w:t>that</w:t>
      </w:r>
      <w:r w:rsidR="00373587">
        <w:t xml:space="preserve"> a common compliance framework for emissions reduction initiatives is important for efficiency and environmental integrity. </w:t>
      </w:r>
    </w:p>
    <w:p w14:paraId="2A863759" w14:textId="77777777" w:rsidR="00373587" w:rsidRDefault="00373587" w:rsidP="00373587">
      <w:pPr>
        <w:pStyle w:val="CCABodytext"/>
      </w:pPr>
      <w:r>
        <w:t xml:space="preserve">Therefore, the Authority recommends the </w:t>
      </w:r>
      <w:r w:rsidR="000F7FF9">
        <w:t xml:space="preserve">Department of Infrastructure, Regional Development and Cities (the agency with the lead in implementing the aviation scheme) </w:t>
      </w:r>
      <w:r>
        <w:t>and</w:t>
      </w:r>
      <w:r w:rsidR="002E5B99">
        <w:t xml:space="preserve"> the</w:t>
      </w:r>
      <w:r>
        <w:t xml:space="preserve"> Regulator should align elements of the two schemes to the extent possible</w:t>
      </w:r>
      <w:r w:rsidR="00126CDD">
        <w:t>;</w:t>
      </w:r>
      <w:r>
        <w:t xml:space="preserve"> </w:t>
      </w:r>
      <w:r w:rsidR="00126CDD">
        <w:t>f</w:t>
      </w:r>
      <w:r>
        <w:t>or example</w:t>
      </w:r>
      <w:r w:rsidR="00126CDD">
        <w:t>,</w:t>
      </w:r>
      <w:r>
        <w:t xml:space="preserve"> administrative procedures, compliance penalties and data sharing arrangements.</w:t>
      </w:r>
    </w:p>
    <w:p w14:paraId="7A061E6E" w14:textId="77777777" w:rsidR="004032A3" w:rsidRPr="00C805C3" w:rsidRDefault="00373587" w:rsidP="004032A3">
      <w:pPr>
        <w:pStyle w:val="CCABodytext"/>
      </w:pPr>
      <w:r>
        <w:t>The International Maritime Organisation has recently announced an emissions reduction target for the inte</w:t>
      </w:r>
      <w:r w:rsidR="00077BD0">
        <w:t xml:space="preserve">rnational shipping sector </w:t>
      </w:r>
      <w:r w:rsidR="000F1A20">
        <w:t>(IMO 2018)</w:t>
      </w:r>
      <w:r>
        <w:t xml:space="preserve">. </w:t>
      </w:r>
      <w:r w:rsidR="004A2D65">
        <w:t xml:space="preserve">At the appropriate time, the Government could also consider whether there are opportunities to align </w:t>
      </w:r>
      <w:r>
        <w:t>administration and compliance frameworks</w:t>
      </w:r>
      <w:r w:rsidR="004A2D65">
        <w:t xml:space="preserve"> for the </w:t>
      </w:r>
      <w:r w:rsidR="00AE72B2">
        <w:t>shipping</w:t>
      </w:r>
      <w:r w:rsidR="004A2D65">
        <w:t xml:space="preserve"> sector with the reporting scheme and the aviation scheme</w:t>
      </w:r>
      <w:r>
        <w:t>.</w:t>
      </w:r>
    </w:p>
    <w:tbl>
      <w:tblPr>
        <w:tblStyle w:val="TableGrid"/>
        <w:tblW w:w="0" w:type="auto"/>
        <w:tblInd w:w="284" w:type="dxa"/>
        <w:tblLook w:val="04A0" w:firstRow="1" w:lastRow="0" w:firstColumn="1" w:lastColumn="0" w:noHBand="0" w:noVBand="1"/>
      </w:tblPr>
      <w:tblGrid>
        <w:gridCol w:w="9781"/>
      </w:tblGrid>
      <w:tr w:rsidR="004032A3" w:rsidRPr="00155241" w14:paraId="7E9D30FC"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57CA5EA4" w14:textId="77777777" w:rsidR="004032A3" w:rsidRPr="00027FFA" w:rsidRDefault="004032A3" w:rsidP="004032A3">
            <w:pPr>
              <w:pStyle w:val="CCAForRheading"/>
            </w:pPr>
            <w:r>
              <w:lastRenderedPageBreak/>
              <w:t>Recommendation</w:t>
            </w:r>
          </w:p>
          <w:p w14:paraId="099D9D03" w14:textId="77777777" w:rsidR="004032A3" w:rsidRPr="00E45370" w:rsidRDefault="006C644B" w:rsidP="004032A3">
            <w:pPr>
              <w:pStyle w:val="CCARecommendation"/>
            </w:pPr>
            <w:r w:rsidRPr="00F92F48">
              <w:t>To the extent possible, the Government align the compliance framework and administrative arrangements for the Carbon Offsetting and Reduction Scheme for International Aviation with those established under the National Greenhouse and Energy Reporting legislation</w:t>
            </w:r>
            <w:r w:rsidR="004032A3" w:rsidRPr="00E45370">
              <w:t>.</w:t>
            </w:r>
          </w:p>
        </w:tc>
      </w:tr>
    </w:tbl>
    <w:p w14:paraId="6F6D3CE3" w14:textId="77777777" w:rsidR="002774A7" w:rsidRDefault="002774A7" w:rsidP="004032A3">
      <w:pPr>
        <w:pStyle w:val="CCABodytext"/>
      </w:pPr>
    </w:p>
    <w:p w14:paraId="4CC5CEB8" w14:textId="77777777" w:rsidR="000E6BFE" w:rsidRDefault="00305D4E" w:rsidP="00C813C5">
      <w:pPr>
        <w:pStyle w:val="CCAHeading3"/>
      </w:pPr>
      <w:bookmarkStart w:id="563" w:name="_Ref530646834"/>
      <w:r>
        <w:t xml:space="preserve">Improving </w:t>
      </w:r>
      <w:r w:rsidR="00FC38F4">
        <w:t>government agency</w:t>
      </w:r>
      <w:r>
        <w:t xml:space="preserve"> use of the data</w:t>
      </w:r>
      <w:bookmarkEnd w:id="563"/>
    </w:p>
    <w:p w14:paraId="5B98453B" w14:textId="77777777" w:rsidR="00C46851" w:rsidRDefault="00C46851" w:rsidP="00C46851">
      <w:pPr>
        <w:pStyle w:val="CCABodytext"/>
      </w:pPr>
      <w:r>
        <w:t xml:space="preserve">The Authority heard from some government data users, including at the state and territory level, that it was unclear </w:t>
      </w:r>
      <w:r w:rsidR="00490AC4">
        <w:t xml:space="preserve">in some instances </w:t>
      </w:r>
      <w:r>
        <w:t xml:space="preserve">what reporting data </w:t>
      </w:r>
      <w:r w:rsidR="004B50B3">
        <w:t>is</w:t>
      </w:r>
      <w:r>
        <w:t xml:space="preserve"> available </w:t>
      </w:r>
      <w:r w:rsidR="0039581E">
        <w:t xml:space="preserve">to them </w:t>
      </w:r>
      <w:r>
        <w:t>and how it could be used and shared.</w:t>
      </w:r>
      <w:r w:rsidR="00C62D75">
        <w:t xml:space="preserve"> The Authority also </w:t>
      </w:r>
      <w:r w:rsidR="00C37DE5">
        <w:t>heard</w:t>
      </w:r>
      <w:r w:rsidR="00C62D75">
        <w:t xml:space="preserve"> from industry there </w:t>
      </w:r>
      <w:r w:rsidR="004B50B3">
        <w:t>a</w:t>
      </w:r>
      <w:r w:rsidR="00C62D75">
        <w:t>re remaining</w:t>
      </w:r>
      <w:r w:rsidR="00C37DE5">
        <w:t>, but limited,</w:t>
      </w:r>
      <w:r w:rsidR="00C62D75">
        <w:t xml:space="preserve"> examples where state governments </w:t>
      </w:r>
      <w:r w:rsidR="004B50B3">
        <w:t>a</w:t>
      </w:r>
      <w:r w:rsidR="00C62D75">
        <w:t xml:space="preserve">re requesting information already provided through the reporting scheme. Additionally, </w:t>
      </w:r>
      <w:r w:rsidR="00C37DE5">
        <w:t>some held</w:t>
      </w:r>
      <w:r w:rsidR="00C62D75">
        <w:t xml:space="preserve"> </w:t>
      </w:r>
      <w:r>
        <w:t>concern</w:t>
      </w:r>
      <w:r w:rsidR="00C37DE5">
        <w:t>s</w:t>
      </w:r>
      <w:r>
        <w:t xml:space="preserve"> that duplication of reporting requirements may increase, as state governments become more involved in pursuing emission</w:t>
      </w:r>
      <w:r w:rsidR="00DD4FD4">
        <w:t>s</w:t>
      </w:r>
      <w:r>
        <w:t xml:space="preserve"> reduction policies. </w:t>
      </w:r>
    </w:p>
    <w:p w14:paraId="7BA4C0D8" w14:textId="1B28AD2D" w:rsidR="00EE7CC9" w:rsidRDefault="00C62D75" w:rsidP="00C62D75">
      <w:pPr>
        <w:pStyle w:val="CCABodytext"/>
      </w:pPr>
      <w:r>
        <w:t xml:space="preserve">The Authority understands </w:t>
      </w:r>
      <w:r w:rsidRPr="00681041">
        <w:t>that</w:t>
      </w:r>
      <w:r>
        <w:t xml:space="preserve"> one of the reasons for state governments separately requesting reported data</w:t>
      </w:r>
      <w:r w:rsidR="006037FF">
        <w:t xml:space="preserve"> from industry</w:t>
      </w:r>
      <w:r>
        <w:t xml:space="preserve"> is due to </w:t>
      </w:r>
      <w:r w:rsidR="00A02F3C">
        <w:t xml:space="preserve">their </w:t>
      </w:r>
      <w:r w:rsidR="007E24A9">
        <w:t xml:space="preserve">concerns around the </w:t>
      </w:r>
      <w:r>
        <w:t xml:space="preserve">confidentiality </w:t>
      </w:r>
      <w:r w:rsidR="00F57B83">
        <w:t xml:space="preserve">requirements </w:t>
      </w:r>
      <w:r>
        <w:t xml:space="preserve">of data collected under the reporting scheme. </w:t>
      </w:r>
      <w:r w:rsidR="00AD0AFF">
        <w:t xml:space="preserve">In some cases, state agencies are required to publish reported data publicly </w:t>
      </w:r>
      <w:r w:rsidR="0039581E">
        <w:t>(for example</w:t>
      </w:r>
      <w:r w:rsidR="00126CDD">
        <w:t>,</w:t>
      </w:r>
      <w:r w:rsidR="0039581E">
        <w:t xml:space="preserve"> in Environmental Impact Statements or project approvals).</w:t>
      </w:r>
      <w:r w:rsidR="00E1015F">
        <w:t xml:space="preserve"> </w:t>
      </w:r>
      <w:r w:rsidR="006B06DB">
        <w:t>A</w:t>
      </w:r>
      <w:r w:rsidR="00DB5984">
        <w:t xml:space="preserve"> state </w:t>
      </w:r>
      <w:r w:rsidR="00D613FC">
        <w:t xml:space="preserve">or territory is permitted to </w:t>
      </w:r>
      <w:r w:rsidR="00DB5984">
        <w:t xml:space="preserve">publish </w:t>
      </w:r>
      <w:r w:rsidR="00D613FC">
        <w:t>emissions and energy information collected under the reporting scheme if required under a law of the state or territory (CER pers</w:t>
      </w:r>
      <w:r w:rsidR="002053BB">
        <w:t>.</w:t>
      </w:r>
      <w:r w:rsidR="00D613FC">
        <w:t xml:space="preserve"> comm</w:t>
      </w:r>
      <w:r w:rsidR="002053BB">
        <w:t>.</w:t>
      </w:r>
      <w:r w:rsidR="00D613FC">
        <w:t>)</w:t>
      </w:r>
      <w:r w:rsidR="00456767">
        <w:t>.</w:t>
      </w:r>
    </w:p>
    <w:p w14:paraId="7A872B8E" w14:textId="77777777" w:rsidR="00C62D75" w:rsidRDefault="00F57B83" w:rsidP="00C62D75">
      <w:pPr>
        <w:pStyle w:val="CCABodytext"/>
      </w:pPr>
      <w:r>
        <w:t xml:space="preserve">Some </w:t>
      </w:r>
      <w:r w:rsidR="00C37DE5">
        <w:t xml:space="preserve">state and territory government officials </w:t>
      </w:r>
      <w:r>
        <w:t xml:space="preserve">also </w:t>
      </w:r>
      <w:r w:rsidR="00C37DE5">
        <w:t>told the Authority</w:t>
      </w:r>
      <w:r>
        <w:t xml:space="preserve"> concerns around confidentiality </w:t>
      </w:r>
      <w:r w:rsidR="00C37DE5">
        <w:t xml:space="preserve">requirements had </w:t>
      </w:r>
      <w:r>
        <w:t xml:space="preserve">limited their </w:t>
      </w:r>
      <w:r w:rsidR="00490AC4">
        <w:t>willingness</w:t>
      </w:r>
      <w:r w:rsidR="00C37DE5">
        <w:t xml:space="preserve"> to </w:t>
      </w:r>
      <w:r>
        <w:t>shar</w:t>
      </w:r>
      <w:r w:rsidR="00C37DE5">
        <w:t>e</w:t>
      </w:r>
      <w:r>
        <w:t xml:space="preserve"> analysis with </w:t>
      </w:r>
      <w:r w:rsidR="007E24A9">
        <w:t>s</w:t>
      </w:r>
      <w:r>
        <w:t xml:space="preserve">tate </w:t>
      </w:r>
      <w:r w:rsidR="007E24A9">
        <w:t>g</w:t>
      </w:r>
      <w:r>
        <w:t xml:space="preserve">overnment </w:t>
      </w:r>
      <w:r w:rsidR="007B3184">
        <w:t>m</w:t>
      </w:r>
      <w:r>
        <w:t>inisters.</w:t>
      </w:r>
      <w:r w:rsidR="00EE7CC9">
        <w:t xml:space="preserve"> </w:t>
      </w:r>
      <w:r w:rsidR="00C62D75" w:rsidRPr="00CF7393">
        <w:t xml:space="preserve">The data protection requirements for reporting data collected by the Regulator </w:t>
      </w:r>
      <w:r w:rsidR="00C62D75">
        <w:t>are</w:t>
      </w:r>
      <w:r w:rsidR="00C62D75" w:rsidRPr="00CF7393">
        <w:t xml:space="preserve"> set out in the </w:t>
      </w:r>
      <w:r w:rsidR="00C62D75" w:rsidRPr="0095232A">
        <w:rPr>
          <w:i/>
        </w:rPr>
        <w:t>National Greenhouse and Energy Reporting Act 2007</w:t>
      </w:r>
      <w:r w:rsidR="00C62D75" w:rsidRPr="00CF7393">
        <w:t xml:space="preserve"> and in the</w:t>
      </w:r>
      <w:r w:rsidR="00C62D75" w:rsidRPr="0095232A">
        <w:rPr>
          <w:i/>
        </w:rPr>
        <w:t xml:space="preserve"> Clean Energy Regulator Act 2011</w:t>
      </w:r>
      <w:r w:rsidR="00C62D75" w:rsidRPr="00CF7393">
        <w:t xml:space="preserve">. The Regulator may give approval for data to be shared with </w:t>
      </w:r>
      <w:r w:rsidR="007B3184">
        <w:t>m</w:t>
      </w:r>
      <w:r w:rsidR="00C62D75" w:rsidRPr="00CF7393">
        <w:t>inisters, external consultants or other government agencies if adequate security provisions and understanding of data confidentiality requirements are in place</w:t>
      </w:r>
      <w:r w:rsidR="00456767">
        <w:t xml:space="preserve"> (CER pers</w:t>
      </w:r>
      <w:r w:rsidR="00BE54E3">
        <w:t>.</w:t>
      </w:r>
      <w:r w:rsidR="00456767">
        <w:t xml:space="preserve"> comm</w:t>
      </w:r>
      <w:r w:rsidR="00BE54E3">
        <w:t>.</w:t>
      </w:r>
      <w:r w:rsidR="00456767">
        <w:t>)</w:t>
      </w:r>
      <w:r w:rsidR="00C62D75">
        <w:t>.</w:t>
      </w:r>
    </w:p>
    <w:p w14:paraId="2E9EE7FD" w14:textId="77777777" w:rsidR="0039581E" w:rsidRDefault="0039581E" w:rsidP="0039581E">
      <w:pPr>
        <w:pStyle w:val="CCABodytext"/>
      </w:pPr>
      <w:r w:rsidRPr="00CF7393">
        <w:t>The Regulator requires all state and territory government agencies to complete a security checklist</w:t>
      </w:r>
      <w:r w:rsidR="007B3184">
        <w:t>,</w:t>
      </w:r>
      <w:r w:rsidR="007B3184" w:rsidRPr="00CF7393">
        <w:t xml:space="preserve"> which outlines the rules for disclosure of information</w:t>
      </w:r>
      <w:r w:rsidR="007B3184">
        <w:t>,</w:t>
      </w:r>
      <w:r>
        <w:t xml:space="preserve"> before gaining access to the data</w:t>
      </w:r>
      <w:r w:rsidRPr="00CF7393">
        <w:t xml:space="preserve">. Some stakeholders reported this, and other guidance on interpreting the data sharing rules, had helped to counter </w:t>
      </w:r>
      <w:r>
        <w:t>confidentiality</w:t>
      </w:r>
      <w:r w:rsidRPr="00CF7393">
        <w:t xml:space="preserve"> concerns. </w:t>
      </w:r>
    </w:p>
    <w:p w14:paraId="2136A310" w14:textId="77777777" w:rsidR="00EE7CC9" w:rsidRDefault="00EE7CC9" w:rsidP="00EE7CC9">
      <w:pPr>
        <w:pStyle w:val="CCABodytext"/>
      </w:pPr>
      <w:r w:rsidRPr="00B15B2C">
        <w:lastRenderedPageBreak/>
        <w:t xml:space="preserve">The Authority heard from data users </w:t>
      </w:r>
      <w:r w:rsidR="004C06E0">
        <w:t xml:space="preserve">that </w:t>
      </w:r>
      <w:r w:rsidRPr="00B15B2C">
        <w:t xml:space="preserve">part of the overly cautious approach to the use of data is due to the </w:t>
      </w:r>
      <w:r w:rsidR="004C06E0">
        <w:t xml:space="preserve">relatively high </w:t>
      </w:r>
      <w:r w:rsidRPr="00B15B2C">
        <w:t>penalty for unlawful disclosure of greenhouse and energy information or audit information.</w:t>
      </w:r>
      <w:r w:rsidR="00565BF2" w:rsidRPr="00B15B2C">
        <w:rPr>
          <w:rStyle w:val="FootnoteReference"/>
        </w:rPr>
        <w:footnoteReference w:id="17"/>
      </w:r>
    </w:p>
    <w:p w14:paraId="481A6199" w14:textId="77777777" w:rsidR="0039581E" w:rsidRPr="00545818" w:rsidRDefault="0039581E" w:rsidP="0039581E">
      <w:pPr>
        <w:pStyle w:val="CCABodytext"/>
      </w:pPr>
      <w:r w:rsidRPr="00CF7393">
        <w:t xml:space="preserve">The Authority </w:t>
      </w:r>
      <w:r w:rsidR="00C37DE5">
        <w:t>is of the view</w:t>
      </w:r>
      <w:r w:rsidRPr="00CF7393">
        <w:t xml:space="preserve"> the Regulator should continue to provide education and support to data users to </w:t>
      </w:r>
      <w:r w:rsidR="007E24A9">
        <w:t xml:space="preserve">improve </w:t>
      </w:r>
      <w:r w:rsidRPr="00CF7393">
        <w:t>understand</w:t>
      </w:r>
      <w:r w:rsidR="007E24A9">
        <w:t>ing of</w:t>
      </w:r>
      <w:r w:rsidRPr="00CF7393">
        <w:t xml:space="preserve"> their obligations under the legislation, and also support data users to </w:t>
      </w:r>
      <w:r w:rsidR="00C37DE5">
        <w:t xml:space="preserve">better </w:t>
      </w:r>
      <w:r w:rsidRPr="00CF7393">
        <w:t xml:space="preserve">use the data where it is permitted by the legislation. </w:t>
      </w:r>
      <w:r>
        <w:t xml:space="preserve">The Authority also notes the importance of state government data users </w:t>
      </w:r>
      <w:r w:rsidR="00E34962">
        <w:t xml:space="preserve">and others </w:t>
      </w:r>
      <w:r>
        <w:t>contacting the Regulator to clarify any areas of uncertainty</w:t>
      </w:r>
      <w:r w:rsidRPr="00B15B2C">
        <w:t xml:space="preserve">. </w:t>
      </w:r>
    </w:p>
    <w:p w14:paraId="371EFAAE" w14:textId="77777777" w:rsidR="004032A3" w:rsidRPr="00C805C3" w:rsidRDefault="000B0E54" w:rsidP="004032A3">
      <w:pPr>
        <w:pStyle w:val="CCABodytext"/>
      </w:pPr>
      <w:r>
        <w:t xml:space="preserve">Concerns were also raised with the Authority that the ability for </w:t>
      </w:r>
      <w:r w:rsidR="00C37DE5">
        <w:t xml:space="preserve">some </w:t>
      </w:r>
      <w:r>
        <w:t xml:space="preserve">Australian Government agencies to access the reporting data </w:t>
      </w:r>
      <w:r w:rsidR="004B50B3">
        <w:t>a</w:t>
      </w:r>
      <w:r>
        <w:t xml:space="preserve">re limited by overly stringent data </w:t>
      </w:r>
      <w:r w:rsidR="00C37DE5">
        <w:t xml:space="preserve">sharing and </w:t>
      </w:r>
      <w:r w:rsidR="003D6B14">
        <w:t>confidentiality</w:t>
      </w:r>
      <w:r w:rsidR="00C37DE5">
        <w:t xml:space="preserve"> provisions</w:t>
      </w:r>
      <w:r w:rsidR="00C46851">
        <w:t xml:space="preserve">. </w:t>
      </w:r>
      <w:r>
        <w:t xml:space="preserve">The Authority recommends the Regulator </w:t>
      </w:r>
      <w:r w:rsidR="00C37DE5">
        <w:t xml:space="preserve">continue to </w:t>
      </w:r>
      <w:r>
        <w:t xml:space="preserve">work with interested government data users to provide </w:t>
      </w:r>
      <w:r w:rsidR="00C37DE5">
        <w:t xml:space="preserve">efficient </w:t>
      </w:r>
      <w:r>
        <w:t>access to reporting data.</w:t>
      </w:r>
    </w:p>
    <w:tbl>
      <w:tblPr>
        <w:tblStyle w:val="TableGrid"/>
        <w:tblW w:w="0" w:type="auto"/>
        <w:tblInd w:w="284" w:type="dxa"/>
        <w:tblLook w:val="04A0" w:firstRow="1" w:lastRow="0" w:firstColumn="1" w:lastColumn="0" w:noHBand="0" w:noVBand="1"/>
      </w:tblPr>
      <w:tblGrid>
        <w:gridCol w:w="9781"/>
      </w:tblGrid>
      <w:tr w:rsidR="004032A3" w:rsidRPr="00155241" w14:paraId="2D7FF75A"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3A83C5B8" w14:textId="77777777" w:rsidR="004032A3" w:rsidRPr="00027FFA" w:rsidRDefault="004032A3" w:rsidP="004032A3">
            <w:pPr>
              <w:pStyle w:val="CCAForRheading"/>
            </w:pPr>
            <w:r>
              <w:t>Recommendation</w:t>
            </w:r>
          </w:p>
          <w:p w14:paraId="6C44FBE2" w14:textId="77777777" w:rsidR="004032A3" w:rsidRPr="00E45370" w:rsidRDefault="006C644B" w:rsidP="004032A3">
            <w:pPr>
              <w:pStyle w:val="CCARecommendation"/>
            </w:pPr>
            <w:r w:rsidRPr="00F92F48">
              <w:t>The Regulator and government data users continue to work together to clarify what data is available and how it can be shared and used</w:t>
            </w:r>
            <w:r>
              <w:t xml:space="preserve"> more efficiently</w:t>
            </w:r>
            <w:r w:rsidR="004032A3" w:rsidRPr="00E45370">
              <w:t>.</w:t>
            </w:r>
          </w:p>
        </w:tc>
      </w:tr>
    </w:tbl>
    <w:p w14:paraId="2141010D" w14:textId="77777777" w:rsidR="004032A3" w:rsidRDefault="004032A3" w:rsidP="004032A3">
      <w:pPr>
        <w:pStyle w:val="CCABodytext"/>
      </w:pPr>
    </w:p>
    <w:p w14:paraId="55D222E4" w14:textId="61A634D0" w:rsidR="00A3536E" w:rsidRDefault="00A3536E" w:rsidP="00C813C5">
      <w:pPr>
        <w:pStyle w:val="CCAHeading2"/>
      </w:pPr>
      <w:bookmarkStart w:id="564" w:name="_Toc528258327"/>
      <w:bookmarkStart w:id="565" w:name="_Toc528258400"/>
      <w:bookmarkStart w:id="566" w:name="_Toc528763116"/>
      <w:bookmarkStart w:id="567" w:name="_Toc528765850"/>
      <w:bookmarkStart w:id="568" w:name="_Toc528770236"/>
      <w:bookmarkStart w:id="569" w:name="_Toc528258328"/>
      <w:bookmarkStart w:id="570" w:name="_Toc528258401"/>
      <w:bookmarkStart w:id="571" w:name="_Toc528763117"/>
      <w:bookmarkStart w:id="572" w:name="_Toc528765851"/>
      <w:bookmarkStart w:id="573" w:name="_Toc528770237"/>
      <w:bookmarkStart w:id="574" w:name="_Toc528258330"/>
      <w:bookmarkStart w:id="575" w:name="_Toc528258403"/>
      <w:bookmarkStart w:id="576" w:name="_Toc528763119"/>
      <w:bookmarkStart w:id="577" w:name="_Toc528765853"/>
      <w:bookmarkStart w:id="578" w:name="_Toc528770239"/>
      <w:bookmarkStart w:id="579" w:name="_Toc528258331"/>
      <w:bookmarkStart w:id="580" w:name="_Toc528258404"/>
      <w:bookmarkStart w:id="581" w:name="_Toc528763120"/>
      <w:bookmarkStart w:id="582" w:name="_Toc528765854"/>
      <w:bookmarkStart w:id="583" w:name="_Toc528770240"/>
      <w:bookmarkStart w:id="584" w:name="_Toc528770241"/>
      <w:bookmarkStart w:id="585" w:name="_Toc529183870"/>
      <w:bookmarkStart w:id="586" w:name="_Toc529187682"/>
      <w:bookmarkStart w:id="587" w:name="_Toc529188108"/>
      <w:bookmarkStart w:id="588" w:name="_Toc529377758"/>
      <w:bookmarkStart w:id="589" w:name="_Toc529389699"/>
      <w:bookmarkStart w:id="590" w:name="_Ref529391958"/>
      <w:bookmarkStart w:id="591" w:name="_Ref529391990"/>
      <w:bookmarkStart w:id="592" w:name="_Toc531095574"/>
      <w:bookmarkStart w:id="593" w:name="_Toc531099340"/>
      <w:bookmarkStart w:id="594" w:name="_Toc531101749"/>
      <w:bookmarkStart w:id="595" w:name="_Ref531355435"/>
      <w:bookmarkStart w:id="596" w:name="_Toc531764017"/>
      <w:bookmarkStart w:id="597" w:name="_Toc532912109"/>
      <w:bookmarkStart w:id="598" w:name="_Toc532914951"/>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t xml:space="preserve">Make the </w:t>
      </w:r>
      <w:r w:rsidR="005962FF">
        <w:t>E</w:t>
      </w:r>
      <w:r>
        <w:t xml:space="preserve">missions and </w:t>
      </w:r>
      <w:r w:rsidR="005962FF">
        <w:t>E</w:t>
      </w:r>
      <w:r>
        <w:t xml:space="preserve">nergy </w:t>
      </w:r>
      <w:r w:rsidR="005962FF">
        <w:t>R</w:t>
      </w:r>
      <w:r>
        <w:t xml:space="preserve">eporting </w:t>
      </w:r>
      <w:r w:rsidR="005962FF">
        <w:t>S</w:t>
      </w:r>
      <w:r>
        <w:t xml:space="preserve">ystem </w:t>
      </w:r>
      <w:r w:rsidR="00E93497">
        <w:t>more efficient</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7991767E" w14:textId="77777777" w:rsidR="00A3536E" w:rsidRDefault="00A3536E" w:rsidP="00A3536E">
      <w:pPr>
        <w:pStyle w:val="CCABodytext"/>
      </w:pPr>
      <w:r>
        <w:t>R</w:t>
      </w:r>
      <w:r w:rsidRPr="0030285B">
        <w:t xml:space="preserve">eporters suggested improvements </w:t>
      </w:r>
      <w:r>
        <w:t xml:space="preserve">to the </w:t>
      </w:r>
      <w:r w:rsidR="00E93497">
        <w:t>online E</w:t>
      </w:r>
      <w:r>
        <w:t xml:space="preserve">missions and </w:t>
      </w:r>
      <w:r w:rsidR="00E93497">
        <w:t>E</w:t>
      </w:r>
      <w:r>
        <w:t xml:space="preserve">nergy </w:t>
      </w:r>
      <w:r w:rsidR="00E93497">
        <w:t>R</w:t>
      </w:r>
      <w:r>
        <w:t xml:space="preserve">eporting </w:t>
      </w:r>
      <w:r w:rsidR="00E93497">
        <w:t>S</w:t>
      </w:r>
      <w:r>
        <w:t xml:space="preserve">ystem, </w:t>
      </w:r>
      <w:r w:rsidR="00E93497">
        <w:t xml:space="preserve">to </w:t>
      </w:r>
      <w:r w:rsidRPr="0030285B">
        <w:t xml:space="preserve">reduce the </w:t>
      </w:r>
      <w:r w:rsidR="004B50B3">
        <w:t xml:space="preserve">reporting </w:t>
      </w:r>
      <w:r w:rsidRPr="0030285B">
        <w:t>burden</w:t>
      </w:r>
      <w:r w:rsidR="00D1545A">
        <w:t xml:space="preserve"> </w:t>
      </w:r>
      <w:r>
        <w:t xml:space="preserve">and improve the quality of the data. </w:t>
      </w:r>
    </w:p>
    <w:p w14:paraId="5C7BAEAA" w14:textId="77777777" w:rsidR="00A3536E" w:rsidRDefault="00E93497" w:rsidP="00A3536E">
      <w:pPr>
        <w:pStyle w:val="CCABodytext"/>
      </w:pPr>
      <w:r>
        <w:t>Currently</w:t>
      </w:r>
      <w:r w:rsidR="00A3536E">
        <w:t xml:space="preserve">, reporters cannot upload emissions and energy data into the reporting system from their internal databases. </w:t>
      </w:r>
      <w:r w:rsidR="00D1545A">
        <w:t>They</w:t>
      </w:r>
      <w:r w:rsidR="00A3536E">
        <w:t xml:space="preserve"> suggested an electronic upload mechanism be developed to reduce the cost of reporting. </w:t>
      </w:r>
    </w:p>
    <w:p w14:paraId="0FE8A95F" w14:textId="77777777" w:rsidR="00A3536E" w:rsidRDefault="006B06DB" w:rsidP="00A3536E">
      <w:pPr>
        <w:pStyle w:val="CCABodytext"/>
      </w:pPr>
      <w:r>
        <w:t>R</w:t>
      </w:r>
      <w:r w:rsidR="00A3536E">
        <w:t xml:space="preserve">eporters </w:t>
      </w:r>
      <w:r>
        <w:t>also said</w:t>
      </w:r>
      <w:r w:rsidR="00A3536E">
        <w:t xml:space="preserve"> extensive</w:t>
      </w:r>
      <w:r w:rsidR="00E94E32">
        <w:t xml:space="preserve"> time-intensive</w:t>
      </w:r>
      <w:r w:rsidR="00A3536E">
        <w:t xml:space="preserve"> manual data entry is required. Th</w:t>
      </w:r>
      <w:r w:rsidR="00E94E32">
        <w:t xml:space="preserve">e </w:t>
      </w:r>
      <w:r w:rsidR="00A3536E">
        <w:t xml:space="preserve">Chamber of Minerals and Energy Western Australia stated </w:t>
      </w:r>
      <w:r w:rsidR="004C71A1">
        <w:t>in their submission on this review</w:t>
      </w:r>
      <w:r w:rsidR="007B3184">
        <w:t>,</w:t>
      </w:r>
      <w:r w:rsidR="00A3536E">
        <w:t xml:space="preserve"> ‘The current reliance on manual data entry increases the risk of typographic errors</w:t>
      </w:r>
      <w:r w:rsidR="004C71A1">
        <w:t>…</w:t>
      </w:r>
      <w:r w:rsidR="00A3536E">
        <w:t>’ (p</w:t>
      </w:r>
      <w:r w:rsidR="00190737">
        <w:t>.</w:t>
      </w:r>
      <w:r w:rsidR="00E94E32">
        <w:t> </w:t>
      </w:r>
      <w:r w:rsidR="004C71A1">
        <w:t>10</w:t>
      </w:r>
      <w:r w:rsidR="00A3536E">
        <w:t>). While the reporting s</w:t>
      </w:r>
      <w:r w:rsidR="00A3536E" w:rsidRPr="0030285B">
        <w:t xml:space="preserve">ystem </w:t>
      </w:r>
      <w:r w:rsidR="00A3536E">
        <w:t xml:space="preserve">currently </w:t>
      </w:r>
      <w:r w:rsidR="00A3536E" w:rsidRPr="0030285B">
        <w:t>allows pre-fill of some attributes relating to the reporting organisation, it could be enhanced by also including pre-fill and automation of data that is otherwise required to be m</w:t>
      </w:r>
      <w:r w:rsidR="00A3536E">
        <w:t>anually entered more than once.</w:t>
      </w:r>
      <w:r>
        <w:t xml:space="preserve"> This would reduce costs to </w:t>
      </w:r>
      <w:r w:rsidR="00D84708">
        <w:t>reporters and reduce errors.</w:t>
      </w:r>
    </w:p>
    <w:p w14:paraId="6BB64D6B" w14:textId="72196F2D" w:rsidR="00A3536E" w:rsidRDefault="00A3536E" w:rsidP="00A3536E">
      <w:pPr>
        <w:pStyle w:val="CCABodytext"/>
      </w:pPr>
      <w:r>
        <w:lastRenderedPageBreak/>
        <w:t>The Chamber of Minerals and Energy Western Australia also said ‘</w:t>
      </w:r>
      <w:r w:rsidR="004C71A1">
        <w:t>…</w:t>
      </w:r>
      <w:r>
        <w:t>the absence of an extract function, reduces reporters’ ability to verify and validate entered data’ (</w:t>
      </w:r>
      <w:r w:rsidR="00623D91">
        <w:t xml:space="preserve">submission on this review, </w:t>
      </w:r>
      <w:r>
        <w:t>p</w:t>
      </w:r>
      <w:r w:rsidR="00190737">
        <w:t>.</w:t>
      </w:r>
      <w:r>
        <w:t xml:space="preserve"> 10). Others also supported a mechanism that enables reported information to be downloaded in a useable format such as a Microsoft Excel document. This could reduce errors </w:t>
      </w:r>
      <w:r w:rsidR="00814DDD">
        <w:t xml:space="preserve">by allowing data to be checked </w:t>
      </w:r>
      <w:r w:rsidR="00F16CB6">
        <w:t>by reporters before submitting</w:t>
      </w:r>
      <w:r>
        <w:t>.</w:t>
      </w:r>
    </w:p>
    <w:p w14:paraId="4BC4ECA5" w14:textId="34E06655" w:rsidR="00A3536E" w:rsidRDefault="00A3536E" w:rsidP="00A3536E">
      <w:pPr>
        <w:pStyle w:val="CCABodytext"/>
      </w:pPr>
      <w:r w:rsidRPr="0030285B">
        <w:t>The Authority recognises the Regulator’s ongoing work to address many of the</w:t>
      </w:r>
      <w:r w:rsidR="00F85F50">
        <w:t>se</w:t>
      </w:r>
      <w:r w:rsidRPr="0030285B" w:rsidDel="00F85F50">
        <w:t xml:space="preserve"> </w:t>
      </w:r>
      <w:r w:rsidRPr="0030285B">
        <w:t xml:space="preserve">issues </w:t>
      </w:r>
      <w:r w:rsidR="006037FF">
        <w:t>by improving</w:t>
      </w:r>
      <w:r w:rsidRPr="0030285B">
        <w:t xml:space="preserve"> the </w:t>
      </w:r>
      <w:r>
        <w:t>reporting s</w:t>
      </w:r>
      <w:r w:rsidRPr="0030285B">
        <w:t>ystem and acknowledges current resource constraints to implement these changes quickly.</w:t>
      </w:r>
      <w:r>
        <w:t xml:space="preserve"> The </w:t>
      </w:r>
      <w:r w:rsidR="00242294">
        <w:t xml:space="preserve">Authority understands the </w:t>
      </w:r>
      <w:r>
        <w:t>Regulator has developed a roadmap to improve its information technology systems</w:t>
      </w:r>
      <w:r w:rsidR="00242294">
        <w:t xml:space="preserve"> and </w:t>
      </w:r>
      <w:r w:rsidR="00580252">
        <w:t>services</w:t>
      </w:r>
      <w:r w:rsidR="00242294">
        <w:t xml:space="preserve"> and encourages the </w:t>
      </w:r>
      <w:r>
        <w:t xml:space="preserve">Regulator </w:t>
      </w:r>
      <w:r w:rsidR="00242294">
        <w:t xml:space="preserve">to continue to </w:t>
      </w:r>
      <w:r>
        <w:t>consult with industry on improvements required and how best to prioritise them.</w:t>
      </w:r>
    </w:p>
    <w:p w14:paraId="5CB749A3" w14:textId="77777777" w:rsidR="008F6DA7" w:rsidRPr="005A28C9" w:rsidRDefault="00F16CB6" w:rsidP="008F6DA7">
      <w:pPr>
        <w:pStyle w:val="CCABodytext"/>
        <w:rPr>
          <w:rFonts w:cs="Arial"/>
        </w:rPr>
      </w:pPr>
      <w:r>
        <w:t xml:space="preserve">As noted in </w:t>
      </w:r>
      <w:r w:rsidR="00BE6E38">
        <w:t>S</w:t>
      </w:r>
      <w:r>
        <w:t xml:space="preserve">ection </w:t>
      </w:r>
      <w:r w:rsidR="00E76E72">
        <w:fldChar w:fldCharType="begin"/>
      </w:r>
      <w:r w:rsidR="00E76E72">
        <w:instrText xml:space="preserve"> REF _Ref529392631 \r \h </w:instrText>
      </w:r>
      <w:r w:rsidR="00E76E72">
        <w:fldChar w:fldCharType="separate"/>
      </w:r>
      <w:r w:rsidR="009A203A">
        <w:t>4.1</w:t>
      </w:r>
      <w:r w:rsidR="00E76E72">
        <w:fldChar w:fldCharType="end"/>
      </w:r>
      <w:r>
        <w:t>, the Authority hear</w:t>
      </w:r>
      <w:r w:rsidR="00BA7ECD">
        <w:t>d</w:t>
      </w:r>
      <w:r>
        <w:t xml:space="preserve"> cases of</w:t>
      </w:r>
      <w:r w:rsidR="008F6DA7" w:rsidRPr="007243E9">
        <w:t xml:space="preserve"> report</w:t>
      </w:r>
      <w:r w:rsidR="008B5DE3">
        <w:t>ers be</w:t>
      </w:r>
      <w:r w:rsidR="008F6DA7" w:rsidRPr="007243E9">
        <w:t xml:space="preserve">ing </w:t>
      </w:r>
      <w:r w:rsidR="008B5DE3">
        <w:t xml:space="preserve">required to submit </w:t>
      </w:r>
      <w:r>
        <w:t>the same information</w:t>
      </w:r>
      <w:r w:rsidR="008F6DA7" w:rsidRPr="007243E9">
        <w:t xml:space="preserve"> </w:t>
      </w:r>
      <w:r w:rsidR="008B5DE3">
        <w:t xml:space="preserve">to </w:t>
      </w:r>
      <w:r w:rsidR="008F6DA7" w:rsidRPr="007243E9">
        <w:t xml:space="preserve">multiple schemes, such as </w:t>
      </w:r>
      <w:r w:rsidR="00242294">
        <w:t>to</w:t>
      </w:r>
      <w:r w:rsidR="008F6DA7" w:rsidRPr="007243E9">
        <w:t xml:space="preserve"> the National Pollutant Inventory. </w:t>
      </w:r>
      <w:r w:rsidR="008F6DA7" w:rsidRPr="007243E9">
        <w:rPr>
          <w:rFonts w:cs="Arial"/>
        </w:rPr>
        <w:t xml:space="preserve">The Authority </w:t>
      </w:r>
      <w:r w:rsidR="008B5DE3">
        <w:rPr>
          <w:rFonts w:cs="Arial"/>
        </w:rPr>
        <w:t xml:space="preserve">recommends the Regulator give </w:t>
      </w:r>
      <w:r w:rsidR="008F6DA7" w:rsidRPr="007243E9">
        <w:rPr>
          <w:rFonts w:cs="Arial"/>
        </w:rPr>
        <w:t xml:space="preserve">consideration to </w:t>
      </w:r>
      <w:r w:rsidR="008B5DE3">
        <w:rPr>
          <w:rFonts w:cs="Arial"/>
        </w:rPr>
        <w:t xml:space="preserve">establishing </w:t>
      </w:r>
      <w:r w:rsidR="008F6DA7" w:rsidRPr="007243E9">
        <w:rPr>
          <w:rFonts w:cs="Arial"/>
        </w:rPr>
        <w:t>a common reporting system for multiple reporting schemes</w:t>
      </w:r>
      <w:r w:rsidR="008B5DE3">
        <w:rPr>
          <w:rFonts w:cs="Arial"/>
        </w:rPr>
        <w:t>, to</w:t>
      </w:r>
      <w:r>
        <w:rPr>
          <w:rFonts w:cs="Arial"/>
        </w:rPr>
        <w:t xml:space="preserve"> </w:t>
      </w:r>
      <w:r w:rsidRPr="00A009E2">
        <w:rPr>
          <w:rFonts w:cs="Arial"/>
        </w:rPr>
        <w:t>make</w:t>
      </w:r>
      <w:r w:rsidRPr="00B15B2C">
        <w:rPr>
          <w:rFonts w:cs="Arial"/>
        </w:rPr>
        <w:t xml:space="preserve"> </w:t>
      </w:r>
      <w:r w:rsidR="00080C7F" w:rsidRPr="00A009E2">
        <w:rPr>
          <w:rFonts w:cs="Arial"/>
        </w:rPr>
        <w:t xml:space="preserve">entry and </w:t>
      </w:r>
      <w:r w:rsidR="00227617" w:rsidRPr="00A009E2">
        <w:rPr>
          <w:rFonts w:cs="Arial"/>
        </w:rPr>
        <w:t>sharing o</w:t>
      </w:r>
      <w:r w:rsidR="00227617" w:rsidRPr="00080C7F">
        <w:rPr>
          <w:rFonts w:cs="Arial"/>
        </w:rPr>
        <w:t>f energy and climate</w:t>
      </w:r>
      <w:r w:rsidR="00E94E32">
        <w:rPr>
          <w:rFonts w:cs="Arial"/>
        </w:rPr>
        <w:t>-</w:t>
      </w:r>
      <w:r w:rsidR="00227617" w:rsidRPr="00080C7F">
        <w:rPr>
          <w:rFonts w:cs="Arial"/>
        </w:rPr>
        <w:t xml:space="preserve">related emissions data </w:t>
      </w:r>
      <w:r w:rsidRPr="00080C7F">
        <w:rPr>
          <w:rFonts w:cs="Arial"/>
        </w:rPr>
        <w:t>between schemes easier</w:t>
      </w:r>
      <w:r w:rsidR="008F6DA7" w:rsidRPr="00080C7F">
        <w:rPr>
          <w:rFonts w:cs="Arial"/>
        </w:rPr>
        <w:t xml:space="preserve">. </w:t>
      </w:r>
      <w:r w:rsidR="00227617" w:rsidRPr="00080C7F">
        <w:t xml:space="preserve">A similar </w:t>
      </w:r>
      <w:r w:rsidR="00227617" w:rsidRPr="00080C7F">
        <w:rPr>
          <w:rFonts w:cs="Arial"/>
        </w:rPr>
        <w:t xml:space="preserve">approach has been taken by the Canadian Government, which </w:t>
      </w:r>
      <w:r w:rsidR="0004502E">
        <w:rPr>
          <w:rFonts w:cs="Arial"/>
        </w:rPr>
        <w:t>introduced</w:t>
      </w:r>
      <w:r w:rsidR="0004502E" w:rsidRPr="00080C7F">
        <w:rPr>
          <w:rFonts w:cs="Arial"/>
        </w:rPr>
        <w:t xml:space="preserve"> </w:t>
      </w:r>
      <w:r w:rsidR="00227617" w:rsidRPr="00080C7F">
        <w:rPr>
          <w:rFonts w:cs="Arial"/>
        </w:rPr>
        <w:t xml:space="preserve">a ‘single window’ for reporting greenhouse gas emissions and pollutants </w:t>
      </w:r>
      <w:r w:rsidR="000F1A20">
        <w:rPr>
          <w:rFonts w:cs="Arial"/>
        </w:rPr>
        <w:t xml:space="preserve">(Environment </w:t>
      </w:r>
      <w:r w:rsidR="00850E18">
        <w:rPr>
          <w:rFonts w:cs="Arial"/>
        </w:rPr>
        <w:t xml:space="preserve">and Climate Change </w:t>
      </w:r>
      <w:r w:rsidR="000F1A20">
        <w:rPr>
          <w:rFonts w:cs="Arial"/>
        </w:rPr>
        <w:t>Canada 2017)</w:t>
      </w:r>
      <w:r w:rsidR="00227617" w:rsidRPr="00080C7F">
        <w:rPr>
          <w:rFonts w:cs="Arial"/>
        </w:rPr>
        <w:t xml:space="preserve">. </w:t>
      </w:r>
      <w:r w:rsidR="008F6DA7" w:rsidRPr="00080C7F">
        <w:rPr>
          <w:rFonts w:cs="Arial"/>
        </w:rPr>
        <w:t>Schemes for which this may be suited include the National Carbon Offset Scheme, the National Pollutant Inventory</w:t>
      </w:r>
      <w:r w:rsidR="008F6DA7" w:rsidRPr="00080C7F" w:rsidDel="00147616">
        <w:rPr>
          <w:rFonts w:cs="Arial"/>
        </w:rPr>
        <w:t xml:space="preserve">, the </w:t>
      </w:r>
      <w:r w:rsidR="008F6DA7" w:rsidRPr="00080C7F" w:rsidDel="00147616">
        <w:t>aviation scheme</w:t>
      </w:r>
      <w:r w:rsidR="008F6DA7" w:rsidRPr="00080C7F">
        <w:t xml:space="preserve"> and the</w:t>
      </w:r>
      <w:r w:rsidR="008F6DA7" w:rsidRPr="00080C7F">
        <w:rPr>
          <w:rFonts w:cs="Arial"/>
        </w:rPr>
        <w:t xml:space="preserve"> Petroleum and Other Fuels Reporting program. </w:t>
      </w:r>
      <w:r w:rsidR="00227617" w:rsidRPr="00080C7F">
        <w:rPr>
          <w:rFonts w:cs="Arial"/>
        </w:rPr>
        <w:t>The Authority is of the view the portal should facilitate data sharing, but not involve the direct integration of these schemes</w:t>
      </w:r>
      <w:r w:rsidR="00000C75" w:rsidRPr="00080C7F">
        <w:rPr>
          <w:rFonts w:cs="Arial"/>
        </w:rPr>
        <w:t>.</w:t>
      </w:r>
      <w:r w:rsidR="00227617" w:rsidRPr="00080C7F">
        <w:rPr>
          <w:rFonts w:cs="Arial"/>
        </w:rPr>
        <w:t xml:space="preserve"> </w:t>
      </w:r>
    </w:p>
    <w:p w14:paraId="7E90C7EE" w14:textId="77777777" w:rsidR="008F6DA7" w:rsidRPr="008F6DA7" w:rsidRDefault="008F6DA7" w:rsidP="008F6DA7">
      <w:pPr>
        <w:pStyle w:val="CCABodytext"/>
        <w:rPr>
          <w:rFonts w:cs="Arial"/>
        </w:rPr>
      </w:pPr>
      <w:r w:rsidRPr="005A28C9">
        <w:rPr>
          <w:rFonts w:cs="Arial"/>
        </w:rPr>
        <w:t xml:space="preserve">The use of a single reporting portal may </w:t>
      </w:r>
      <w:r w:rsidR="00F16CB6">
        <w:rPr>
          <w:rFonts w:cs="Arial"/>
        </w:rPr>
        <w:t>also</w:t>
      </w:r>
      <w:r w:rsidRPr="005A28C9">
        <w:rPr>
          <w:rFonts w:cs="Arial"/>
        </w:rPr>
        <w:t xml:space="preserve"> reduce the opportunities for errors in inputting common company</w:t>
      </w:r>
      <w:r w:rsidR="00E94E32">
        <w:rPr>
          <w:rFonts w:cs="Arial"/>
        </w:rPr>
        <w:t>-</w:t>
      </w:r>
      <w:r w:rsidRPr="005A28C9">
        <w:rPr>
          <w:rFonts w:cs="Arial"/>
        </w:rPr>
        <w:t>specific information, and allow for greater matching of data across schemes</w:t>
      </w:r>
      <w:r w:rsidR="007E24A9">
        <w:rPr>
          <w:rFonts w:cs="Arial"/>
        </w:rPr>
        <w:t xml:space="preserve"> and through time</w:t>
      </w:r>
      <w:r w:rsidRPr="005A28C9">
        <w:rPr>
          <w:rFonts w:cs="Arial"/>
        </w:rPr>
        <w:t>. Some reporters were supportive of a single reporting portal.</w:t>
      </w:r>
    </w:p>
    <w:p w14:paraId="1352EDE0" w14:textId="5BCB92DD" w:rsidR="004032A3" w:rsidRPr="00C805C3" w:rsidRDefault="008F6DA7" w:rsidP="004032A3">
      <w:pPr>
        <w:pStyle w:val="CCABodytext"/>
      </w:pPr>
      <w:r w:rsidRPr="008F6DA7">
        <w:t>The Authority acknowledges</w:t>
      </w:r>
      <w:r w:rsidRPr="0030285B">
        <w:t xml:space="preserve"> that linking the </w:t>
      </w:r>
      <w:r w:rsidR="006037FF">
        <w:t>Emissions and Energy Reporting System</w:t>
      </w:r>
      <w:r w:rsidRPr="0030285B">
        <w:t xml:space="preserve"> with other systems would </w:t>
      </w:r>
      <w:r w:rsidR="00D51260">
        <w:t>involve</w:t>
      </w:r>
      <w:r w:rsidRPr="0030285B">
        <w:t xml:space="preserve"> complex data mapping and</w:t>
      </w:r>
      <w:r w:rsidR="000510A2">
        <w:t xml:space="preserve"> additional resources to</w:t>
      </w:r>
      <w:r w:rsidRPr="0030285B">
        <w:t xml:space="preserve"> </w:t>
      </w:r>
      <w:r w:rsidR="00D51260">
        <w:t xml:space="preserve">implement </w:t>
      </w:r>
      <w:r w:rsidR="000510A2">
        <w:t>it</w:t>
      </w:r>
      <w:r w:rsidRPr="0030285B">
        <w:t>. Nonetheless, this should be considered in the context of future systems developments with the aim of enabling this form of integration.</w:t>
      </w:r>
    </w:p>
    <w:tbl>
      <w:tblPr>
        <w:tblStyle w:val="TableGrid"/>
        <w:tblW w:w="0" w:type="auto"/>
        <w:tblInd w:w="284" w:type="dxa"/>
        <w:tblLook w:val="04A0" w:firstRow="1" w:lastRow="0" w:firstColumn="1" w:lastColumn="0" w:noHBand="0" w:noVBand="1"/>
      </w:tblPr>
      <w:tblGrid>
        <w:gridCol w:w="9781"/>
      </w:tblGrid>
      <w:tr w:rsidR="004032A3" w:rsidRPr="00155241" w14:paraId="111CACE0"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6F7C59F4" w14:textId="77777777" w:rsidR="004032A3" w:rsidRPr="00027FFA" w:rsidRDefault="004032A3" w:rsidP="004032A3">
            <w:pPr>
              <w:pStyle w:val="CCAForRheading"/>
            </w:pPr>
            <w:r>
              <w:lastRenderedPageBreak/>
              <w:t>Recommendation</w:t>
            </w:r>
          </w:p>
          <w:p w14:paraId="1093CC98" w14:textId="77777777" w:rsidR="004032A3" w:rsidRPr="00E45370" w:rsidRDefault="006C644B" w:rsidP="004032A3">
            <w:pPr>
              <w:pStyle w:val="CCARecommendation"/>
            </w:pPr>
            <w:r w:rsidRPr="00F92F48">
              <w:t>The</w:t>
            </w:r>
            <w:r w:rsidRPr="00F92F48" w:rsidDel="00F85F50">
              <w:t xml:space="preserve"> </w:t>
            </w:r>
            <w:r w:rsidRPr="00F92F48">
              <w:t xml:space="preserve">Regulator consult widely with reporters to </w:t>
            </w:r>
            <w:r>
              <w:t>progress</w:t>
            </w:r>
            <w:r w:rsidRPr="00F92F48">
              <w:t xml:space="preserve"> developments to the </w:t>
            </w:r>
            <w:r>
              <w:t xml:space="preserve">Emissions and </w:t>
            </w:r>
            <w:r w:rsidRPr="00F92F48">
              <w:t>Energy Reporting System, with a view to enabling data to be easily uploaded and downloaded by reporters and greater use of pre-fill data, in time for the 2020</w:t>
            </w:r>
            <w:r>
              <w:t>–</w:t>
            </w:r>
            <w:r w:rsidRPr="00F92F48">
              <w:t>21 reporting year</w:t>
            </w:r>
            <w:r w:rsidR="004032A3" w:rsidRPr="00E45370">
              <w:t>.</w:t>
            </w:r>
          </w:p>
        </w:tc>
      </w:tr>
    </w:tbl>
    <w:p w14:paraId="1420D60F" w14:textId="77777777" w:rsidR="004032A3" w:rsidRDefault="004032A3" w:rsidP="004032A3">
      <w:pPr>
        <w:pStyle w:val="CCABodytext"/>
      </w:pPr>
    </w:p>
    <w:tbl>
      <w:tblPr>
        <w:tblStyle w:val="TableGrid"/>
        <w:tblW w:w="0" w:type="auto"/>
        <w:tblInd w:w="284" w:type="dxa"/>
        <w:tblLook w:val="04A0" w:firstRow="1" w:lastRow="0" w:firstColumn="1" w:lastColumn="0" w:noHBand="0" w:noVBand="1"/>
      </w:tblPr>
      <w:tblGrid>
        <w:gridCol w:w="9781"/>
      </w:tblGrid>
      <w:tr w:rsidR="004032A3" w:rsidRPr="00155241" w14:paraId="2285F93E"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4AC0B845" w14:textId="77777777" w:rsidR="004032A3" w:rsidRPr="00027FFA" w:rsidRDefault="004032A3" w:rsidP="004032A3">
            <w:pPr>
              <w:pStyle w:val="CCAForRheading"/>
            </w:pPr>
            <w:r>
              <w:t>Recommendation</w:t>
            </w:r>
          </w:p>
          <w:p w14:paraId="5E69F918" w14:textId="77777777" w:rsidR="004032A3" w:rsidRPr="00E45370" w:rsidRDefault="006C644B" w:rsidP="004032A3">
            <w:pPr>
              <w:pStyle w:val="CCARecommendation"/>
            </w:pPr>
            <w:r w:rsidRPr="00F92F48">
              <w:t>The Regulator continue to develop its long</w:t>
            </w:r>
            <w:r>
              <w:t>-</w:t>
            </w:r>
            <w:r w:rsidRPr="00F92F48">
              <w:t xml:space="preserve">term information technology systems </w:t>
            </w:r>
            <w:r>
              <w:t xml:space="preserve">and services </w:t>
            </w:r>
            <w:r w:rsidRPr="00F92F48">
              <w:t xml:space="preserve">roadmap to increase opportunities for data sharing across schemes, including working with other program administrators, and consider the benefits and costs of developing a common reporting </w:t>
            </w:r>
            <w:r>
              <w:t>portal</w:t>
            </w:r>
            <w:r w:rsidRPr="00F92F48">
              <w:t xml:space="preserve"> for existing </w:t>
            </w:r>
            <w:r>
              <w:t xml:space="preserve">and future </w:t>
            </w:r>
            <w:r w:rsidRPr="00F92F48">
              <w:t>energy and emissions reporting schemes</w:t>
            </w:r>
            <w:r w:rsidR="004032A3" w:rsidRPr="00E45370">
              <w:t>.</w:t>
            </w:r>
          </w:p>
        </w:tc>
      </w:tr>
    </w:tbl>
    <w:p w14:paraId="08B78C1B" w14:textId="77777777" w:rsidR="00C637F3" w:rsidRDefault="00C637F3" w:rsidP="004032A3">
      <w:pPr>
        <w:pStyle w:val="CCABodytext"/>
      </w:pPr>
    </w:p>
    <w:p w14:paraId="4116F10A" w14:textId="77777777" w:rsidR="00CD1C1C" w:rsidRDefault="00CD1C1C" w:rsidP="004032A3">
      <w:pPr>
        <w:pStyle w:val="CCABodytext"/>
      </w:pPr>
    </w:p>
    <w:p w14:paraId="0F76F9D1" w14:textId="77777777" w:rsidR="008F6DA7" w:rsidRDefault="00183CE0" w:rsidP="00C813C5">
      <w:pPr>
        <w:pStyle w:val="CCAHeading2"/>
      </w:pPr>
      <w:bookmarkStart w:id="599" w:name="_Toc528258333"/>
      <w:bookmarkStart w:id="600" w:name="_Toc528258406"/>
      <w:bookmarkStart w:id="601" w:name="_Toc528258334"/>
      <w:bookmarkStart w:id="602" w:name="_Toc528258407"/>
      <w:bookmarkStart w:id="603" w:name="_Toc528258335"/>
      <w:bookmarkStart w:id="604" w:name="_Toc528258408"/>
      <w:bookmarkStart w:id="605" w:name="_Toc528770243"/>
      <w:bookmarkStart w:id="606" w:name="_Toc529183872"/>
      <w:bookmarkStart w:id="607" w:name="_Toc529187684"/>
      <w:bookmarkStart w:id="608" w:name="_Toc529188110"/>
      <w:bookmarkStart w:id="609" w:name="_Toc529377760"/>
      <w:bookmarkStart w:id="610" w:name="_Toc529389701"/>
      <w:bookmarkStart w:id="611" w:name="_Toc531095576"/>
      <w:bookmarkStart w:id="612" w:name="_Toc531099342"/>
      <w:bookmarkStart w:id="613" w:name="_Toc531101751"/>
      <w:bookmarkStart w:id="614" w:name="_Toc531764019"/>
      <w:bookmarkStart w:id="615" w:name="_Ref532400175"/>
      <w:bookmarkStart w:id="616" w:name="_Toc532912110"/>
      <w:bookmarkStart w:id="617" w:name="_Toc532914952"/>
      <w:bookmarkEnd w:id="599"/>
      <w:bookmarkEnd w:id="600"/>
      <w:bookmarkEnd w:id="601"/>
      <w:bookmarkEnd w:id="602"/>
      <w:bookmarkEnd w:id="603"/>
      <w:bookmarkEnd w:id="604"/>
      <w:r>
        <w:t>I</w:t>
      </w:r>
      <w:r w:rsidR="00242294">
        <w:t>mprov</w:t>
      </w:r>
      <w:r w:rsidR="00C41B84">
        <w:t>e</w:t>
      </w:r>
      <w:r w:rsidR="008F6DA7">
        <w:t xml:space="preserve"> the measurement determination</w:t>
      </w:r>
      <w:bookmarkEnd w:id="605"/>
      <w:bookmarkEnd w:id="606"/>
      <w:bookmarkEnd w:id="607"/>
      <w:bookmarkEnd w:id="608"/>
      <w:r w:rsidR="00242294">
        <w:t xml:space="preserve"> update process</w:t>
      </w:r>
      <w:bookmarkEnd w:id="609"/>
      <w:bookmarkEnd w:id="610"/>
      <w:bookmarkEnd w:id="611"/>
      <w:bookmarkEnd w:id="612"/>
      <w:bookmarkEnd w:id="613"/>
      <w:bookmarkEnd w:id="614"/>
      <w:bookmarkEnd w:id="615"/>
      <w:bookmarkEnd w:id="616"/>
      <w:bookmarkEnd w:id="617"/>
    </w:p>
    <w:p w14:paraId="625A76BA" w14:textId="533063CD" w:rsidR="00042132" w:rsidRDefault="00EE7238" w:rsidP="0038625E">
      <w:pPr>
        <w:pStyle w:val="CCABodytext"/>
      </w:pPr>
      <w:r>
        <w:t>The measurement determination is updated annually in response to industry feedback</w:t>
      </w:r>
      <w:r w:rsidR="00CD1C1C">
        <w:t xml:space="preserve"> to</w:t>
      </w:r>
      <w:r>
        <w:t xml:space="preserve"> correct </w:t>
      </w:r>
      <w:r w:rsidR="00851828">
        <w:t xml:space="preserve">any </w:t>
      </w:r>
      <w:r>
        <w:t xml:space="preserve">errors and </w:t>
      </w:r>
      <w:r w:rsidR="00CD1C1C">
        <w:t xml:space="preserve">to </w:t>
      </w:r>
      <w:r>
        <w:t xml:space="preserve">keep reporting in line with the national emissions inventory. Industry </w:t>
      </w:r>
      <w:r w:rsidR="00242294">
        <w:t>was generally supportive of</w:t>
      </w:r>
      <w:r>
        <w:t xml:space="preserve"> the</w:t>
      </w:r>
      <w:r w:rsidR="00242294">
        <w:t>se</w:t>
      </w:r>
      <w:r>
        <w:t xml:space="preserve"> annual updates and the </w:t>
      </w:r>
      <w:r w:rsidR="000510A2">
        <w:t xml:space="preserve">extensive </w:t>
      </w:r>
      <w:r>
        <w:t xml:space="preserve">consultation the Department conducts </w:t>
      </w:r>
      <w:r w:rsidR="00242294">
        <w:t>to make</w:t>
      </w:r>
      <w:r>
        <w:t xml:space="preserve"> the</w:t>
      </w:r>
      <w:r w:rsidR="00242294">
        <w:t>m</w:t>
      </w:r>
      <w:r w:rsidR="00E94E32">
        <w:t>;</w:t>
      </w:r>
      <w:r>
        <w:t xml:space="preserve"> </w:t>
      </w:r>
      <w:r w:rsidR="00E94E32">
        <w:t>h</w:t>
      </w:r>
      <w:r>
        <w:t xml:space="preserve">owever, industry also raised </w:t>
      </w:r>
      <w:r w:rsidR="00611788">
        <w:t xml:space="preserve">some areas </w:t>
      </w:r>
      <w:r w:rsidR="00D51260">
        <w:t>for</w:t>
      </w:r>
      <w:r w:rsidR="00611788">
        <w:t xml:space="preserve"> improvement</w:t>
      </w:r>
      <w:r w:rsidR="00042132">
        <w:t>.</w:t>
      </w:r>
    </w:p>
    <w:p w14:paraId="4389B96D" w14:textId="77777777" w:rsidR="00611788" w:rsidRDefault="00042132" w:rsidP="0038625E">
      <w:pPr>
        <w:pStyle w:val="CCABodytext"/>
      </w:pPr>
      <w:r>
        <w:t>One area of potential improvement is</w:t>
      </w:r>
      <w:r w:rsidR="00611788">
        <w:t xml:space="preserve"> the timing of the consultation for the update process. Some in industry support the current timing</w:t>
      </w:r>
      <w:r w:rsidR="00E94E32">
        <w:t>:</w:t>
      </w:r>
      <w:r w:rsidR="006218B2">
        <w:t xml:space="preserve"> consulting in the months </w:t>
      </w:r>
      <w:r w:rsidR="00611788">
        <w:t xml:space="preserve">preceding the July start to the reporting year. Others saw merit in earlier consultation. For example, </w:t>
      </w:r>
      <w:r w:rsidR="00D63B4D">
        <w:t xml:space="preserve">members of the oil and gas sector said </w:t>
      </w:r>
      <w:r w:rsidR="00D63B4D" w:rsidRPr="00681041">
        <w:t>that</w:t>
      </w:r>
      <w:r w:rsidR="00D63B4D">
        <w:t xml:space="preserve"> earlier engagement with industry would have improved their recent experience </w:t>
      </w:r>
      <w:r w:rsidR="00147616">
        <w:t xml:space="preserve">where </w:t>
      </w:r>
      <w:r w:rsidR="00D63B4D">
        <w:t>substantial changes to the measurement of emissions</w:t>
      </w:r>
      <w:r w:rsidR="00147616">
        <w:t xml:space="preserve"> were proposed</w:t>
      </w:r>
      <w:r w:rsidR="00D63B4D">
        <w:t xml:space="preserve">. </w:t>
      </w:r>
      <w:r w:rsidR="00E91D23">
        <w:t>Some reporters also</w:t>
      </w:r>
      <w:r w:rsidR="00D63B4D">
        <w:t xml:space="preserve"> noted that an earlier opportunity for consultation</w:t>
      </w:r>
      <w:r w:rsidR="00F91302">
        <w:t>, closer to the end of the reporting year,</w:t>
      </w:r>
      <w:r w:rsidR="00D63B4D">
        <w:t xml:space="preserve"> would allow for more timely feedback on </w:t>
      </w:r>
      <w:r w:rsidR="006218B2">
        <w:t xml:space="preserve">improvements </w:t>
      </w:r>
      <w:r w:rsidR="006218B2" w:rsidDel="00F85F50">
        <w:t xml:space="preserve">to </w:t>
      </w:r>
      <w:r w:rsidR="00D63B4D">
        <w:t xml:space="preserve">the reporting process </w:t>
      </w:r>
      <w:r w:rsidR="006218B2">
        <w:t>for the following year</w:t>
      </w:r>
      <w:r w:rsidR="00FB2AC5">
        <w:t>.</w:t>
      </w:r>
    </w:p>
    <w:p w14:paraId="159B6E1B" w14:textId="77777777" w:rsidR="00D63B4D" w:rsidRPr="00D63B4D" w:rsidRDefault="00D63B4D" w:rsidP="003A4D92">
      <w:pPr>
        <w:pStyle w:val="CCAquote"/>
      </w:pPr>
      <w:r w:rsidRPr="00D63B4D">
        <w:t>Bringing forward the timeframe may assist those involved as any issues would be front of mind.</w:t>
      </w:r>
    </w:p>
    <w:p w14:paraId="06DBBDAE" w14:textId="77777777" w:rsidR="00EE7238" w:rsidRDefault="00D63B4D" w:rsidP="00F92F48">
      <w:pPr>
        <w:pStyle w:val="CCAquotesource"/>
      </w:pPr>
      <w:r>
        <w:t>Origin</w:t>
      </w:r>
      <w:r w:rsidR="000510A2">
        <w:t>, submission on this review</w:t>
      </w:r>
      <w:r w:rsidR="00F85F50">
        <w:t xml:space="preserve"> (p</w:t>
      </w:r>
      <w:r w:rsidR="00190737">
        <w:t>.</w:t>
      </w:r>
      <w:r w:rsidR="00F85F50">
        <w:t xml:space="preserve"> 2)</w:t>
      </w:r>
    </w:p>
    <w:p w14:paraId="370874B5" w14:textId="715F92EE" w:rsidR="00042132" w:rsidRDefault="00042132" w:rsidP="005328F1">
      <w:pPr>
        <w:pStyle w:val="CCABodytext"/>
      </w:pPr>
      <w:r w:rsidRPr="00607973">
        <w:t xml:space="preserve">The Department has made a commitment to </w:t>
      </w:r>
      <w:r>
        <w:t xml:space="preserve">industry to </w:t>
      </w:r>
      <w:r w:rsidRPr="00607973">
        <w:t>provide longer lead times for material changes to the measurement determination in the future (A</w:t>
      </w:r>
      <w:r w:rsidR="00F57E01">
        <w:t xml:space="preserve">ustralian Industry </w:t>
      </w:r>
      <w:r w:rsidR="00F57E01">
        <w:lastRenderedPageBreak/>
        <w:t>Greenhouse Network</w:t>
      </w:r>
      <w:r w:rsidR="00E91D23">
        <w:t>,</w:t>
      </w:r>
      <w:r w:rsidR="00080C7F">
        <w:t xml:space="preserve"> submission on this review</w:t>
      </w:r>
      <w:r w:rsidRPr="00607973">
        <w:t>).</w:t>
      </w:r>
      <w:r>
        <w:t xml:space="preserve"> The Authority considers the Department, together with the Regulator, should </w:t>
      </w:r>
      <w:r w:rsidR="003F27A9">
        <w:t>provide industry with an opportunity to raise concerns around the measurement determination</w:t>
      </w:r>
      <w:r w:rsidR="00CD1C1C">
        <w:t xml:space="preserve"> soon after the 31 </w:t>
      </w:r>
      <w:r>
        <w:t>October reporting deadline.</w:t>
      </w:r>
    </w:p>
    <w:p w14:paraId="5A721BF1" w14:textId="7AE901F7" w:rsidR="00CE6CF1" w:rsidRDefault="00CE6CF1" w:rsidP="00CE6CF1">
      <w:pPr>
        <w:pStyle w:val="CCABodytext"/>
      </w:pPr>
      <w:r>
        <w:t xml:space="preserve">Reporters also suggested the updated measurement determination </w:t>
      </w:r>
      <w:r w:rsidR="00D51260">
        <w:t>is at times</w:t>
      </w:r>
      <w:r>
        <w:t xml:space="preserve"> published after the beginning of the reporting year to which it applies, allowing no lead time before the new rules commence. The Authority found the amendments </w:t>
      </w:r>
      <w:r w:rsidR="00D51260">
        <w:t>are</w:t>
      </w:r>
      <w:r>
        <w:t xml:space="preserve"> made into law and made public in late June prior to the start of the reporting year</w:t>
      </w:r>
      <w:r w:rsidR="00565BF2">
        <w:t>.</w:t>
      </w:r>
      <w:r>
        <w:rPr>
          <w:rStyle w:val="FootnoteReference"/>
        </w:rPr>
        <w:footnoteReference w:id="18"/>
      </w:r>
      <w:r w:rsidR="008717C1">
        <w:t xml:space="preserve"> Consultation on exposure draft legislation </w:t>
      </w:r>
      <w:r w:rsidR="009735BA">
        <w:t>usually</w:t>
      </w:r>
      <w:r w:rsidR="008B3428">
        <w:t xml:space="preserve"> </w:t>
      </w:r>
      <w:r w:rsidR="008717C1">
        <w:t>occurs in May</w:t>
      </w:r>
      <w:r w:rsidR="008B3428">
        <w:t xml:space="preserve"> through to early</w:t>
      </w:r>
      <w:r w:rsidR="005E7760">
        <w:t xml:space="preserve"> </w:t>
      </w:r>
      <w:r w:rsidR="008717C1">
        <w:t xml:space="preserve">June and is accompanied by </w:t>
      </w:r>
      <w:r w:rsidR="00F76F79">
        <w:t>guidance</w:t>
      </w:r>
      <w:r w:rsidR="00D06E7D">
        <w:t xml:space="preserve"> explaining the changes</w:t>
      </w:r>
      <w:r w:rsidR="008717C1">
        <w:t xml:space="preserve">. </w:t>
      </w:r>
      <w:r w:rsidR="008B3428">
        <w:t xml:space="preserve">The Department has said that generally few changes occur to the exposure draft text </w:t>
      </w:r>
      <w:r w:rsidR="00CD1C1C">
        <w:t xml:space="preserve">and </w:t>
      </w:r>
      <w:r w:rsidR="008B3428">
        <w:t xml:space="preserve">as it has </w:t>
      </w:r>
      <w:r w:rsidR="009735BA">
        <w:t xml:space="preserve">been </w:t>
      </w:r>
      <w:r w:rsidR="008B3428">
        <w:t>developed in consultation with relevant industry stakeholders they are already aware of the changes.</w:t>
      </w:r>
      <w:r w:rsidR="008717C1">
        <w:t xml:space="preserve"> The Authority </w:t>
      </w:r>
      <w:r>
        <w:t xml:space="preserve">considers that </w:t>
      </w:r>
      <w:r w:rsidR="00B37F22">
        <w:t xml:space="preserve">the exposure draft legislation </w:t>
      </w:r>
      <w:r>
        <w:t xml:space="preserve">provides an adequate avenue for managing readiness for implementing the changes where they are routine. For substantial changes, </w:t>
      </w:r>
      <w:r w:rsidR="00242294">
        <w:t xml:space="preserve">for which extensive consultation should be undertaken, </w:t>
      </w:r>
      <w:r>
        <w:t xml:space="preserve">registering the updated legislation a month or two earlier would allow reporters to </w:t>
      </w:r>
      <w:r w:rsidR="00242294">
        <w:t xml:space="preserve">better </w:t>
      </w:r>
      <w:r>
        <w:t>prepare for the new methods.</w:t>
      </w:r>
    </w:p>
    <w:p w14:paraId="66A6E4BC" w14:textId="77777777" w:rsidR="00E75008" w:rsidRDefault="009812BD" w:rsidP="000E5DD3">
      <w:pPr>
        <w:pStyle w:val="CCABodytext"/>
      </w:pPr>
      <w:r>
        <w:t>Through the measurement determination update process</w:t>
      </w:r>
      <w:r w:rsidR="000510A2">
        <w:t xml:space="preserve"> and other fora</w:t>
      </w:r>
      <w:r>
        <w:t>, t</w:t>
      </w:r>
      <w:r w:rsidR="000E5DD3">
        <w:t xml:space="preserve">he Department </w:t>
      </w:r>
      <w:r w:rsidR="0082580B">
        <w:t>has indicated its openness</w:t>
      </w:r>
      <w:r w:rsidR="000E5DD3">
        <w:t xml:space="preserve"> to industry suggesting </w:t>
      </w:r>
      <w:r w:rsidR="00E75008">
        <w:t>areas for improvement. Some reporters have had positive experiences in this regard. For example, o</w:t>
      </w:r>
      <w:r w:rsidR="000E5DD3">
        <w:t xml:space="preserve">ne </w:t>
      </w:r>
      <w:r w:rsidR="00242294">
        <w:t>reporter told the Authority</w:t>
      </w:r>
      <w:r w:rsidR="000E5DD3">
        <w:t xml:space="preserve"> they had been working constructively with the Department on a new facility-specific method for fugitive emissions from n</w:t>
      </w:r>
      <w:r w:rsidR="000E5DD3" w:rsidRPr="00BF1B80">
        <w:t xml:space="preserve">atural </w:t>
      </w:r>
      <w:r w:rsidR="000E5DD3">
        <w:t>g</w:t>
      </w:r>
      <w:r w:rsidR="000E5DD3" w:rsidRPr="00BF1B80">
        <w:t xml:space="preserve">as </w:t>
      </w:r>
      <w:r w:rsidR="000E5DD3">
        <w:t>d</w:t>
      </w:r>
      <w:r w:rsidR="000E5DD3" w:rsidRPr="00BF1B80">
        <w:t>istribution</w:t>
      </w:r>
      <w:r w:rsidR="000E5DD3">
        <w:t xml:space="preserve"> (ATCO Gas pers. comm.). </w:t>
      </w:r>
      <w:r w:rsidR="00E75008">
        <w:t xml:space="preserve">Others </w:t>
      </w:r>
      <w:r w:rsidR="002C17F9">
        <w:t xml:space="preserve">said </w:t>
      </w:r>
      <w:r w:rsidR="00242294">
        <w:t xml:space="preserve">long-standing </w:t>
      </w:r>
      <w:r w:rsidR="00E75008">
        <w:t xml:space="preserve">issues have been raised with the </w:t>
      </w:r>
      <w:r w:rsidR="00BA7ECD">
        <w:t xml:space="preserve">Regulator </w:t>
      </w:r>
      <w:r w:rsidR="00242294">
        <w:t>or</w:t>
      </w:r>
      <w:r w:rsidR="00BA7ECD">
        <w:t xml:space="preserve"> </w:t>
      </w:r>
      <w:r w:rsidR="00E75008">
        <w:t>Department, but have not been resolved</w:t>
      </w:r>
      <w:r w:rsidR="00D51260">
        <w:t>.</w:t>
      </w:r>
      <w:r w:rsidR="002E1D13">
        <w:t xml:space="preserve"> </w:t>
      </w:r>
    </w:p>
    <w:p w14:paraId="2BA1E7A0" w14:textId="77777777" w:rsidR="003F27A9" w:rsidRDefault="00B77E92" w:rsidP="000E5DD3">
      <w:pPr>
        <w:pStyle w:val="CCABodytext"/>
      </w:pPr>
      <w:r>
        <w:t xml:space="preserve">The </w:t>
      </w:r>
      <w:r w:rsidR="002C17F9">
        <w:t>Authority is of the view t</w:t>
      </w:r>
      <w:r w:rsidR="000E5DD3">
        <w:t xml:space="preserve">he update process should allow reporters to share their issues with both the measurement determination and the reporting system in a systematic </w:t>
      </w:r>
      <w:r>
        <w:t xml:space="preserve">and timely </w:t>
      </w:r>
      <w:r w:rsidR="000E5DD3">
        <w:t xml:space="preserve">way. The Department can then prioritise </w:t>
      </w:r>
      <w:r w:rsidR="00D51260">
        <w:t xml:space="preserve">how the </w:t>
      </w:r>
      <w:r w:rsidR="000E5DD3">
        <w:t xml:space="preserve">issues </w:t>
      </w:r>
      <w:r w:rsidR="00D51260">
        <w:t>will be addressed</w:t>
      </w:r>
      <w:r w:rsidR="000E5DD3">
        <w:t xml:space="preserve"> and communicate to </w:t>
      </w:r>
      <w:r w:rsidR="002C17F9">
        <w:t>industry</w:t>
      </w:r>
      <w:r w:rsidR="000E5DD3">
        <w:t xml:space="preserve"> </w:t>
      </w:r>
      <w:r w:rsidR="005B5A49">
        <w:t xml:space="preserve">its </w:t>
      </w:r>
      <w:r w:rsidR="000E5DD3">
        <w:t>approach</w:t>
      </w:r>
      <w:r w:rsidR="005B5A49">
        <w:t>, including reasons for not pursuing issues where that is the case.</w:t>
      </w:r>
      <w:r w:rsidR="000E5DD3" w:rsidDel="005B5A49">
        <w:t xml:space="preserve"> </w:t>
      </w:r>
      <w:r w:rsidR="00651FA6">
        <w:t xml:space="preserve">The Authority encourages the Department to </w:t>
      </w:r>
      <w:r w:rsidR="00D27FA4">
        <w:t xml:space="preserve">consider </w:t>
      </w:r>
      <w:r w:rsidR="00651FA6">
        <w:t>the specific issues raised by stakeholders in their submissions on this review in the annual update process (</w:t>
      </w:r>
      <w:r w:rsidR="00F76F79">
        <w:fldChar w:fldCharType="begin"/>
      </w:r>
      <w:r w:rsidR="00F76F79">
        <w:instrText xml:space="preserve"> REF _Ref531616408 \r \h </w:instrText>
      </w:r>
      <w:r w:rsidR="00F76F79">
        <w:fldChar w:fldCharType="separate"/>
      </w:r>
      <w:r w:rsidR="009A203A">
        <w:t>Appendix F</w:t>
      </w:r>
      <w:r w:rsidR="00F76F79">
        <w:fldChar w:fldCharType="end"/>
      </w:r>
      <w:r w:rsidR="00651FA6">
        <w:t xml:space="preserve">). </w:t>
      </w:r>
    </w:p>
    <w:p w14:paraId="7D3FAB1B" w14:textId="77777777" w:rsidR="004032A3" w:rsidRPr="00C805C3" w:rsidRDefault="0082580B" w:rsidP="004032A3">
      <w:pPr>
        <w:pStyle w:val="CCABodytext"/>
      </w:pPr>
      <w:r>
        <w:t>T</w:t>
      </w:r>
      <w:r w:rsidR="000E5DD3">
        <w:t>he Regulator publicises updates to the measurement determination and the reporting system at the beginning of the reporting year</w:t>
      </w:r>
      <w:r w:rsidR="00000F74">
        <w:t xml:space="preserve"> and provides </w:t>
      </w:r>
      <w:r w:rsidR="002B4BC3">
        <w:t>some</w:t>
      </w:r>
      <w:r w:rsidR="00000F74">
        <w:t xml:space="preserve"> information on their website</w:t>
      </w:r>
      <w:r>
        <w:t>. However,</w:t>
      </w:r>
      <w:r w:rsidR="000E5DD3">
        <w:t xml:space="preserve"> </w:t>
      </w:r>
      <w:r w:rsidR="000510A2">
        <w:t xml:space="preserve">the Authority </w:t>
      </w:r>
      <w:r w:rsidR="000E5DD3">
        <w:t xml:space="preserve">found not all stakeholders were aware of all updates to the measurement determination. For example, </w:t>
      </w:r>
      <w:r>
        <w:t xml:space="preserve">some reporters were unaware </w:t>
      </w:r>
      <w:r>
        <w:lastRenderedPageBreak/>
        <w:t xml:space="preserve">of </w:t>
      </w:r>
      <w:r w:rsidR="000E5DD3">
        <w:t xml:space="preserve">changes to the reporting of emissions from </w:t>
      </w:r>
      <w:r w:rsidR="003D130F">
        <w:t xml:space="preserve">domestic and commercial </w:t>
      </w:r>
      <w:r w:rsidR="000E5DD3">
        <w:t xml:space="preserve">waste water </w:t>
      </w:r>
      <w:r>
        <w:t xml:space="preserve">which </w:t>
      </w:r>
      <w:r w:rsidR="000E5DD3">
        <w:t>began from 1 July 2018</w:t>
      </w:r>
      <w:r>
        <w:t xml:space="preserve"> and which </w:t>
      </w:r>
      <w:r w:rsidR="003D130F">
        <w:t xml:space="preserve">can </w:t>
      </w:r>
      <w:r w:rsidR="000E5DD3">
        <w:t xml:space="preserve">materially reduce </w:t>
      </w:r>
      <w:r w:rsidR="00D51260">
        <w:t>their</w:t>
      </w:r>
      <w:r w:rsidR="000E5DD3">
        <w:t xml:space="preserve"> reporting burden</w:t>
      </w:r>
      <w:r w:rsidR="00D51260">
        <w:t>.</w:t>
      </w:r>
      <w:r w:rsidR="000E5DD3">
        <w:t xml:space="preserve"> </w:t>
      </w:r>
      <w:r w:rsidR="00004573">
        <w:t xml:space="preserve">The Authority is of the view the Regulator should continue to work with reporters </w:t>
      </w:r>
      <w:r w:rsidR="002B4BC3">
        <w:t>to ensure wider understanding of changes</w:t>
      </w:r>
      <w:r>
        <w:t xml:space="preserve"> to the determination</w:t>
      </w:r>
      <w:r w:rsidR="000D058A">
        <w:t>.</w:t>
      </w:r>
    </w:p>
    <w:tbl>
      <w:tblPr>
        <w:tblStyle w:val="TableGrid"/>
        <w:tblW w:w="0" w:type="auto"/>
        <w:tblInd w:w="284" w:type="dxa"/>
        <w:tblLook w:val="04A0" w:firstRow="1" w:lastRow="0" w:firstColumn="1" w:lastColumn="0" w:noHBand="0" w:noVBand="1"/>
      </w:tblPr>
      <w:tblGrid>
        <w:gridCol w:w="9781"/>
      </w:tblGrid>
      <w:tr w:rsidR="004032A3" w:rsidRPr="00155241" w14:paraId="2535C890"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0E941DAD" w14:textId="77777777" w:rsidR="004032A3" w:rsidRPr="00027FFA" w:rsidRDefault="004032A3" w:rsidP="004032A3">
            <w:pPr>
              <w:pStyle w:val="CCAForRheading"/>
            </w:pPr>
            <w:r>
              <w:t>Recommendation</w:t>
            </w:r>
          </w:p>
          <w:p w14:paraId="63433ADB" w14:textId="77777777" w:rsidR="004032A3" w:rsidRPr="00E45370" w:rsidRDefault="004032A3" w:rsidP="004032A3">
            <w:pPr>
              <w:pStyle w:val="CCARecommendation"/>
            </w:pPr>
            <w:bookmarkStart w:id="618" w:name="_Ref532894157"/>
            <w:r w:rsidRPr="00E45370">
              <w:t>The</w:t>
            </w:r>
            <w:r w:rsidRPr="00E45370" w:rsidDel="00F76F79">
              <w:t xml:space="preserve"> </w:t>
            </w:r>
            <w:r w:rsidRPr="00E45370">
              <w:t>Department enhance the current process for implementing updates to the measurement determination by consulting earlier with industry, increasing transparency on how issues will be resolved and working with the Regulator to better publicise updates.</w:t>
            </w:r>
            <w:bookmarkEnd w:id="618"/>
          </w:p>
        </w:tc>
      </w:tr>
    </w:tbl>
    <w:p w14:paraId="1B5C1076" w14:textId="77777777" w:rsidR="008F6DA7" w:rsidRDefault="008F6DA7" w:rsidP="005A28C9">
      <w:pPr>
        <w:pStyle w:val="CCABodytext"/>
      </w:pPr>
    </w:p>
    <w:p w14:paraId="35F031AB" w14:textId="157559CF" w:rsidR="008F6DA7" w:rsidRDefault="00183CE0" w:rsidP="00C813C5">
      <w:pPr>
        <w:pStyle w:val="CCAHeading2"/>
      </w:pPr>
      <w:bookmarkStart w:id="619" w:name="_Toc528770244"/>
      <w:bookmarkStart w:id="620" w:name="_Toc529183873"/>
      <w:bookmarkStart w:id="621" w:name="_Toc529187685"/>
      <w:bookmarkStart w:id="622" w:name="_Toc529188111"/>
      <w:bookmarkStart w:id="623" w:name="_Toc529377761"/>
      <w:bookmarkStart w:id="624" w:name="_Toc529389702"/>
      <w:bookmarkStart w:id="625" w:name="_Ref529392026"/>
      <w:bookmarkStart w:id="626" w:name="_Ref530407646"/>
      <w:bookmarkStart w:id="627" w:name="_Toc531095577"/>
      <w:bookmarkStart w:id="628" w:name="_Toc531099343"/>
      <w:bookmarkStart w:id="629" w:name="_Toc531101752"/>
      <w:bookmarkStart w:id="630" w:name="_Toc531764020"/>
      <w:bookmarkStart w:id="631" w:name="_Toc532912111"/>
      <w:bookmarkStart w:id="632" w:name="_Toc532914953"/>
      <w:r w:rsidRPr="00C36BEC">
        <w:t>R</w:t>
      </w:r>
      <w:r w:rsidRPr="00427A36">
        <w:t>educing</w:t>
      </w:r>
      <w:r>
        <w:t xml:space="preserve"> </w:t>
      </w:r>
      <w:r w:rsidR="008F6DA7" w:rsidRPr="001E5DB3">
        <w:t>costs assoc</w:t>
      </w:r>
      <w:r w:rsidR="008F6DA7" w:rsidRPr="00A56FFB">
        <w:t xml:space="preserve">iated with </w:t>
      </w:r>
      <w:r w:rsidR="00B77E92" w:rsidRPr="00792A86">
        <w:t xml:space="preserve">reporting </w:t>
      </w:r>
      <w:r w:rsidR="00461AB4">
        <w:t xml:space="preserve">emissions and </w:t>
      </w:r>
      <w:r w:rsidR="00B77E92" w:rsidRPr="00792A86">
        <w:t xml:space="preserve">energy </w:t>
      </w:r>
      <w:r w:rsidR="005962FF">
        <w:t>from small sources—</w:t>
      </w:r>
      <w:r w:rsidR="008F6DA7">
        <w:t>materiality</w:t>
      </w:r>
      <w:bookmarkEnd w:id="619"/>
      <w:bookmarkEnd w:id="620"/>
      <w:bookmarkEnd w:id="621"/>
      <w:bookmarkEnd w:id="622"/>
      <w:r w:rsidR="00B77E92">
        <w:t xml:space="preserve"> issues</w:t>
      </w:r>
      <w:bookmarkEnd w:id="623"/>
      <w:bookmarkEnd w:id="624"/>
      <w:bookmarkEnd w:id="625"/>
      <w:bookmarkEnd w:id="626"/>
      <w:bookmarkEnd w:id="627"/>
      <w:bookmarkEnd w:id="628"/>
      <w:bookmarkEnd w:id="629"/>
      <w:bookmarkEnd w:id="630"/>
      <w:bookmarkEnd w:id="631"/>
      <w:bookmarkEnd w:id="632"/>
    </w:p>
    <w:p w14:paraId="5AAE4CCE" w14:textId="77777777" w:rsidR="00D4305C" w:rsidRDefault="00D4305C" w:rsidP="00D4305C">
      <w:pPr>
        <w:pStyle w:val="CCABodytext"/>
      </w:pPr>
      <w:r>
        <w:t xml:space="preserve">The Authority heard reporters </w:t>
      </w:r>
      <w:r w:rsidR="00587B6A">
        <w:t>a</w:t>
      </w:r>
      <w:r>
        <w:t>re spending a significant amount of effort measuring what they considered to be small or non-material emissions</w:t>
      </w:r>
      <w:r w:rsidR="000510A2">
        <w:t xml:space="preserve"> and energy</w:t>
      </w:r>
      <w:r>
        <w:t>.</w:t>
      </w:r>
      <w:r w:rsidR="00CD1021">
        <w:t xml:space="preserve"> </w:t>
      </w:r>
      <w:r w:rsidR="00A316B0">
        <w:t>A</w:t>
      </w:r>
      <w:r>
        <w:t xml:space="preserve"> few specific emissions sources </w:t>
      </w:r>
      <w:r w:rsidR="00CD1021">
        <w:t>were repeatedly identified in this regard</w:t>
      </w:r>
      <w:r w:rsidR="000510A2">
        <w:t>:</w:t>
      </w:r>
    </w:p>
    <w:p w14:paraId="6BC552F3" w14:textId="33BA1009" w:rsidR="00D4305C" w:rsidRPr="00250C76" w:rsidRDefault="00313139" w:rsidP="000D7F42">
      <w:pPr>
        <w:pStyle w:val="ListBullet"/>
      </w:pPr>
      <w:r>
        <w:t>o</w:t>
      </w:r>
      <w:r w:rsidR="00D4305C" w:rsidRPr="00250C76">
        <w:t>ils and greases for non-combustible uses (</w:t>
      </w:r>
      <w:r w:rsidR="00A6452F">
        <w:t>for example those</w:t>
      </w:r>
      <w:r w:rsidR="00D4305C" w:rsidRPr="00250C76">
        <w:t xml:space="preserve"> used as a lubricant)</w:t>
      </w:r>
    </w:p>
    <w:p w14:paraId="0C0C257F" w14:textId="77777777" w:rsidR="00D4305C" w:rsidRPr="00250C76" w:rsidRDefault="00313139" w:rsidP="000D7F42">
      <w:pPr>
        <w:pStyle w:val="ListBullet"/>
      </w:pPr>
      <w:r>
        <w:t>s</w:t>
      </w:r>
      <w:r w:rsidR="00D4305C" w:rsidRPr="00250C76">
        <w:t>ulphur hexafluoride emissions (SF</w:t>
      </w:r>
      <w:r w:rsidR="00D4305C" w:rsidRPr="00F67192">
        <w:rPr>
          <w:vertAlign w:val="subscript"/>
        </w:rPr>
        <w:t>6</w:t>
      </w:r>
      <w:r w:rsidR="00D4305C" w:rsidRPr="00250C76">
        <w:t>)</w:t>
      </w:r>
    </w:p>
    <w:p w14:paraId="49073E4C" w14:textId="77777777" w:rsidR="00D4305C" w:rsidRPr="00250C76" w:rsidRDefault="00313139" w:rsidP="000D7F42">
      <w:pPr>
        <w:pStyle w:val="ListBullet"/>
      </w:pPr>
      <w:r>
        <w:t>m</w:t>
      </w:r>
      <w:r w:rsidR="00D4305C" w:rsidRPr="00250C76">
        <w:t>ud degassing from the drilling of oil and gas wells and the use of soda ash while drilling those wells.</w:t>
      </w:r>
    </w:p>
    <w:p w14:paraId="35EDB630" w14:textId="77777777" w:rsidR="00821DBE" w:rsidRDefault="00990FCB" w:rsidP="00821DBE">
      <w:pPr>
        <w:pStyle w:val="CCABodytext"/>
      </w:pPr>
      <w:r>
        <w:t>M</w:t>
      </w:r>
      <w:r w:rsidR="00C4280C" w:rsidRPr="005328F1">
        <w:t>embers</w:t>
      </w:r>
      <w:r>
        <w:t xml:space="preserve"> of the </w:t>
      </w:r>
      <w:r w:rsidRPr="00990FCB">
        <w:t xml:space="preserve">Australian Petroleum Production </w:t>
      </w:r>
      <w:r w:rsidR="00E91D23">
        <w:t>and</w:t>
      </w:r>
      <w:r w:rsidRPr="00990FCB">
        <w:t xml:space="preserve"> Exploration Association</w:t>
      </w:r>
      <w:r w:rsidR="00C4280C" w:rsidRPr="005328F1">
        <w:t xml:space="preserve">, for example, </w:t>
      </w:r>
      <w:r w:rsidR="00D51260" w:rsidRPr="005328F1">
        <w:t>sai</w:t>
      </w:r>
      <w:r w:rsidR="00D51260" w:rsidRPr="002128D5">
        <w:t>d</w:t>
      </w:r>
      <w:r w:rsidR="00C4280C" w:rsidRPr="002128D5">
        <w:t xml:space="preserve"> the </w:t>
      </w:r>
      <w:r w:rsidR="00CC79D1" w:rsidRPr="002128D5">
        <w:t xml:space="preserve">three </w:t>
      </w:r>
      <w:r w:rsidR="00C4280C" w:rsidRPr="002128D5">
        <w:t xml:space="preserve">sources </w:t>
      </w:r>
      <w:r w:rsidR="00CC79D1" w:rsidRPr="002128D5">
        <w:t xml:space="preserve">noted above </w:t>
      </w:r>
      <w:r w:rsidR="00C4280C" w:rsidRPr="002128D5">
        <w:t xml:space="preserve">can </w:t>
      </w:r>
      <w:r w:rsidR="00AD1345" w:rsidRPr="002128D5">
        <w:t xml:space="preserve">amount to less than 0.05 per cent of total emissions </w:t>
      </w:r>
      <w:r w:rsidR="00D51260" w:rsidRPr="002128D5">
        <w:t xml:space="preserve">but </w:t>
      </w:r>
      <w:r w:rsidR="00C4280C" w:rsidRPr="002128D5">
        <w:t xml:space="preserve">in some cases </w:t>
      </w:r>
      <w:r w:rsidR="00454352" w:rsidRPr="002128D5">
        <w:t xml:space="preserve">require </w:t>
      </w:r>
      <w:r w:rsidR="00C4280C" w:rsidRPr="002128D5">
        <w:t>up to 80 per cent of the measurement effort</w:t>
      </w:r>
      <w:r w:rsidR="00D4305C" w:rsidRPr="002128D5">
        <w:t>.</w:t>
      </w:r>
      <w:r w:rsidR="00821DBE" w:rsidRPr="00821DBE">
        <w:t xml:space="preserve"> </w:t>
      </w:r>
    </w:p>
    <w:p w14:paraId="7B731B56" w14:textId="37F6380C" w:rsidR="00CD1C1C" w:rsidRDefault="00821DBE" w:rsidP="000E7A47">
      <w:pPr>
        <w:pStyle w:val="CCABodytext"/>
      </w:pPr>
      <w:r w:rsidRPr="005A28C9">
        <w:t xml:space="preserve">The legislation already includes a number of </w:t>
      </w:r>
      <w:r>
        <w:t xml:space="preserve">provisions to ease the reporting burden </w:t>
      </w:r>
      <w:r w:rsidR="00587B6A">
        <w:t>in relation to</w:t>
      </w:r>
      <w:r>
        <w:t xml:space="preserve"> small emissions </w:t>
      </w:r>
      <w:r w:rsidR="0024273B">
        <w:t xml:space="preserve">and energy </w:t>
      </w:r>
      <w:r>
        <w:t>sources (</w:t>
      </w:r>
      <w:r w:rsidR="00231284">
        <w:fldChar w:fldCharType="begin"/>
      </w:r>
      <w:r w:rsidR="00231284">
        <w:instrText xml:space="preserve"> REF _Ref531708741 \r \h </w:instrText>
      </w:r>
      <w:r w:rsidR="00231284">
        <w:fldChar w:fldCharType="separate"/>
      </w:r>
      <w:r w:rsidR="009A203A">
        <w:t>Box 3</w:t>
      </w:r>
      <w:r w:rsidR="00231284">
        <w:fldChar w:fldCharType="end"/>
      </w:r>
      <w:r>
        <w:t xml:space="preserve">). These provisions were made less restrictive and thresholds were raised to </w:t>
      </w:r>
      <w:r w:rsidR="0024273B">
        <w:t xml:space="preserve">try </w:t>
      </w:r>
      <w:r w:rsidR="00813FE6">
        <w:t>to</w:t>
      </w:r>
      <w:r w:rsidR="0024273B">
        <w:t xml:space="preserve"> reduce</w:t>
      </w:r>
      <w:r>
        <w:t xml:space="preserve"> the reporting burden following the 2012 </w:t>
      </w:r>
      <w:r w:rsidRPr="00CF7393">
        <w:t xml:space="preserve">Australian National Audit Office </w:t>
      </w:r>
      <w:r>
        <w:t>audit of the scheme</w:t>
      </w:r>
      <w:r w:rsidR="0013184A">
        <w:t xml:space="preserve"> </w:t>
      </w:r>
      <w:r w:rsidR="00EC61DA">
        <w:t>(</w:t>
      </w:r>
      <w:r w:rsidR="008B6BCF">
        <w:t xml:space="preserve">DIICCSRTE </w:t>
      </w:r>
      <w:r w:rsidR="000F1A20">
        <w:t>n.d.a</w:t>
      </w:r>
      <w:r w:rsidR="008B6BCF">
        <w:t>)</w:t>
      </w:r>
      <w:r>
        <w:t xml:space="preserve">. </w:t>
      </w:r>
      <w:bookmarkStart w:id="633" w:name="_Toc529389703"/>
      <w:bookmarkStart w:id="634" w:name="_Ref529391598"/>
    </w:p>
    <w:p w14:paraId="7BD10816" w14:textId="77777777" w:rsidR="00CD1C1C" w:rsidRDefault="00CD1C1C">
      <w:pPr>
        <w:spacing w:after="200" w:line="276" w:lineRule="auto"/>
        <w:rPr>
          <w:color w:val="auto"/>
          <w:sz w:val="21"/>
          <w:szCs w:val="21"/>
        </w:rPr>
      </w:pPr>
      <w:r>
        <w:br w:type="page"/>
      </w:r>
    </w:p>
    <w:tbl>
      <w:tblPr>
        <w:tblStyle w:val="TableLayout1"/>
        <w:tblpPr w:leftFromText="180" w:rightFromText="180" w:vertAnchor="text" w:tblpXSpec="center" w:tblpY="1"/>
        <w:tblOverlap w:val="never"/>
        <w:tblW w:w="49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BF4" w:themeFill="accent4" w:themeFillTint="33"/>
        <w:tblLook w:val="04A0" w:firstRow="1" w:lastRow="0" w:firstColumn="1" w:lastColumn="0" w:noHBand="0" w:noVBand="1"/>
      </w:tblPr>
      <w:tblGrid>
        <w:gridCol w:w="9833"/>
      </w:tblGrid>
      <w:tr w:rsidR="00F97127" w:rsidRPr="000D5CD5" w14:paraId="53BFBD96" w14:textId="77777777" w:rsidTr="00990FCB">
        <w:trPr>
          <w:cnfStyle w:val="100000000000" w:firstRow="1" w:lastRow="0" w:firstColumn="0" w:lastColumn="0" w:oddVBand="0" w:evenVBand="0" w:oddHBand="0" w:evenHBand="0" w:firstRowFirstColumn="0" w:firstRowLastColumn="0" w:lastRowFirstColumn="0" w:lastRowLastColumn="0"/>
          <w:trHeight w:val="425"/>
          <w:jc w:val="center"/>
        </w:trPr>
        <w:tc>
          <w:tcPr>
            <w:tcW w:w="5000" w:type="pct"/>
            <w:shd w:val="clear" w:color="auto" w:fill="D4EBF4" w:themeFill="accent4" w:themeFillTint="33"/>
          </w:tcPr>
          <w:p w14:paraId="09ECB286" w14:textId="77777777" w:rsidR="00F97127" w:rsidRPr="00FA4FC5" w:rsidRDefault="00F97127" w:rsidP="009947F2">
            <w:pPr>
              <w:pStyle w:val="CCABoxheading"/>
              <w:framePr w:hSpace="0" w:wrap="auto" w:vAnchor="margin" w:xAlign="left" w:yAlign="inline"/>
              <w:suppressOverlap w:val="0"/>
              <w:rPr>
                <w:sz w:val="22"/>
              </w:rPr>
            </w:pPr>
            <w:bookmarkStart w:id="635" w:name="_Ref531708741"/>
            <w:bookmarkStart w:id="636" w:name="_Toc531764072"/>
            <w:bookmarkStart w:id="637" w:name="_Toc532912049"/>
            <w:bookmarkStart w:id="638" w:name="_Toc532914037"/>
            <w:r w:rsidRPr="00FA4FC5">
              <w:rPr>
                <w:sz w:val="22"/>
              </w:rPr>
              <w:lastRenderedPageBreak/>
              <w:t>Existing provisions for simplified reporting in the legislation</w:t>
            </w:r>
            <w:bookmarkEnd w:id="635"/>
            <w:bookmarkEnd w:id="636"/>
            <w:bookmarkEnd w:id="637"/>
            <w:bookmarkEnd w:id="638"/>
          </w:p>
          <w:p w14:paraId="588970F5" w14:textId="77777777" w:rsidR="00F97127" w:rsidRPr="00250C76" w:rsidRDefault="00F97127" w:rsidP="00BF23FC">
            <w:pPr>
              <w:pStyle w:val="CCAHeading4"/>
              <w:spacing w:after="60"/>
            </w:pPr>
            <w:r w:rsidRPr="00454352">
              <w:t>Small facilities</w:t>
            </w:r>
          </w:p>
          <w:p w14:paraId="2BBF3C46" w14:textId="77777777" w:rsidR="00F97127" w:rsidRDefault="00F97127" w:rsidP="00BF23FC">
            <w:pPr>
              <w:pStyle w:val="CCABodytext"/>
              <w:spacing w:after="120"/>
            </w:pPr>
            <w:r w:rsidRPr="00250C76">
              <w:t xml:space="preserve">Small facilities that fall below set thresholds and </w:t>
            </w:r>
            <w:r>
              <w:t>constitute</w:t>
            </w:r>
            <w:r w:rsidRPr="00250C76">
              <w:t xml:space="preserve"> less than 5 per cent of a corporate group’s emissions and energy can </w:t>
            </w:r>
            <w:r>
              <w:t>estimate facility emissions or energy</w:t>
            </w:r>
            <w:r w:rsidRPr="00250C76">
              <w:t xml:space="preserve"> as a percentage of the </w:t>
            </w:r>
            <w:r w:rsidR="00EC5318">
              <w:t xml:space="preserve">group </w:t>
            </w:r>
            <w:r w:rsidRPr="00250C76">
              <w:t xml:space="preserve">total. </w:t>
            </w:r>
          </w:p>
          <w:p w14:paraId="62781807" w14:textId="77777777" w:rsidR="00F97127" w:rsidRDefault="00F97127" w:rsidP="00BF23FC">
            <w:pPr>
              <w:pStyle w:val="CCABodytext"/>
              <w:spacing w:after="120"/>
            </w:pPr>
            <w:r>
              <w:t xml:space="preserve">The provision for small facilities was used by more than </w:t>
            </w:r>
            <w:r w:rsidRPr="0017286E">
              <w:t>4</w:t>
            </w:r>
            <w:r>
              <w:t>0</w:t>
            </w:r>
            <w:r w:rsidRPr="0017286E">
              <w:t xml:space="preserve"> </w:t>
            </w:r>
            <w:r>
              <w:t>reporters, for a total of</w:t>
            </w:r>
            <w:r w:rsidRPr="0017286E">
              <w:t xml:space="preserve"> 72,000 t CO</w:t>
            </w:r>
            <w:r w:rsidRPr="005A28C9">
              <w:rPr>
                <w:vertAlign w:val="subscript"/>
              </w:rPr>
              <w:t>2</w:t>
            </w:r>
            <w:r>
              <w:noBreakHyphen/>
            </w:r>
            <w:r w:rsidRPr="0017286E">
              <w:t>e</w:t>
            </w:r>
            <w:r w:rsidR="00F70733">
              <w:t xml:space="preserve"> in 2016–17</w:t>
            </w:r>
            <w:r>
              <w:t>.</w:t>
            </w:r>
            <w:r>
              <w:rPr>
                <w:rStyle w:val="FootnoteReference"/>
              </w:rPr>
              <w:footnoteReference w:id="19"/>
            </w:r>
            <w:r w:rsidRPr="0017286E">
              <w:t xml:space="preserve"> </w:t>
            </w:r>
          </w:p>
          <w:p w14:paraId="343EB323" w14:textId="77777777" w:rsidR="00F97127" w:rsidRPr="00250C76" w:rsidRDefault="00F97127" w:rsidP="00BF23FC">
            <w:pPr>
              <w:pStyle w:val="CCAHeading4"/>
              <w:spacing w:after="60"/>
            </w:pPr>
            <w:r w:rsidRPr="00454352">
              <w:t>Incidental</w:t>
            </w:r>
            <w:r w:rsidRPr="00250C76">
              <w:t xml:space="preserve"> emissions and energy</w:t>
            </w:r>
          </w:p>
          <w:p w14:paraId="646B2373" w14:textId="3D5AEBFA" w:rsidR="00F97127" w:rsidRDefault="00F97127" w:rsidP="00BF23FC">
            <w:pPr>
              <w:pStyle w:val="CCABodytext"/>
              <w:spacing w:after="120"/>
            </w:pPr>
            <w:r w:rsidRPr="00250C76">
              <w:t>A facility can estimate incidental sources of emissions and energy using their own approach</w:t>
            </w:r>
            <w:r>
              <w:t>, consistent with measurement principles of transparency, accuracy, comparability and completeness</w:t>
            </w:r>
            <w:r w:rsidRPr="00250C76">
              <w:t>.</w:t>
            </w:r>
            <w:r>
              <w:rPr>
                <w:rStyle w:val="FootnoteReference"/>
              </w:rPr>
              <w:footnoteReference w:id="20"/>
            </w:r>
            <w:r w:rsidR="003B68AE">
              <w:t xml:space="preserve"> </w:t>
            </w:r>
            <w:r w:rsidRPr="0017286E">
              <w:t>The provisions for calculating incidental emissions were used by 157 reporters</w:t>
            </w:r>
            <w:r>
              <w:t>, for a total of</w:t>
            </w:r>
            <w:r w:rsidRPr="0017286E">
              <w:t xml:space="preserve"> 174,000</w:t>
            </w:r>
            <w:r w:rsidR="00CD1C1C">
              <w:t> </w:t>
            </w:r>
            <w:r w:rsidRPr="0017286E">
              <w:t>t</w:t>
            </w:r>
            <w:r w:rsidR="00CD1C1C">
              <w:t> </w:t>
            </w:r>
            <w:r w:rsidRPr="0017286E">
              <w:t>CO</w:t>
            </w:r>
            <w:r w:rsidRPr="005A28C9">
              <w:rPr>
                <w:vertAlign w:val="subscript"/>
              </w:rPr>
              <w:t>2</w:t>
            </w:r>
            <w:r w:rsidR="00CD1C1C">
              <w:noBreakHyphen/>
            </w:r>
            <w:r w:rsidRPr="0017286E">
              <w:t>e</w:t>
            </w:r>
            <w:r w:rsidR="00F70733">
              <w:t xml:space="preserve"> in 2016–17</w:t>
            </w:r>
            <w:r>
              <w:t>.</w:t>
            </w:r>
            <w:r>
              <w:rPr>
                <w:rStyle w:val="FootnoteReference"/>
              </w:rPr>
              <w:footnoteReference w:id="21"/>
            </w:r>
            <w:r>
              <w:t xml:space="preserve"> </w:t>
            </w:r>
          </w:p>
          <w:p w14:paraId="7D3BD588" w14:textId="77777777" w:rsidR="00F97127" w:rsidRDefault="00F97127" w:rsidP="00BF23FC">
            <w:pPr>
              <w:pStyle w:val="CCABodytext"/>
              <w:spacing w:after="120"/>
            </w:pPr>
            <w:r>
              <w:t>For example, sulphur hexafluoride emissions are more often incidental to a facility’s total emissions. In 2016</w:t>
            </w:r>
            <w:r w:rsidR="00927F6F">
              <w:t>–</w:t>
            </w:r>
            <w:r>
              <w:t xml:space="preserve">17, only 8 per cent of reported emissions of this gas were calculated using the incidental provision. This implies greater use could be made of the existing provisions. </w:t>
            </w:r>
          </w:p>
          <w:p w14:paraId="7B7BABAD" w14:textId="77777777" w:rsidR="00F97127" w:rsidRPr="00454352" w:rsidRDefault="00F97127" w:rsidP="00BF23FC">
            <w:pPr>
              <w:pStyle w:val="CCAHeading4"/>
              <w:spacing w:after="60"/>
            </w:pPr>
            <w:r w:rsidRPr="00454352">
              <w:t>Source</w:t>
            </w:r>
            <w:r w:rsidR="005F2280">
              <w:t>-</w:t>
            </w:r>
            <w:r w:rsidRPr="00454352">
              <w:t>specific thresholds</w:t>
            </w:r>
            <w:r>
              <w:t xml:space="preserve"> and sector limits</w:t>
            </w:r>
          </w:p>
          <w:p w14:paraId="527613FE" w14:textId="77777777" w:rsidR="00F97127" w:rsidRPr="00250C76" w:rsidRDefault="00F97127" w:rsidP="00BF23FC">
            <w:pPr>
              <w:pStyle w:val="CCABodytext"/>
              <w:spacing w:after="120"/>
            </w:pPr>
            <w:r w:rsidRPr="00250C76">
              <w:t xml:space="preserve">Methods for some sources of emissions and energy only apply </w:t>
            </w:r>
            <w:r>
              <w:t xml:space="preserve">to instances of a source </w:t>
            </w:r>
            <w:r w:rsidRPr="00250C76">
              <w:t xml:space="preserve">above a specific threshold or </w:t>
            </w:r>
            <w:r>
              <w:t xml:space="preserve">are limited </w:t>
            </w:r>
            <w:r w:rsidRPr="00250C76">
              <w:t>to some industry sectors</w:t>
            </w:r>
            <w:r>
              <w:t xml:space="preserve"> (</w:t>
            </w:r>
            <w:r w:rsidR="009947F2">
              <w:fldChar w:fldCharType="begin"/>
            </w:r>
            <w:r w:rsidR="009947F2">
              <w:instrText xml:space="preserve"> REF _Ref531712277 \r \h </w:instrText>
            </w:r>
            <w:r w:rsidR="009947F2">
              <w:fldChar w:fldCharType="separate"/>
            </w:r>
            <w:r w:rsidR="009A203A">
              <w:t>Table 5</w:t>
            </w:r>
            <w:r w:rsidR="009947F2">
              <w:fldChar w:fldCharType="end"/>
            </w:r>
            <w:r>
              <w:t>).</w:t>
            </w:r>
            <w:r w:rsidRPr="00250C76">
              <w:t xml:space="preserve"> </w:t>
            </w:r>
          </w:p>
          <w:p w14:paraId="16E9D2C4" w14:textId="77777777" w:rsidR="00F97127" w:rsidRPr="00643BCB" w:rsidRDefault="00F97127" w:rsidP="00532BE2">
            <w:pPr>
              <w:pStyle w:val="CCATableheader"/>
            </w:pPr>
            <w:bookmarkStart w:id="639" w:name="_Ref531712277"/>
            <w:bookmarkStart w:id="640" w:name="_Toc531764049"/>
            <w:bookmarkStart w:id="641" w:name="_Toc532912070"/>
            <w:bookmarkStart w:id="642" w:name="_Toc532914014"/>
            <w:r w:rsidRPr="00643BCB">
              <w:t>Examples of thresholds and limits</w:t>
            </w:r>
            <w:bookmarkEnd w:id="639"/>
            <w:bookmarkEnd w:id="640"/>
            <w:bookmarkEnd w:id="641"/>
            <w:bookmarkEnd w:id="642"/>
            <w:r w:rsidRPr="00643BCB">
              <w:t xml:space="preserve"> </w:t>
            </w:r>
          </w:p>
          <w:tbl>
            <w:tblPr>
              <w:tblStyle w:val="TableGrid"/>
              <w:tblW w:w="9214" w:type="dxa"/>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Look w:val="04A0" w:firstRow="1" w:lastRow="0" w:firstColumn="1" w:lastColumn="0" w:noHBand="0" w:noVBand="1"/>
            </w:tblPr>
            <w:tblGrid>
              <w:gridCol w:w="2398"/>
              <w:gridCol w:w="6816"/>
            </w:tblGrid>
            <w:tr w:rsidR="00F97127" w:rsidRPr="00250C76" w14:paraId="7392DDA0" w14:textId="77777777" w:rsidTr="00C637F3">
              <w:tc>
                <w:tcPr>
                  <w:tcW w:w="2398" w:type="dxa"/>
                  <w:shd w:val="clear" w:color="auto" w:fill="159DCE"/>
                </w:tcPr>
                <w:p w14:paraId="2347545D" w14:textId="77777777" w:rsidR="00F97127" w:rsidRPr="00F70733" w:rsidRDefault="00F97127" w:rsidP="00F23AB7">
                  <w:pPr>
                    <w:framePr w:hSpace="180" w:wrap="around" w:vAnchor="text" w:hAnchor="text" w:xAlign="center" w:y="1"/>
                    <w:spacing w:before="60" w:after="60"/>
                    <w:suppressOverlap/>
                    <w:rPr>
                      <w:b/>
                      <w:color w:val="FFFFFF" w:themeColor="background1"/>
                      <w:sz w:val="20"/>
                      <w:szCs w:val="20"/>
                    </w:rPr>
                  </w:pPr>
                  <w:r w:rsidRPr="00F70733">
                    <w:rPr>
                      <w:b/>
                      <w:color w:val="FFFFFF" w:themeColor="background1"/>
                      <w:sz w:val="20"/>
                      <w:szCs w:val="20"/>
                    </w:rPr>
                    <w:t>S</w:t>
                  </w:r>
                  <w:r w:rsidR="0007014E">
                    <w:rPr>
                      <w:b/>
                      <w:color w:val="FFFFFF" w:themeColor="background1"/>
                      <w:sz w:val="20"/>
                      <w:szCs w:val="20"/>
                    </w:rPr>
                    <w:t>ector</w:t>
                  </w:r>
                  <w:r w:rsidRPr="00F70733">
                    <w:rPr>
                      <w:b/>
                      <w:color w:val="FFFFFF" w:themeColor="background1"/>
                      <w:sz w:val="20"/>
                      <w:szCs w:val="20"/>
                    </w:rPr>
                    <w:t xml:space="preserve"> </w:t>
                  </w:r>
                </w:p>
              </w:tc>
              <w:tc>
                <w:tcPr>
                  <w:tcW w:w="6816" w:type="dxa"/>
                  <w:shd w:val="clear" w:color="auto" w:fill="159DCE"/>
                </w:tcPr>
                <w:p w14:paraId="027C3F3E" w14:textId="77777777" w:rsidR="00F97127" w:rsidRPr="00F70733" w:rsidRDefault="00F97127" w:rsidP="00F23AB7">
                  <w:pPr>
                    <w:framePr w:hSpace="180" w:wrap="around" w:vAnchor="text" w:hAnchor="text" w:xAlign="center" w:y="1"/>
                    <w:spacing w:before="60" w:after="60"/>
                    <w:suppressOverlap/>
                    <w:rPr>
                      <w:b/>
                      <w:color w:val="FFFFFF" w:themeColor="background1"/>
                      <w:sz w:val="20"/>
                      <w:szCs w:val="20"/>
                    </w:rPr>
                  </w:pPr>
                  <w:r w:rsidRPr="00F70733">
                    <w:rPr>
                      <w:b/>
                      <w:color w:val="FFFFFF" w:themeColor="background1"/>
                      <w:sz w:val="20"/>
                      <w:szCs w:val="20"/>
                    </w:rPr>
                    <w:t>Applicability</w:t>
                  </w:r>
                </w:p>
              </w:tc>
            </w:tr>
            <w:tr w:rsidR="00F97127" w:rsidRPr="00250C76" w14:paraId="39DBFFC6" w14:textId="77777777" w:rsidTr="00C637F3">
              <w:tc>
                <w:tcPr>
                  <w:tcW w:w="2398" w:type="dxa"/>
                </w:tcPr>
                <w:p w14:paraId="644D347E"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Domestic and commercial waste water</w:t>
                  </w:r>
                </w:p>
              </w:tc>
              <w:tc>
                <w:tcPr>
                  <w:tcW w:w="6816" w:type="dxa"/>
                </w:tcPr>
                <w:p w14:paraId="00E3AFCD"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Only reported if a facility provides water supply, sewerage and drainage services (ANZSIC code 281)</w:t>
                  </w:r>
                </w:p>
              </w:tc>
            </w:tr>
            <w:tr w:rsidR="00F97127" w:rsidRPr="00250C76" w14:paraId="02EF4CCB" w14:textId="77777777" w:rsidTr="00C637F3">
              <w:tc>
                <w:tcPr>
                  <w:tcW w:w="2398" w:type="dxa"/>
                </w:tcPr>
                <w:p w14:paraId="47F02087"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Combustion of a fuel source</w:t>
                  </w:r>
                </w:p>
              </w:tc>
              <w:tc>
                <w:tcPr>
                  <w:tcW w:w="6816" w:type="dxa"/>
                </w:tcPr>
                <w:p w14:paraId="621CB8ED" w14:textId="7619219E"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Only reported for each instance above 1 t (solid</w:t>
                  </w:r>
                  <w:r w:rsidR="00CD1C1C">
                    <w:rPr>
                      <w:sz w:val="20"/>
                      <w:szCs w:val="20"/>
                    </w:rPr>
                    <w:t xml:space="preserve"> fuel), 1 kL (liquid fuel) or 5 </w:t>
                  </w:r>
                  <w:r w:rsidRPr="00F70733">
                    <w:rPr>
                      <w:sz w:val="20"/>
                      <w:szCs w:val="20"/>
                    </w:rPr>
                    <w:t>kL (non-fuel use of liquid oil or grease), or 1000 m</w:t>
                  </w:r>
                  <w:r w:rsidRPr="00F70733">
                    <w:rPr>
                      <w:sz w:val="20"/>
                      <w:szCs w:val="20"/>
                      <w:vertAlign w:val="superscript"/>
                    </w:rPr>
                    <w:t>3</w:t>
                  </w:r>
                  <w:r w:rsidRPr="00F70733">
                    <w:rPr>
                      <w:sz w:val="20"/>
                      <w:szCs w:val="20"/>
                    </w:rPr>
                    <w:t xml:space="preserve"> (gaseous fuel)</w:t>
                  </w:r>
                </w:p>
              </w:tc>
            </w:tr>
            <w:tr w:rsidR="00F97127" w:rsidRPr="00250C76" w14:paraId="69B86E22" w14:textId="77777777" w:rsidTr="00C637F3">
              <w:tc>
                <w:tcPr>
                  <w:tcW w:w="2398" w:type="dxa"/>
                </w:tcPr>
                <w:p w14:paraId="3161C26B"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Hydrofluorocarbons</w:t>
                  </w:r>
                </w:p>
              </w:tc>
              <w:tc>
                <w:tcPr>
                  <w:tcW w:w="6816" w:type="dxa"/>
                </w:tcPr>
                <w:p w14:paraId="0E6C3EF8"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Only reported above a facility threshold of 100 kg and reporting restricted to several ANZSIC codes</w:t>
                  </w:r>
                </w:p>
              </w:tc>
            </w:tr>
            <w:tr w:rsidR="00F97127" w:rsidRPr="00250C76" w14:paraId="2EEF6A0B" w14:textId="77777777" w:rsidTr="00C637F3">
              <w:tc>
                <w:tcPr>
                  <w:tcW w:w="2398" w:type="dxa"/>
                </w:tcPr>
                <w:p w14:paraId="6365F779"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Scope 2 emissions</w:t>
                  </w:r>
                </w:p>
              </w:tc>
              <w:tc>
                <w:tcPr>
                  <w:tcW w:w="6816" w:type="dxa"/>
                </w:tcPr>
                <w:p w14:paraId="59D3D717"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Only reported above a facility threshold of 20,000 kWh of purchased electricity</w:t>
                  </w:r>
                </w:p>
              </w:tc>
            </w:tr>
            <w:tr w:rsidR="00F97127" w:rsidRPr="00250C76" w14:paraId="2D033749" w14:textId="77777777" w:rsidTr="00C637F3">
              <w:tc>
                <w:tcPr>
                  <w:tcW w:w="2398" w:type="dxa"/>
                  <w:tcBorders>
                    <w:bottom w:val="dotted" w:sz="4" w:space="0" w:color="309CC8" w:themeColor="accent2"/>
                  </w:tcBorders>
                </w:tcPr>
                <w:p w14:paraId="31C3F5EC" w14:textId="77777777"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Uncertainty calculations</w:t>
                  </w:r>
                </w:p>
              </w:tc>
              <w:tc>
                <w:tcPr>
                  <w:tcW w:w="6816" w:type="dxa"/>
                  <w:tcBorders>
                    <w:bottom w:val="dotted" w:sz="4" w:space="0" w:color="309CC8" w:themeColor="accent2"/>
                  </w:tcBorders>
                </w:tcPr>
                <w:p w14:paraId="45BE34FA" w14:textId="0D0B90F3" w:rsidR="00F97127" w:rsidRPr="00F70733" w:rsidRDefault="00F97127" w:rsidP="00F23AB7">
                  <w:pPr>
                    <w:framePr w:hSpace="180" w:wrap="around" w:vAnchor="text" w:hAnchor="text" w:xAlign="center" w:y="1"/>
                    <w:spacing w:before="60" w:after="60"/>
                    <w:suppressOverlap/>
                    <w:rPr>
                      <w:sz w:val="20"/>
                      <w:szCs w:val="20"/>
                    </w:rPr>
                  </w:pPr>
                  <w:r w:rsidRPr="00F70733">
                    <w:rPr>
                      <w:sz w:val="20"/>
                      <w:szCs w:val="20"/>
                    </w:rPr>
                    <w:t>Only required for sources of scope 1 emissions that exceed 25</w:t>
                  </w:r>
                  <w:r w:rsidR="009C220D">
                    <w:rPr>
                      <w:sz w:val="20"/>
                      <w:szCs w:val="20"/>
                    </w:rPr>
                    <w:t>,000</w:t>
                  </w:r>
                  <w:r w:rsidR="006B635D">
                    <w:rPr>
                      <w:sz w:val="20"/>
                      <w:szCs w:val="20"/>
                    </w:rPr>
                    <w:t> </w:t>
                  </w:r>
                  <w:r w:rsidRPr="00F70733">
                    <w:rPr>
                      <w:sz w:val="20"/>
                      <w:szCs w:val="20"/>
                    </w:rPr>
                    <w:t>t</w:t>
                  </w:r>
                  <w:r w:rsidR="006B635D">
                    <w:rPr>
                      <w:sz w:val="20"/>
                      <w:szCs w:val="20"/>
                    </w:rPr>
                    <w:t> </w:t>
                  </w:r>
                  <w:r w:rsidRPr="00F70733">
                    <w:rPr>
                      <w:sz w:val="20"/>
                      <w:szCs w:val="20"/>
                    </w:rPr>
                    <w:t>CO</w:t>
                  </w:r>
                  <w:r w:rsidRPr="00F70733">
                    <w:rPr>
                      <w:sz w:val="20"/>
                      <w:szCs w:val="20"/>
                      <w:vertAlign w:val="subscript"/>
                    </w:rPr>
                    <w:t>2</w:t>
                  </w:r>
                  <w:r w:rsidR="006B635D">
                    <w:rPr>
                      <w:sz w:val="20"/>
                      <w:szCs w:val="20"/>
                    </w:rPr>
                    <w:noBreakHyphen/>
                  </w:r>
                  <w:r w:rsidRPr="00F70733">
                    <w:rPr>
                      <w:sz w:val="20"/>
                      <w:szCs w:val="20"/>
                    </w:rPr>
                    <w:t>e</w:t>
                  </w:r>
                </w:p>
              </w:tc>
            </w:tr>
          </w:tbl>
          <w:p w14:paraId="6F6CA48A" w14:textId="77777777" w:rsidR="00F97127" w:rsidRPr="00250C76" w:rsidRDefault="00F97127" w:rsidP="00BF23FC">
            <w:pPr>
              <w:pStyle w:val="CCAHeading4"/>
              <w:spacing w:after="60"/>
            </w:pPr>
            <w:r w:rsidRPr="00250C76">
              <w:t>Default methods (method 1)</w:t>
            </w:r>
          </w:p>
          <w:p w14:paraId="35F124BD" w14:textId="77777777" w:rsidR="00F97127" w:rsidRDefault="00F70733" w:rsidP="00BF23FC">
            <w:pPr>
              <w:pStyle w:val="CCABodytext"/>
              <w:spacing w:after="120"/>
            </w:pPr>
            <w:r>
              <w:t>Default</w:t>
            </w:r>
            <w:r w:rsidR="00F97127" w:rsidRPr="00250C76">
              <w:t xml:space="preserve"> methods use national average estimates to simplify </w:t>
            </w:r>
            <w:r w:rsidR="00F97127">
              <w:t>emission</w:t>
            </w:r>
            <w:r w:rsidR="00DD4FD4">
              <w:t>s</w:t>
            </w:r>
            <w:r w:rsidR="00F97127">
              <w:t xml:space="preserve"> </w:t>
            </w:r>
            <w:r w:rsidR="00F97127" w:rsidRPr="00250C76">
              <w:t>reporting requirements.</w:t>
            </w:r>
          </w:p>
          <w:p w14:paraId="7F1B41FF" w14:textId="77777777" w:rsidR="00F97127" w:rsidRPr="000D5CD5" w:rsidRDefault="00D45C15" w:rsidP="00BF23FC">
            <w:pPr>
              <w:pStyle w:val="CCABodytext"/>
              <w:spacing w:after="120"/>
            </w:pPr>
            <w:r>
              <w:lastRenderedPageBreak/>
              <w:t>O</w:t>
            </w:r>
            <w:r w:rsidR="00851E0A">
              <w:t xml:space="preserve">ver </w:t>
            </w:r>
            <w:r w:rsidR="00F97127">
              <w:t>9</w:t>
            </w:r>
            <w:r w:rsidR="00851E0A">
              <w:t>5</w:t>
            </w:r>
            <w:r w:rsidR="00F97127">
              <w:t xml:space="preserve"> per cent of the individual emission-producing activities </w:t>
            </w:r>
            <w:r w:rsidR="003B68AE" w:rsidRPr="00B9368A">
              <w:t xml:space="preserve">(such as </w:t>
            </w:r>
            <w:r w:rsidR="00D66568" w:rsidRPr="00B9368A">
              <w:t xml:space="preserve">the carbon dioxide </w:t>
            </w:r>
            <w:r w:rsidR="00927F6F" w:rsidRPr="00B9368A">
              <w:t>emissions</w:t>
            </w:r>
            <w:r w:rsidR="00D66568" w:rsidRPr="00B9368A">
              <w:t xml:space="preserve"> from the burning of diesel fuel for transport purposes</w:t>
            </w:r>
            <w:r w:rsidR="003B68AE" w:rsidRPr="00B9368A">
              <w:t>)</w:t>
            </w:r>
            <w:r w:rsidR="003B68AE">
              <w:t xml:space="preserve"> </w:t>
            </w:r>
            <w:r w:rsidR="00F97127">
              <w:t xml:space="preserve">reported on under the scheme are </w:t>
            </w:r>
            <w:r>
              <w:t xml:space="preserve">estimated </w:t>
            </w:r>
            <w:r w:rsidR="00F97127">
              <w:t>using the simplest emissions estimation approach</w:t>
            </w:r>
            <w:r w:rsidR="008867E5">
              <w:t>—</w:t>
            </w:r>
            <w:r w:rsidR="00F97127">
              <w:t>default methods. However, just 30</w:t>
            </w:r>
            <w:r w:rsidR="008867E5">
              <w:t> </w:t>
            </w:r>
            <w:r w:rsidR="00F97127">
              <w:t>per</w:t>
            </w:r>
            <w:r w:rsidR="008867E5">
              <w:t> </w:t>
            </w:r>
            <w:r w:rsidR="00F97127">
              <w:t>cent of emissions are related to these activities. The majority of emissions (70 per cent) are reported using more accurate activity</w:t>
            </w:r>
            <w:r w:rsidR="008867E5">
              <w:t>-</w:t>
            </w:r>
            <w:r w:rsidR="00F97127">
              <w:t xml:space="preserve"> or facility</w:t>
            </w:r>
            <w:r w:rsidR="008867E5">
              <w:t>-</w:t>
            </w:r>
            <w:r w:rsidR="00F97127">
              <w:t>specific approaches.</w:t>
            </w:r>
          </w:p>
        </w:tc>
      </w:tr>
      <w:bookmarkEnd w:id="633"/>
      <w:bookmarkEnd w:id="634"/>
    </w:tbl>
    <w:p w14:paraId="7DD8F755" w14:textId="77777777" w:rsidR="00D4305C" w:rsidRDefault="00D4305C" w:rsidP="00D4305C">
      <w:pPr>
        <w:pStyle w:val="CCABodytext"/>
      </w:pPr>
    </w:p>
    <w:p w14:paraId="079581E7" w14:textId="77777777" w:rsidR="00373817" w:rsidRDefault="00373817" w:rsidP="00373817">
      <w:pPr>
        <w:pStyle w:val="CCABodytext"/>
      </w:pPr>
      <w:r>
        <w:t xml:space="preserve">The Authority found the provisions outlined in </w:t>
      </w:r>
      <w:r w:rsidR="0061528E">
        <w:fldChar w:fldCharType="begin"/>
      </w:r>
      <w:r w:rsidR="0061528E">
        <w:instrText xml:space="preserve"> REF _Ref531708741 \r \h </w:instrText>
      </w:r>
      <w:r w:rsidR="0061528E">
        <w:fldChar w:fldCharType="separate"/>
      </w:r>
      <w:r w:rsidR="009A203A">
        <w:t>Box 3</w:t>
      </w:r>
      <w:r w:rsidR="0061528E">
        <w:fldChar w:fldCharType="end"/>
      </w:r>
      <w:r w:rsidR="0061528E">
        <w:t xml:space="preserve"> </w:t>
      </w:r>
      <w:r>
        <w:t xml:space="preserve">are being used, but reporters could make greater use of them. For example, </w:t>
      </w:r>
      <w:r w:rsidRPr="00B37F22">
        <w:t>internal analysis done by the Regulator for 2013</w:t>
      </w:r>
      <w:r w:rsidR="00927F6F">
        <w:t>–</w:t>
      </w:r>
      <w:r w:rsidRPr="00B37F22">
        <w:t xml:space="preserve">14 suggested around half of all reporters reported </w:t>
      </w:r>
      <w:r>
        <w:t xml:space="preserve">unnecessarily on instances of below-threshold </w:t>
      </w:r>
      <w:r w:rsidRPr="00B37F22">
        <w:t>emissions.</w:t>
      </w:r>
    </w:p>
    <w:p w14:paraId="0DA51E83" w14:textId="6F45513F" w:rsidR="00D4305C" w:rsidRDefault="00CB4CA8" w:rsidP="00D4305C">
      <w:pPr>
        <w:pStyle w:val="CCABodytext"/>
      </w:pPr>
      <w:r>
        <w:t>The Authority heard</w:t>
      </w:r>
      <w:r w:rsidR="005A28C9">
        <w:t xml:space="preserve"> </w:t>
      </w:r>
      <w:r w:rsidR="00C85C02">
        <w:t xml:space="preserve">greater use is not being made of </w:t>
      </w:r>
      <w:r w:rsidR="004A3F4D">
        <w:t xml:space="preserve">the </w:t>
      </w:r>
      <w:r w:rsidR="005A28C9">
        <w:t xml:space="preserve">simplified reporting </w:t>
      </w:r>
      <w:r w:rsidR="00C85C02">
        <w:t>provisions</w:t>
      </w:r>
      <w:r w:rsidR="008867E5">
        <w:t>,</w:t>
      </w:r>
      <w:r w:rsidR="005A28C9">
        <w:t xml:space="preserve"> </w:t>
      </w:r>
      <w:r w:rsidR="004A3F4D">
        <w:t xml:space="preserve">partly </w:t>
      </w:r>
      <w:r w:rsidR="005A28C9">
        <w:t xml:space="preserve">due to the need to measure emissions to </w:t>
      </w:r>
      <w:r>
        <w:t xml:space="preserve">determine </w:t>
      </w:r>
      <w:r w:rsidR="005A28C9">
        <w:t xml:space="preserve">if </w:t>
      </w:r>
      <w:r w:rsidR="00D4305C" w:rsidRPr="0017286E">
        <w:t xml:space="preserve">they are below </w:t>
      </w:r>
      <w:r w:rsidR="00073B1D">
        <w:t>source-</w:t>
      </w:r>
      <w:r w:rsidR="005A28C9">
        <w:t>specific</w:t>
      </w:r>
      <w:r w:rsidR="00D45C15">
        <w:t xml:space="preserve"> thresholds</w:t>
      </w:r>
      <w:r w:rsidR="00D4305C" w:rsidRPr="0017286E">
        <w:t>. This is a generally recognised issue with other international schemes (</w:t>
      </w:r>
      <w:r w:rsidR="000F1A20">
        <w:t xml:space="preserve">The </w:t>
      </w:r>
      <w:r w:rsidR="00D4305C" w:rsidRPr="0017286E">
        <w:t>Greenhouse Gas Protocol</w:t>
      </w:r>
      <w:r w:rsidR="000F1A20">
        <w:t xml:space="preserve"> n.d.</w:t>
      </w:r>
      <w:r w:rsidR="00D4305C" w:rsidRPr="0017286E">
        <w:t>, USA EPA</w:t>
      </w:r>
      <w:r w:rsidR="000F1A20">
        <w:t xml:space="preserve"> 2009</w:t>
      </w:r>
      <w:r w:rsidR="00D4305C" w:rsidRPr="0017286E">
        <w:t xml:space="preserve">). </w:t>
      </w:r>
      <w:r w:rsidR="004A3F4D">
        <w:t xml:space="preserve">The Regulator, however, has said </w:t>
      </w:r>
      <w:r w:rsidR="004A3F4D" w:rsidRPr="00681041">
        <w:t>that</w:t>
      </w:r>
      <w:r w:rsidR="004A3F4D">
        <w:t xml:space="preserve"> reporters </w:t>
      </w:r>
      <w:r w:rsidR="004A3F4D" w:rsidRPr="0017286E">
        <w:t xml:space="preserve">may be able to </w:t>
      </w:r>
      <w:r w:rsidR="004A3F4D">
        <w:t xml:space="preserve">use a suitable proxy or </w:t>
      </w:r>
      <w:r w:rsidR="004A3F4D" w:rsidRPr="0017286E">
        <w:t>indicator (</w:t>
      </w:r>
      <w:r w:rsidR="00F70733">
        <w:t>for example</w:t>
      </w:r>
      <w:r w:rsidR="004A3F4D" w:rsidRPr="0017286E">
        <w:t xml:space="preserve"> production)</w:t>
      </w:r>
      <w:r w:rsidR="004A3F4D">
        <w:t xml:space="preserve"> </w:t>
      </w:r>
      <w:r w:rsidR="004A3F4D" w:rsidRPr="0017286E">
        <w:t>to show th</w:t>
      </w:r>
      <w:r w:rsidR="0077473D">
        <w:t xml:space="preserve">at an instance of a source is </w:t>
      </w:r>
      <w:r w:rsidR="004A3F4D" w:rsidRPr="0017286E">
        <w:t xml:space="preserve">below a </w:t>
      </w:r>
      <w:r w:rsidR="004A3F4D" w:rsidRPr="004B740E">
        <w:t>threshold which does not</w:t>
      </w:r>
      <w:r w:rsidR="004A3F4D" w:rsidRPr="0017286E">
        <w:t xml:space="preserve"> require </w:t>
      </w:r>
      <w:r w:rsidR="0077473D">
        <w:t xml:space="preserve">the </w:t>
      </w:r>
      <w:r w:rsidR="004A3F4D" w:rsidRPr="0017286E">
        <w:t xml:space="preserve">collection of </w:t>
      </w:r>
      <w:r w:rsidR="0077473D">
        <w:t xml:space="preserve">full </w:t>
      </w:r>
      <w:r w:rsidR="004A3F4D" w:rsidRPr="0017286E">
        <w:t>data each year</w:t>
      </w:r>
      <w:r w:rsidR="004A3F4D">
        <w:t xml:space="preserve">. </w:t>
      </w:r>
      <w:r w:rsidR="00B77E92">
        <w:t xml:space="preserve">The Authority was also told </w:t>
      </w:r>
      <w:r w:rsidR="008867E5" w:rsidRPr="00681041">
        <w:t>that</w:t>
      </w:r>
      <w:r w:rsidR="008867E5">
        <w:t xml:space="preserve"> </w:t>
      </w:r>
      <w:r w:rsidR="00B77E92">
        <w:t>u</w:t>
      </w:r>
      <w:r>
        <w:t xml:space="preserve">se of </w:t>
      </w:r>
      <w:r w:rsidR="001A3C98">
        <w:t xml:space="preserve">simplified reporting </w:t>
      </w:r>
      <w:r>
        <w:t>is further limited because auditors purportedly ask for a high level of evidence to support a simplified method for calculating small sources of emissio</w:t>
      </w:r>
      <w:r w:rsidR="001A3C98">
        <w:t xml:space="preserve">ns </w:t>
      </w:r>
      <w:r w:rsidR="0013184A">
        <w:t>and energy</w:t>
      </w:r>
      <w:r w:rsidR="008867E5">
        <w:t>,</w:t>
      </w:r>
      <w:r w:rsidR="0013184A">
        <w:t xml:space="preserve"> </w:t>
      </w:r>
      <w:r w:rsidR="001A3C98">
        <w:t xml:space="preserve">which is also deterring use. </w:t>
      </w:r>
    </w:p>
    <w:p w14:paraId="129045C9" w14:textId="40EF201D" w:rsidR="00D4305C" w:rsidRPr="001123EF" w:rsidRDefault="00062EF2" w:rsidP="00D4305C">
      <w:pPr>
        <w:pStyle w:val="CCABodytext"/>
      </w:pPr>
      <w:r>
        <w:t>A</w:t>
      </w:r>
      <w:r w:rsidR="004A3F4D">
        <w:t>n across-the-board</w:t>
      </w:r>
      <w:r>
        <w:t xml:space="preserve"> materiality threshold</w:t>
      </w:r>
      <w:r w:rsidR="00F70733">
        <w:t xml:space="preserve"> </w:t>
      </w:r>
      <w:r>
        <w:t>that excludes all small sources</w:t>
      </w:r>
      <w:r w:rsidR="00F70733">
        <w:t xml:space="preserve">, suggested by some reporters, </w:t>
      </w:r>
      <w:r>
        <w:t>is not considered appropriate as emissions thought to be insignificant for one facility may be significant for</w:t>
      </w:r>
      <w:r w:rsidR="00CD1C1C">
        <w:t xml:space="preserve"> another, and such a threshold c</w:t>
      </w:r>
      <w:r>
        <w:t xml:space="preserve">ould jeopardise completeness of the </w:t>
      </w:r>
      <w:r w:rsidRPr="001123EF">
        <w:t>inventory (</w:t>
      </w:r>
      <w:r w:rsidR="000F1A20">
        <w:t xml:space="preserve">The </w:t>
      </w:r>
      <w:r w:rsidRPr="001123EF">
        <w:t>G</w:t>
      </w:r>
      <w:r>
        <w:t>reenhouse Gas</w:t>
      </w:r>
      <w:r w:rsidRPr="001123EF">
        <w:t xml:space="preserve"> Protocol</w:t>
      </w:r>
      <w:r w:rsidR="009E4E49">
        <w:t> </w:t>
      </w:r>
      <w:r w:rsidR="000F1A20">
        <w:t>n.d.</w:t>
      </w:r>
      <w:r w:rsidRPr="001123EF">
        <w:t>)</w:t>
      </w:r>
      <w:r>
        <w:t xml:space="preserve">. </w:t>
      </w:r>
      <w:r w:rsidR="001A3C98">
        <w:t>S</w:t>
      </w:r>
      <w:r w:rsidR="00D4305C">
        <w:t>everal national and industry-level reporting frameworks in other countries</w:t>
      </w:r>
      <w:r w:rsidR="001A3C98">
        <w:t xml:space="preserve"> similarly don’t </w:t>
      </w:r>
      <w:r w:rsidR="00D4305C">
        <w:t xml:space="preserve">have </w:t>
      </w:r>
      <w:r w:rsidR="001A3C98">
        <w:t>an</w:t>
      </w:r>
      <w:r w:rsidR="00D4305C">
        <w:t xml:space="preserve"> across-the-board materiality threshold and use simplified reporting </w:t>
      </w:r>
      <w:r w:rsidR="00AC5398">
        <w:t>and source</w:t>
      </w:r>
      <w:r w:rsidR="008867E5">
        <w:t>-</w:t>
      </w:r>
      <w:r w:rsidR="00AC5398">
        <w:t>specific thresholds</w:t>
      </w:r>
      <w:r w:rsidR="00D4305C">
        <w:t xml:space="preserve"> to reduce costs (USA EPA</w:t>
      </w:r>
      <w:r w:rsidR="003F3EFE">
        <w:t xml:space="preserve"> 2009</w:t>
      </w:r>
      <w:r w:rsidR="00D4305C">
        <w:t>,</w:t>
      </w:r>
      <w:r>
        <w:t xml:space="preserve"> Greenhouse Gas Protocol 2015</w:t>
      </w:r>
      <w:r w:rsidR="000F1A20">
        <w:t xml:space="preserve"> n.d.</w:t>
      </w:r>
      <w:r w:rsidR="00AC5398">
        <w:t xml:space="preserve">, </w:t>
      </w:r>
      <w:r w:rsidR="003F3EFE">
        <w:t xml:space="preserve">Government of </w:t>
      </w:r>
      <w:r w:rsidR="00AC5398">
        <w:t>Canada</w:t>
      </w:r>
      <w:r w:rsidR="003F3EFE">
        <w:t xml:space="preserve"> 2018</w:t>
      </w:r>
      <w:r>
        <w:t>).</w:t>
      </w:r>
    </w:p>
    <w:p w14:paraId="43D1DA5B" w14:textId="675FFE97" w:rsidR="006A1E20" w:rsidRDefault="000E45E1" w:rsidP="006A1E20">
      <w:pPr>
        <w:pStyle w:val="CCABodytext"/>
      </w:pPr>
      <w:r>
        <w:t xml:space="preserve">The Authority </w:t>
      </w:r>
      <w:r w:rsidR="00D45C15">
        <w:t>considers</w:t>
      </w:r>
      <w:r>
        <w:t xml:space="preserve"> </w:t>
      </w:r>
      <w:r w:rsidR="006A1E20">
        <w:t xml:space="preserve">the burden associated with </w:t>
      </w:r>
      <w:r>
        <w:t>reporting small emission</w:t>
      </w:r>
      <w:r w:rsidR="00DD4FD4">
        <w:t>s</w:t>
      </w:r>
      <w:r w:rsidR="0013184A">
        <w:t xml:space="preserve"> and energy</w:t>
      </w:r>
      <w:r>
        <w:t xml:space="preserve"> sources could be </w:t>
      </w:r>
      <w:r w:rsidR="006A1E20">
        <w:t>reduced</w:t>
      </w:r>
      <w:r>
        <w:t xml:space="preserve"> </w:t>
      </w:r>
      <w:r w:rsidR="006A1E20">
        <w:t>through the p</w:t>
      </w:r>
      <w:r w:rsidR="00F67192">
        <w:t xml:space="preserve">rovision of </w:t>
      </w:r>
      <w:r w:rsidR="00F730E5">
        <w:t xml:space="preserve">improved guidance for </w:t>
      </w:r>
      <w:r w:rsidR="004A3F4D">
        <w:t>reporters and auditors</w:t>
      </w:r>
      <w:r w:rsidR="00F730E5">
        <w:t xml:space="preserve">. This </w:t>
      </w:r>
      <w:r w:rsidR="0013184A">
        <w:t xml:space="preserve">could </w:t>
      </w:r>
      <w:r w:rsidR="00F730E5">
        <w:t xml:space="preserve">include </w:t>
      </w:r>
      <w:r w:rsidR="00F67192">
        <w:t xml:space="preserve">worked examples </w:t>
      </w:r>
      <w:r w:rsidR="00062EF2">
        <w:t>outlining</w:t>
      </w:r>
      <w:r w:rsidR="00D4305C">
        <w:t xml:space="preserve"> acceptable measurement approaches</w:t>
      </w:r>
      <w:r w:rsidR="00F730E5">
        <w:t xml:space="preserve"> for the incidental approach and increasing awareness of </w:t>
      </w:r>
      <w:r w:rsidR="00073B1D">
        <w:t>source and industry-</w:t>
      </w:r>
      <w:r w:rsidR="00D4305C">
        <w:t xml:space="preserve">specific thresholds and exclusions. </w:t>
      </w:r>
      <w:r w:rsidR="00F730E5">
        <w:t>G</w:t>
      </w:r>
      <w:r w:rsidR="00D4305C">
        <w:t xml:space="preserve">uidance </w:t>
      </w:r>
      <w:r w:rsidR="00F730E5">
        <w:t xml:space="preserve">provided </w:t>
      </w:r>
      <w:r w:rsidR="00D4305C">
        <w:t>by June 2019 would assist report</w:t>
      </w:r>
      <w:r w:rsidR="00F730E5">
        <w:t>ing</w:t>
      </w:r>
      <w:r w:rsidR="00D4305C">
        <w:t xml:space="preserve"> for 2019</w:t>
      </w:r>
      <w:r w:rsidR="00927F6F">
        <w:t>–</w:t>
      </w:r>
      <w:r w:rsidR="00D4305C">
        <w:t>20.</w:t>
      </w:r>
    </w:p>
    <w:p w14:paraId="64B2A096" w14:textId="77777777" w:rsidR="00D4305C" w:rsidRDefault="006A1E20" w:rsidP="006A1E20">
      <w:pPr>
        <w:pStyle w:val="CCABodytext"/>
      </w:pPr>
      <w:r>
        <w:t xml:space="preserve">The Authority is also of the view the Regulator </w:t>
      </w:r>
      <w:r w:rsidR="00ED46A1">
        <w:t xml:space="preserve">and the Department should review current </w:t>
      </w:r>
      <w:r>
        <w:t>source</w:t>
      </w:r>
      <w:r w:rsidR="008E5092">
        <w:t>-</w:t>
      </w:r>
      <w:r w:rsidR="004A3F4D">
        <w:t>specific</w:t>
      </w:r>
      <w:r>
        <w:t xml:space="preserve"> reporting thresholds and exclusions</w:t>
      </w:r>
      <w:r w:rsidR="00B77E92">
        <w:t xml:space="preserve"> to</w:t>
      </w:r>
      <w:r w:rsidR="00E8593F">
        <w:t xml:space="preserve"> </w:t>
      </w:r>
      <w:r>
        <w:t xml:space="preserve">assess </w:t>
      </w:r>
      <w:r w:rsidR="00B77E92">
        <w:t>whether</w:t>
      </w:r>
      <w:r>
        <w:t xml:space="preserve"> changing these could </w:t>
      </w:r>
      <w:r w:rsidR="00D4305C">
        <w:t xml:space="preserve">reduce costs to industry while maintaining the quality of the </w:t>
      </w:r>
      <w:r w:rsidR="00AF20E9">
        <w:t>dataset</w:t>
      </w:r>
      <w:r w:rsidR="00D4305C">
        <w:t>.</w:t>
      </w:r>
    </w:p>
    <w:p w14:paraId="33C777EE" w14:textId="77777777" w:rsidR="00D4305C" w:rsidRPr="003A41FA" w:rsidRDefault="00E8593F" w:rsidP="00D4305C">
      <w:pPr>
        <w:pStyle w:val="CCABodytext"/>
      </w:pPr>
      <w:r>
        <w:lastRenderedPageBreak/>
        <w:t>Finally, t</w:t>
      </w:r>
      <w:r w:rsidR="00D4305C">
        <w:t xml:space="preserve">he Authority recommends a review of the </w:t>
      </w:r>
      <w:r>
        <w:t xml:space="preserve">key </w:t>
      </w:r>
      <w:r w:rsidR="00D4305C">
        <w:t xml:space="preserve">sources </w:t>
      </w:r>
      <w:r w:rsidR="004A3F4D">
        <w:t xml:space="preserve">of most concern </w:t>
      </w:r>
      <w:r w:rsidR="00D4305C">
        <w:t>identified above (lubricants, sulphur hexafluoride, mud degassing and soda ash in well drilling) to assess how the data is used and if it could be collected in a simplified way. Small sources of energy and possibly other small emissions sources should also be considered.</w:t>
      </w:r>
    </w:p>
    <w:p w14:paraId="0650AC59" w14:textId="727E7609" w:rsidR="00D4305C" w:rsidRPr="00250C76" w:rsidRDefault="00D4305C" w:rsidP="0077473D">
      <w:pPr>
        <w:pStyle w:val="CCABodytext"/>
      </w:pPr>
      <w:r w:rsidRPr="00250C76">
        <w:t>If the data is not used,</w:t>
      </w:r>
      <w:r w:rsidR="00E8593F">
        <w:t xml:space="preserve"> consideration should be given to </w:t>
      </w:r>
      <w:r w:rsidRPr="00250C76">
        <w:t>not reporting that source</w:t>
      </w:r>
      <w:r w:rsidR="00CD1C1C">
        <w:t>. If only partly used, the data could</w:t>
      </w:r>
      <w:r w:rsidRPr="00250C76">
        <w:t xml:space="preserve"> only </w:t>
      </w:r>
      <w:r w:rsidR="00CD1C1C">
        <w:t>be required</w:t>
      </w:r>
      <w:r w:rsidRPr="00250C76">
        <w:t xml:space="preserve"> from sectors</w:t>
      </w:r>
      <w:r w:rsidR="00B77E92">
        <w:t xml:space="preserve"> for which the source is material</w:t>
      </w:r>
      <w:r w:rsidRPr="00250C76">
        <w:t xml:space="preserve">, as </w:t>
      </w:r>
      <w:r w:rsidR="00E8593F">
        <w:t xml:space="preserve">has been done for </w:t>
      </w:r>
      <w:r w:rsidR="003D130F">
        <w:t xml:space="preserve">domestic and commercial </w:t>
      </w:r>
      <w:r w:rsidR="00E8593F">
        <w:t>waste water</w:t>
      </w:r>
      <w:r w:rsidR="003D130F">
        <w:t xml:space="preserve"> treatment</w:t>
      </w:r>
      <w:r w:rsidR="00E8593F">
        <w:t>.</w:t>
      </w:r>
    </w:p>
    <w:p w14:paraId="5FF07F5D" w14:textId="78831E85" w:rsidR="00D4305C" w:rsidRPr="00250C76" w:rsidRDefault="00D4305C" w:rsidP="0077473D">
      <w:pPr>
        <w:pStyle w:val="CCABodytext"/>
      </w:pPr>
      <w:r w:rsidRPr="00250C76">
        <w:t xml:space="preserve">If the data is used, </w:t>
      </w:r>
      <w:r w:rsidR="00F70733">
        <w:t>it</w:t>
      </w:r>
      <w:r w:rsidRPr="00250C76" w:rsidDel="00F70733">
        <w:t xml:space="preserve"> </w:t>
      </w:r>
      <w:r w:rsidRPr="00250C76">
        <w:t xml:space="preserve">may be able to be collected in a different way. For example, it may be possible to change the point of obligation for reporting to a different point in the supply chain and still report using </w:t>
      </w:r>
      <w:r w:rsidR="00706EF7">
        <w:t xml:space="preserve">the </w:t>
      </w:r>
      <w:r w:rsidRPr="00250C76">
        <w:t>N</w:t>
      </w:r>
      <w:r w:rsidR="00706EF7">
        <w:t>ational Greenhouse and Energy Reporting scheme</w:t>
      </w:r>
      <w:r w:rsidRPr="00250C76">
        <w:t>, or get the data from another source.</w:t>
      </w:r>
      <w:r w:rsidR="00953BAC">
        <w:t xml:space="preserve"> Some stakeholders suggested the </w:t>
      </w:r>
      <w:r w:rsidR="00953BAC" w:rsidRPr="00AD1345">
        <w:rPr>
          <w:i/>
        </w:rPr>
        <w:t xml:space="preserve">Petroleum and Other Fuels </w:t>
      </w:r>
      <w:r w:rsidR="008E04E4">
        <w:rPr>
          <w:i/>
        </w:rPr>
        <w:t xml:space="preserve">Reporting </w:t>
      </w:r>
      <w:r w:rsidR="00953BAC" w:rsidRPr="00AD1345">
        <w:rPr>
          <w:i/>
        </w:rPr>
        <w:t>Act 2017</w:t>
      </w:r>
      <w:r w:rsidR="000F1A20">
        <w:rPr>
          <w:i/>
        </w:rPr>
        <w:t xml:space="preserve"> </w:t>
      </w:r>
      <w:r w:rsidR="000F1A20" w:rsidRPr="0061528E">
        <w:t>(Cth)</w:t>
      </w:r>
      <w:r w:rsidR="00953BAC">
        <w:t xml:space="preserve"> as a possible source for data on lubricating oils and greases</w:t>
      </w:r>
      <w:r w:rsidRPr="00250C76">
        <w:t>.</w:t>
      </w:r>
    </w:p>
    <w:p w14:paraId="2852F2FF" w14:textId="2685AEC1" w:rsidR="00D4305C" w:rsidRDefault="00D4305C" w:rsidP="009E059E">
      <w:pPr>
        <w:pStyle w:val="CCABodytext"/>
      </w:pPr>
      <w:r w:rsidRPr="00250C76">
        <w:t xml:space="preserve">Not all sources of emissions will be able to have reporting simplified. For example, </w:t>
      </w:r>
      <w:r w:rsidR="00706EF7">
        <w:t xml:space="preserve">the </w:t>
      </w:r>
      <w:r w:rsidRPr="00250C76">
        <w:t>N</w:t>
      </w:r>
      <w:r w:rsidR="00706EF7">
        <w:t>ational Greenhouse and Energy Reporting</w:t>
      </w:r>
      <w:r w:rsidRPr="00250C76">
        <w:t xml:space="preserve"> </w:t>
      </w:r>
      <w:r w:rsidR="00706EF7">
        <w:t xml:space="preserve">scheme </w:t>
      </w:r>
      <w:r w:rsidRPr="00250C76">
        <w:t>is currently the only complete source of data on sulphur hexafluoride (</w:t>
      </w:r>
      <w:r w:rsidR="00CD1C1C">
        <w:fldChar w:fldCharType="begin"/>
      </w:r>
      <w:r w:rsidR="00CD1C1C">
        <w:instrText xml:space="preserve"> REF _Ref532898347 \r \h </w:instrText>
      </w:r>
      <w:r w:rsidR="00CD1C1C">
        <w:fldChar w:fldCharType="separate"/>
      </w:r>
      <w:r w:rsidR="009A203A">
        <w:t>Box 4</w:t>
      </w:r>
      <w:r w:rsidR="00CD1C1C">
        <w:fldChar w:fldCharType="end"/>
      </w:r>
      <w:r w:rsidRPr="00250C76">
        <w:t>).</w:t>
      </w:r>
    </w:p>
    <w:p w14:paraId="1140DCCF" w14:textId="77777777" w:rsidR="00CA618C" w:rsidRPr="00C805C3" w:rsidRDefault="006F7EAC" w:rsidP="00C805C3">
      <w:pPr>
        <w:pStyle w:val="CCABodytext"/>
      </w:pPr>
      <w:r>
        <w:t xml:space="preserve">Consideration should also be given to potential future uses of the data and ensuring the scheme remains fit for purpose for </w:t>
      </w:r>
      <w:r w:rsidR="00CA603C">
        <w:t>prospective</w:t>
      </w:r>
      <w:r>
        <w:t xml:space="preserve"> policies</w:t>
      </w:r>
      <w:r w:rsidR="00B77E92">
        <w:t xml:space="preserve"> or changes in international reporting</w:t>
      </w:r>
      <w:r>
        <w:t>.</w:t>
      </w:r>
    </w:p>
    <w:p w14:paraId="00639F36" w14:textId="77777777" w:rsidR="008E5092" w:rsidRDefault="008E5092">
      <w:pPr>
        <w:framePr w:hSpace="180" w:wrap="around" w:vAnchor="text" w:hAnchor="text" w:xAlign="center" w:y="1"/>
        <w:suppressOverlap/>
      </w:pPr>
      <w:bookmarkStart w:id="643" w:name="_Ref531723653"/>
      <w:bookmarkStart w:id="644" w:name="_Toc531764073"/>
      <w:r>
        <w:br w:type="page"/>
      </w:r>
    </w:p>
    <w:tbl>
      <w:tblPr>
        <w:tblStyle w:val="TableLayout1"/>
        <w:tblpPr w:leftFromText="180" w:rightFromText="180" w:vertAnchor="text" w:tblpXSpec="center" w:tblpY="1"/>
        <w:tblOverlap w:val="never"/>
        <w:tblW w:w="49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BF4" w:themeFill="accent4" w:themeFillTint="33"/>
        <w:tblLook w:val="04A0" w:firstRow="1" w:lastRow="0" w:firstColumn="1" w:lastColumn="0" w:noHBand="0" w:noVBand="1"/>
      </w:tblPr>
      <w:tblGrid>
        <w:gridCol w:w="9833"/>
      </w:tblGrid>
      <w:tr w:rsidR="00A10D68" w:rsidRPr="000D5CD5" w14:paraId="6105A052" w14:textId="77777777" w:rsidTr="00655028">
        <w:trPr>
          <w:cnfStyle w:val="100000000000" w:firstRow="1" w:lastRow="0" w:firstColumn="0" w:lastColumn="0" w:oddVBand="0" w:evenVBand="0" w:oddHBand="0" w:evenHBand="0" w:firstRowFirstColumn="0" w:firstRowLastColumn="0" w:lastRowFirstColumn="0" w:lastRowLastColumn="0"/>
          <w:trHeight w:val="425"/>
          <w:jc w:val="center"/>
        </w:trPr>
        <w:tc>
          <w:tcPr>
            <w:tcW w:w="5000" w:type="pct"/>
            <w:shd w:val="clear" w:color="auto" w:fill="D4EBF4" w:themeFill="accent4" w:themeFillTint="33"/>
          </w:tcPr>
          <w:p w14:paraId="08DF7BF7" w14:textId="77777777" w:rsidR="00A10D68" w:rsidRPr="00FA4FC5" w:rsidRDefault="00A10D68" w:rsidP="009947F2">
            <w:pPr>
              <w:pStyle w:val="CCABoxheading"/>
              <w:framePr w:hSpace="0" w:wrap="auto" w:vAnchor="margin" w:xAlign="left" w:yAlign="inline"/>
              <w:suppressOverlap w:val="0"/>
              <w:rPr>
                <w:sz w:val="22"/>
              </w:rPr>
            </w:pPr>
            <w:bookmarkStart w:id="645" w:name="_Ref532898347"/>
            <w:bookmarkStart w:id="646" w:name="_Toc532912050"/>
            <w:bookmarkStart w:id="647" w:name="_Toc532914038"/>
            <w:r w:rsidRPr="00FA4FC5">
              <w:rPr>
                <w:sz w:val="22"/>
              </w:rPr>
              <w:t>Case study on reporting sulphur hexafluoride</w:t>
            </w:r>
            <w:bookmarkEnd w:id="643"/>
            <w:bookmarkEnd w:id="644"/>
            <w:bookmarkEnd w:id="645"/>
            <w:bookmarkEnd w:id="646"/>
            <w:bookmarkEnd w:id="647"/>
          </w:p>
          <w:p w14:paraId="00A35FB1" w14:textId="77777777" w:rsidR="00A10D68" w:rsidRPr="00250C76" w:rsidRDefault="00A10D68" w:rsidP="00A10D68">
            <w:pPr>
              <w:pStyle w:val="CCABodytext"/>
            </w:pPr>
            <w:r w:rsidRPr="00250C76">
              <w:t>Sulphur hexafluoride (SF</w:t>
            </w:r>
            <w:r w:rsidRPr="00250C76">
              <w:rPr>
                <w:vertAlign w:val="subscript"/>
              </w:rPr>
              <w:t>6</w:t>
            </w:r>
            <w:r w:rsidRPr="00250C76">
              <w:t>) is used in</w:t>
            </w:r>
            <w:r>
              <w:t xml:space="preserve"> </w:t>
            </w:r>
            <w:r w:rsidRPr="00250C76">
              <w:t>equipment that transmits and distributes electricity</w:t>
            </w:r>
            <w:r>
              <w:t xml:space="preserve"> (</w:t>
            </w:r>
            <w:r w:rsidRPr="00681041">
              <w:t>for example</w:t>
            </w:r>
            <w:r w:rsidR="008E5092">
              <w:t>,</w:t>
            </w:r>
            <w:r>
              <w:t xml:space="preserve"> for </w:t>
            </w:r>
            <w:r w:rsidRPr="00250C76">
              <w:t>electrical insulation</w:t>
            </w:r>
            <w:r>
              <w:t>)</w:t>
            </w:r>
            <w:r w:rsidRPr="00250C76">
              <w:t xml:space="preserve">. Sulphur hexafluoride is a greenhouse gas with a high global warming potential (22,800 times that of carbon dioxide). Countries must report emissions from sulphur hexafluoride in their national greenhouse gas inventories to the </w:t>
            </w:r>
            <w:r>
              <w:t>United Nations Framework Convention on Climate Change</w:t>
            </w:r>
            <w:r w:rsidRPr="00250C76">
              <w:t xml:space="preserve">. A decision by signatory countries affirmed </w:t>
            </w:r>
            <w:r w:rsidRPr="00681041">
              <w:t>that</w:t>
            </w:r>
            <w:r>
              <w:t xml:space="preserve"> actual emissions </w:t>
            </w:r>
            <w:r w:rsidRPr="00250C76">
              <w:t xml:space="preserve">should be </w:t>
            </w:r>
            <w:r>
              <w:t xml:space="preserve">estimated </w:t>
            </w:r>
            <w:r w:rsidRPr="00250C76">
              <w:t>and that countries should make every effort to develop the necessary sources of data to do this (</w:t>
            </w:r>
            <w:r>
              <w:t>UNFCCC</w:t>
            </w:r>
            <w:r w:rsidR="007277BA">
              <w:t xml:space="preserve"> 1997</w:t>
            </w:r>
            <w:r>
              <w:t xml:space="preserve">, </w:t>
            </w:r>
            <w:r w:rsidRPr="00250C76">
              <w:t>Dec</w:t>
            </w:r>
            <w:r w:rsidR="008E5092">
              <w:t>ision</w:t>
            </w:r>
            <w:r w:rsidRPr="00250C76">
              <w:t xml:space="preserve"> 2/CP.3</w:t>
            </w:r>
            <w:r>
              <w:t>)</w:t>
            </w:r>
            <w:r w:rsidRPr="00250C76">
              <w:t>.</w:t>
            </w:r>
          </w:p>
          <w:p w14:paraId="169ACA8F" w14:textId="77777777" w:rsidR="00A10D68" w:rsidRPr="00250C76" w:rsidRDefault="00A10D68" w:rsidP="00A10D68">
            <w:pPr>
              <w:pStyle w:val="CCABodytext"/>
            </w:pPr>
            <w:r w:rsidRPr="00250C76">
              <w:t xml:space="preserve">In submissions </w:t>
            </w:r>
            <w:r w:rsidR="000E7A47">
              <w:t>on</w:t>
            </w:r>
            <w:r w:rsidRPr="00250C76">
              <w:t xml:space="preserve"> this review, </w:t>
            </w:r>
            <w:r>
              <w:t xml:space="preserve">reporters </w:t>
            </w:r>
            <w:r w:rsidRPr="00250C76">
              <w:t>repeatedly raised the burden of reporting on what forms a small percentage of their total emissions and suggested removing this requirement unless the data is used. Over 300 facilities report on sulphur hexafluoride. The A</w:t>
            </w:r>
            <w:r w:rsidR="00CE6BCC">
              <w:t xml:space="preserve">ustralian </w:t>
            </w:r>
            <w:r w:rsidRPr="00250C76">
              <w:t>I</w:t>
            </w:r>
            <w:r w:rsidR="00CE6BCC">
              <w:t xml:space="preserve">ndustry </w:t>
            </w:r>
            <w:r w:rsidRPr="00250C76">
              <w:t>G</w:t>
            </w:r>
            <w:r w:rsidR="00CE6BCC">
              <w:t xml:space="preserve">reenhouse </w:t>
            </w:r>
            <w:r w:rsidRPr="00250C76">
              <w:t>N</w:t>
            </w:r>
            <w:r w:rsidR="00CE6BCC">
              <w:t>etwork</w:t>
            </w:r>
            <w:r w:rsidRPr="00250C76">
              <w:t xml:space="preserve"> submission stated: </w:t>
            </w:r>
          </w:p>
          <w:p w14:paraId="4B597C30" w14:textId="77777777" w:rsidR="00A10D68" w:rsidRDefault="00A10D68" w:rsidP="00A10D68">
            <w:pPr>
              <w:pStyle w:val="CCAquote"/>
            </w:pPr>
            <w:r w:rsidRPr="00250C76">
              <w:t>The Government tracks all SF</w:t>
            </w:r>
            <w:r w:rsidRPr="002E419E">
              <w:rPr>
                <w:vertAlign w:val="subscript"/>
              </w:rPr>
              <w:t>6</w:t>
            </w:r>
            <w:r w:rsidRPr="00250C76">
              <w:t xml:space="preserve"> imports, manufacture in Australia (if any) and destruction. This data could easily be accessed to account for Australia’s SF</w:t>
            </w:r>
            <w:r w:rsidRPr="002E419E">
              <w:rPr>
                <w:vertAlign w:val="subscript"/>
              </w:rPr>
              <w:t>6</w:t>
            </w:r>
            <w:r w:rsidRPr="00250C76">
              <w:t xml:space="preserve"> emissions in Australia’s international reporting. </w:t>
            </w:r>
          </w:p>
          <w:p w14:paraId="42FE0A42" w14:textId="77777777" w:rsidR="00A10D68" w:rsidRPr="00250C76" w:rsidRDefault="00A10D68" w:rsidP="00A10D68">
            <w:pPr>
              <w:pStyle w:val="CCAquotesource"/>
            </w:pPr>
            <w:r w:rsidRPr="00250C76">
              <w:t>A</w:t>
            </w:r>
            <w:r w:rsidR="009E4E49">
              <w:t xml:space="preserve">ustralian </w:t>
            </w:r>
            <w:r w:rsidRPr="00250C76">
              <w:t>I</w:t>
            </w:r>
            <w:r w:rsidR="009E4E49">
              <w:t xml:space="preserve">ndustry </w:t>
            </w:r>
            <w:r w:rsidRPr="00250C76">
              <w:t>G</w:t>
            </w:r>
            <w:r w:rsidR="009E4E49">
              <w:t xml:space="preserve">reenhouse </w:t>
            </w:r>
            <w:r w:rsidRPr="00250C76">
              <w:t>N</w:t>
            </w:r>
            <w:r w:rsidR="009E4E49">
              <w:t>etwork</w:t>
            </w:r>
            <w:r>
              <w:t>, submission on this review</w:t>
            </w:r>
            <w:r w:rsidRPr="00250C76">
              <w:t xml:space="preserve"> </w:t>
            </w:r>
            <w:r>
              <w:t>(</w:t>
            </w:r>
            <w:r w:rsidRPr="00250C76">
              <w:t>p</w:t>
            </w:r>
            <w:r w:rsidR="00190737">
              <w:t>.</w:t>
            </w:r>
            <w:r>
              <w:t xml:space="preserve"> </w:t>
            </w:r>
            <w:r w:rsidRPr="00250C76">
              <w:t>6</w:t>
            </w:r>
            <w:r>
              <w:t>)</w:t>
            </w:r>
          </w:p>
          <w:p w14:paraId="26DC5EEB" w14:textId="77777777" w:rsidR="00A10D68" w:rsidRPr="00250C76" w:rsidRDefault="00A10D68" w:rsidP="00A10D68">
            <w:pPr>
              <w:pStyle w:val="CCABodytext"/>
            </w:pPr>
            <w:r>
              <w:t xml:space="preserve">However, the reporting </w:t>
            </w:r>
            <w:r w:rsidRPr="00250C76">
              <w:t xml:space="preserve">data is the only complete source of data on stocks of sulphur hexafluoride used in electricity supply and distribution equipment in Australia, which is the main source of emissions. </w:t>
            </w:r>
            <w:r w:rsidRPr="008E04E4">
              <w:t>The</w:t>
            </w:r>
            <w:r w:rsidRPr="004A3F4D">
              <w:rPr>
                <w:i/>
              </w:rPr>
              <w:t xml:space="preserve"> Ozone Protection and Synthetic Greenhouse Gas Management Act 1989</w:t>
            </w:r>
            <w:r w:rsidR="000F1A20">
              <w:rPr>
                <w:i/>
              </w:rPr>
              <w:t xml:space="preserve"> </w:t>
            </w:r>
            <w:r w:rsidR="000F1A20" w:rsidRPr="006C0ABD">
              <w:t>(Cth)</w:t>
            </w:r>
            <w:r w:rsidRPr="006E75C1">
              <w:t xml:space="preserve"> </w:t>
            </w:r>
            <w:r w:rsidRPr="00250C76">
              <w:t xml:space="preserve">collects data on imports but this information is incomplete, as only imports above 25 kg in a calendar year require a licence. </w:t>
            </w:r>
          </w:p>
          <w:p w14:paraId="6F322826" w14:textId="77777777" w:rsidR="00A10D68" w:rsidRPr="00250C76" w:rsidRDefault="00A10D68" w:rsidP="00A10D68">
            <w:pPr>
              <w:pStyle w:val="CCABodytext"/>
            </w:pPr>
            <w:r>
              <w:t>L</w:t>
            </w:r>
            <w:r w:rsidRPr="00250C76">
              <w:t xml:space="preserve">osses of sulphur hexafluoride from equipment use and destruction </w:t>
            </w:r>
            <w:r>
              <w:t xml:space="preserve">also </w:t>
            </w:r>
            <w:r w:rsidRPr="00250C76">
              <w:t xml:space="preserve">need to be measured. </w:t>
            </w:r>
            <w:r>
              <w:t xml:space="preserve">The reporting scheme </w:t>
            </w:r>
            <w:r w:rsidRPr="00250C76">
              <w:t>is the only source of data in Australia on the uses of sulphur hexafluoride. This data is vital to derive a national emissions factor and report on Australia’s national emissions of sulphur hexafluoride</w:t>
            </w:r>
            <w:r>
              <w:t xml:space="preserve"> (</w:t>
            </w:r>
            <w:r w:rsidR="000F1A20">
              <w:t xml:space="preserve">Commonwealth of Australia </w:t>
            </w:r>
            <w:r>
              <w:t>2018</w:t>
            </w:r>
            <w:r w:rsidR="000F1A20">
              <w:t>b</w:t>
            </w:r>
            <w:r>
              <w:t>)</w:t>
            </w:r>
            <w:r w:rsidRPr="00250C76">
              <w:t xml:space="preserve">. </w:t>
            </w:r>
          </w:p>
          <w:p w14:paraId="723B1E48" w14:textId="77777777" w:rsidR="00A10D68" w:rsidRPr="000D5CD5" w:rsidRDefault="00A10D68" w:rsidP="00A10D68">
            <w:pPr>
              <w:pStyle w:val="CCABodytext"/>
            </w:pPr>
            <w:r w:rsidRPr="00250C76">
              <w:t>This example highlights the importance of data on some small sources of emissions that is collected by the reporting system.</w:t>
            </w:r>
          </w:p>
        </w:tc>
      </w:tr>
    </w:tbl>
    <w:p w14:paraId="2FE466D8" w14:textId="77777777" w:rsidR="00A10D68" w:rsidRPr="00C805C3" w:rsidRDefault="00A10D68" w:rsidP="00C805C3">
      <w:pPr>
        <w:pStyle w:val="CCABodytext"/>
      </w:pPr>
    </w:p>
    <w:tbl>
      <w:tblPr>
        <w:tblStyle w:val="TableGrid"/>
        <w:tblW w:w="0" w:type="auto"/>
        <w:tblInd w:w="284" w:type="dxa"/>
        <w:tblLook w:val="04A0" w:firstRow="1" w:lastRow="0" w:firstColumn="1" w:lastColumn="0" w:noHBand="0" w:noVBand="1"/>
      </w:tblPr>
      <w:tblGrid>
        <w:gridCol w:w="9781"/>
      </w:tblGrid>
      <w:tr w:rsidR="00CA618C" w:rsidRPr="00155241" w14:paraId="7246950B"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684A4C60" w14:textId="77777777" w:rsidR="00CA618C" w:rsidRPr="00027FFA" w:rsidRDefault="00CA618C" w:rsidP="0046117A">
            <w:pPr>
              <w:pStyle w:val="CCAForRheading"/>
            </w:pPr>
            <w:r>
              <w:t>Recommendation</w:t>
            </w:r>
          </w:p>
          <w:p w14:paraId="0560EBE6" w14:textId="77777777" w:rsidR="00CA618C" w:rsidRPr="00E45370" w:rsidRDefault="005F1991" w:rsidP="0065703D">
            <w:pPr>
              <w:pStyle w:val="CCARecommendation"/>
            </w:pPr>
            <w:bookmarkStart w:id="648" w:name="_Toc530429655"/>
            <w:bookmarkStart w:id="649" w:name="_Toc531101676"/>
            <w:bookmarkStart w:id="650" w:name="_Toc531102837"/>
            <w:bookmarkStart w:id="651" w:name="_Toc531363967"/>
            <w:r w:rsidRPr="00E45370">
              <w:t>The</w:t>
            </w:r>
            <w:r w:rsidR="00CA618C" w:rsidRPr="00E45370" w:rsidDel="004010EB">
              <w:t xml:space="preserve"> </w:t>
            </w:r>
            <w:r w:rsidR="00CA618C" w:rsidRPr="00E45370">
              <w:t>Regulator work with the Department to enhance understanding among reporters and auditors (in time for the 2019</w:t>
            </w:r>
            <w:r w:rsidR="00927F6F">
              <w:t>–</w:t>
            </w:r>
            <w:r w:rsidR="00CA618C" w:rsidRPr="00E45370">
              <w:t xml:space="preserve">20 reporting year) about the existing provisions in the </w:t>
            </w:r>
            <w:r w:rsidR="00603B40">
              <w:t>legislation</w:t>
            </w:r>
            <w:r w:rsidR="00CA618C" w:rsidRPr="00E45370">
              <w:t xml:space="preserve"> that can reduce the costs of reporting on small sources of emissions and energy</w:t>
            </w:r>
            <w:r w:rsidR="002B6B0E">
              <w:t>.</w:t>
            </w:r>
            <w:r w:rsidR="00CA618C" w:rsidRPr="00E45370">
              <w:t xml:space="preserve"> In addition, the Department should work closely with the Regulator and industry to systematically review provisions</w:t>
            </w:r>
            <w:r w:rsidR="000239EF">
              <w:t>,</w:t>
            </w:r>
            <w:r w:rsidR="00CA618C" w:rsidRPr="00E45370">
              <w:t xml:space="preserve"> </w:t>
            </w:r>
            <w:r w:rsidR="000239EF">
              <w:t>and their administration,</w:t>
            </w:r>
            <w:r w:rsidR="00CA618C" w:rsidRPr="00E45370">
              <w:t xml:space="preserve"> </w:t>
            </w:r>
            <w:r w:rsidR="00603B40">
              <w:t>that apply to</w:t>
            </w:r>
            <w:r w:rsidR="00CA618C" w:rsidRPr="00E45370">
              <w:t xml:space="preserve"> small sources of emissions and energy to assess if further improvements can be made to reduce reporting costs while meeting the objectives of the reporting scheme.</w:t>
            </w:r>
            <w:bookmarkEnd w:id="648"/>
            <w:bookmarkEnd w:id="649"/>
            <w:bookmarkEnd w:id="650"/>
            <w:bookmarkEnd w:id="651"/>
          </w:p>
        </w:tc>
      </w:tr>
    </w:tbl>
    <w:p w14:paraId="6FFDD76C" w14:textId="77777777" w:rsidR="00CD1C1C" w:rsidRDefault="00CD1C1C" w:rsidP="00CD1C1C">
      <w:pPr>
        <w:pStyle w:val="CCAHeading2"/>
      </w:pPr>
      <w:bookmarkStart w:id="652" w:name="_Toc528770242"/>
      <w:bookmarkStart w:id="653" w:name="_Toc529183871"/>
      <w:bookmarkStart w:id="654" w:name="_Toc529187683"/>
      <w:bookmarkStart w:id="655" w:name="_Toc529188109"/>
      <w:bookmarkStart w:id="656" w:name="_Toc529377759"/>
      <w:bookmarkStart w:id="657" w:name="_Toc529389700"/>
      <w:bookmarkStart w:id="658" w:name="_Toc531095575"/>
      <w:bookmarkStart w:id="659" w:name="_Toc531099341"/>
      <w:bookmarkStart w:id="660" w:name="_Toc531101750"/>
      <w:bookmarkStart w:id="661" w:name="_Toc531764018"/>
      <w:bookmarkStart w:id="662" w:name="_Toc532912112"/>
      <w:bookmarkStart w:id="663" w:name="_Toc532914954"/>
      <w:r>
        <w:t>Enhance communication on energy data use</w:t>
      </w:r>
      <w:bookmarkEnd w:id="652"/>
      <w:bookmarkEnd w:id="653"/>
      <w:bookmarkEnd w:id="654"/>
      <w:bookmarkEnd w:id="655"/>
      <w:bookmarkEnd w:id="656"/>
      <w:bookmarkEnd w:id="657"/>
      <w:bookmarkEnd w:id="658"/>
      <w:bookmarkEnd w:id="659"/>
      <w:bookmarkEnd w:id="660"/>
      <w:bookmarkEnd w:id="661"/>
      <w:bookmarkEnd w:id="662"/>
      <w:bookmarkEnd w:id="663"/>
    </w:p>
    <w:p w14:paraId="783E4B68" w14:textId="77777777" w:rsidR="00CD1C1C" w:rsidRPr="00F37E14" w:rsidRDefault="00CD1C1C" w:rsidP="00CD1C1C">
      <w:pPr>
        <w:pStyle w:val="CCABodytext"/>
      </w:pPr>
      <w:r>
        <w:t xml:space="preserve">The Authority heard that some reporters </w:t>
      </w:r>
      <w:r w:rsidRPr="00F37E14">
        <w:t xml:space="preserve">find reporting </w:t>
      </w:r>
      <w:r>
        <w:t xml:space="preserve">production and consumption of energy </w:t>
      </w:r>
      <w:r w:rsidRPr="00F37E14">
        <w:t xml:space="preserve">to be more difficult than emissions, especially </w:t>
      </w:r>
      <w:r>
        <w:t xml:space="preserve">reporting </w:t>
      </w:r>
      <w:r w:rsidRPr="00F37E14">
        <w:t>the transformation of energy within a facility from one product to another</w:t>
      </w:r>
      <w:r>
        <w:t xml:space="preserve">, and </w:t>
      </w:r>
      <w:r w:rsidRPr="00F37E14">
        <w:t xml:space="preserve">for facilities that use biomass cogeneration systems. </w:t>
      </w:r>
      <w:r>
        <w:t xml:space="preserve">Adding to the frustration around energy reporting, many in industry said </w:t>
      </w:r>
      <w:r w:rsidRPr="00F37E14">
        <w:t xml:space="preserve">they did not know how the </w:t>
      </w:r>
      <w:r>
        <w:t xml:space="preserve">detailed </w:t>
      </w:r>
      <w:r w:rsidRPr="00F37E14">
        <w:t>energy data was being used or why they needed to report on energy transform</w:t>
      </w:r>
      <w:r>
        <w:t>ation</w:t>
      </w:r>
      <w:r w:rsidRPr="00F37E14">
        <w:t xml:space="preserve"> within their facility</w:t>
      </w:r>
      <w:r>
        <w:t>—</w:t>
      </w:r>
      <w:r w:rsidRPr="00F37E14">
        <w:t>which can be a very complex process.</w:t>
      </w:r>
    </w:p>
    <w:p w14:paraId="3F2CC4D6" w14:textId="1FC9E0BB" w:rsidR="00CD1C1C" w:rsidRDefault="00CD1C1C" w:rsidP="00C805C3">
      <w:pPr>
        <w:pStyle w:val="CCABodytext"/>
      </w:pPr>
      <w:r w:rsidRPr="00242294">
        <w:t xml:space="preserve">The Authority </w:t>
      </w:r>
      <w:r>
        <w:t>considers</w:t>
      </w:r>
      <w:r w:rsidRPr="00242294">
        <w:t xml:space="preserve"> this frustration can be reduced through increased communication by the Department as to how the energy data is used. For example, the Authority’s research has found that </w:t>
      </w:r>
      <w:r w:rsidRPr="00F37E14">
        <w:t xml:space="preserve">Australia’s international energy reporting requires that Australia </w:t>
      </w:r>
      <w:r>
        <w:t>estimate</w:t>
      </w:r>
      <w:r w:rsidRPr="00F37E14">
        <w:t xml:space="preserve"> all energy production and use within the country</w:t>
      </w:r>
      <w:r>
        <w:t>;</w:t>
      </w:r>
      <w:r w:rsidRPr="00F37E14">
        <w:t xml:space="preserve"> and data on energy transformations is needed to correctly classify energy to its end use (such as electricity generation or transport)</w:t>
      </w:r>
      <w:r>
        <w:t>,</w:t>
      </w:r>
      <w:r w:rsidRPr="004C6392">
        <w:t xml:space="preserve"> </w:t>
      </w:r>
      <w:r>
        <w:t>to align statistics on energy and emissions</w:t>
      </w:r>
      <w:r w:rsidRPr="00F37E14">
        <w:t xml:space="preserve"> and to estimate losses along the supply chain.</w:t>
      </w:r>
      <w:r>
        <w:t xml:space="preserve"> As noted in Section </w:t>
      </w:r>
      <w:r>
        <w:fldChar w:fldCharType="begin"/>
      </w:r>
      <w:r>
        <w:instrText xml:space="preserve"> REF _Ref529392657 \r \h </w:instrText>
      </w:r>
      <w:r>
        <w:fldChar w:fldCharType="separate"/>
      </w:r>
      <w:r w:rsidR="009A203A">
        <w:t>3.5.2</w:t>
      </w:r>
      <w:r>
        <w:fldChar w:fldCharType="end"/>
      </w:r>
      <w:r>
        <w:t xml:space="preserve">, the reporting data is the primary </w:t>
      </w:r>
      <w:r w:rsidRPr="00CF3F86">
        <w:t>data source used to produce the statistics</w:t>
      </w:r>
      <w:r>
        <w:t xml:space="preserve"> used for international energy reporting and it is </w:t>
      </w:r>
      <w:r w:rsidRPr="00D717A1">
        <w:t>widely used by all levels of government, industry, researchers and commentators</w:t>
      </w:r>
      <w:r>
        <w:t>.</w:t>
      </w:r>
    </w:p>
    <w:p w14:paraId="1985A329" w14:textId="77777777" w:rsidR="008F6DA7" w:rsidRDefault="008F6DA7" w:rsidP="00C813C5">
      <w:pPr>
        <w:pStyle w:val="CCAHeading2"/>
      </w:pPr>
      <w:bookmarkStart w:id="664" w:name="_Toc528770245"/>
      <w:bookmarkStart w:id="665" w:name="_Toc529183874"/>
      <w:bookmarkStart w:id="666" w:name="_Toc529187686"/>
      <w:bookmarkStart w:id="667" w:name="_Toc529188112"/>
      <w:bookmarkStart w:id="668" w:name="_Toc529377762"/>
      <w:bookmarkStart w:id="669" w:name="_Toc529389705"/>
      <w:bookmarkStart w:id="670" w:name="_Toc531095578"/>
      <w:bookmarkStart w:id="671" w:name="_Toc531099344"/>
      <w:bookmarkStart w:id="672" w:name="_Toc531101753"/>
      <w:bookmarkStart w:id="673" w:name="_Toc531764021"/>
      <w:bookmarkStart w:id="674" w:name="_Toc532912113"/>
      <w:bookmarkStart w:id="675" w:name="_Toc532914955"/>
      <w:r>
        <w:t>Expanding what is reported</w:t>
      </w:r>
      <w:bookmarkEnd w:id="664"/>
      <w:bookmarkEnd w:id="665"/>
      <w:bookmarkEnd w:id="666"/>
      <w:bookmarkEnd w:id="667"/>
      <w:bookmarkEnd w:id="668"/>
      <w:bookmarkEnd w:id="669"/>
      <w:bookmarkEnd w:id="670"/>
      <w:bookmarkEnd w:id="671"/>
      <w:bookmarkEnd w:id="672"/>
      <w:bookmarkEnd w:id="673"/>
      <w:bookmarkEnd w:id="674"/>
      <w:bookmarkEnd w:id="675"/>
    </w:p>
    <w:p w14:paraId="36D11B6F" w14:textId="77777777" w:rsidR="00A8041C" w:rsidRDefault="00AD1345" w:rsidP="00AD1345">
      <w:pPr>
        <w:pStyle w:val="CCABodytext"/>
        <w:rPr>
          <w:rFonts w:cs="Arial"/>
        </w:rPr>
      </w:pPr>
      <w:r w:rsidRPr="00AD1345">
        <w:rPr>
          <w:rFonts w:cs="Arial"/>
        </w:rPr>
        <w:t>In th</w:t>
      </w:r>
      <w:r w:rsidR="004A3F4D">
        <w:rPr>
          <w:rFonts w:cs="Arial"/>
        </w:rPr>
        <w:t>is</w:t>
      </w:r>
      <w:r w:rsidRPr="00AD1345">
        <w:rPr>
          <w:rFonts w:cs="Arial"/>
        </w:rPr>
        <w:t xml:space="preserve"> section, the Authority</w:t>
      </w:r>
      <w:r w:rsidR="00542595">
        <w:rPr>
          <w:rFonts w:cs="Arial"/>
        </w:rPr>
        <w:t xml:space="preserve"> considers</w:t>
      </w:r>
      <w:r w:rsidRPr="00AD1345">
        <w:rPr>
          <w:rFonts w:cs="Arial"/>
        </w:rPr>
        <w:t xml:space="preserve"> a number of areas where the reporting scheme could be expanded. An expanded scheme may increase the volume of data collected, but care needs to be taken </w:t>
      </w:r>
      <w:r w:rsidR="004A3F4D">
        <w:rPr>
          <w:rFonts w:cs="Arial"/>
        </w:rPr>
        <w:t xml:space="preserve">in each case </w:t>
      </w:r>
      <w:r w:rsidRPr="00AD1345">
        <w:rPr>
          <w:rFonts w:cs="Arial"/>
        </w:rPr>
        <w:t xml:space="preserve">to weigh the potential benefits of more data with </w:t>
      </w:r>
      <w:r w:rsidR="00485CC4" w:rsidRPr="00AD1345">
        <w:rPr>
          <w:rFonts w:cs="Arial"/>
        </w:rPr>
        <w:t>the increased cost of coverage to business</w:t>
      </w:r>
      <w:r w:rsidR="004010EB">
        <w:rPr>
          <w:rFonts w:cs="Arial"/>
        </w:rPr>
        <w:t>es</w:t>
      </w:r>
      <w:r w:rsidR="00485CC4" w:rsidRPr="00AD1345">
        <w:rPr>
          <w:rFonts w:cs="Arial"/>
        </w:rPr>
        <w:t xml:space="preserve"> </w:t>
      </w:r>
      <w:r w:rsidRPr="00AD1345">
        <w:rPr>
          <w:rFonts w:cs="Arial"/>
        </w:rPr>
        <w:t xml:space="preserve">and </w:t>
      </w:r>
      <w:r w:rsidR="002B6B0E">
        <w:rPr>
          <w:rFonts w:cs="Arial"/>
        </w:rPr>
        <w:t>G</w:t>
      </w:r>
      <w:r w:rsidRPr="00AD1345">
        <w:rPr>
          <w:rFonts w:cs="Arial"/>
        </w:rPr>
        <w:t>overnme</w:t>
      </w:r>
      <w:r>
        <w:rPr>
          <w:rFonts w:cs="Arial"/>
        </w:rPr>
        <w:t>n</w:t>
      </w:r>
      <w:r w:rsidRPr="00AD1345">
        <w:rPr>
          <w:rFonts w:cs="Arial"/>
        </w:rPr>
        <w:t>t</w:t>
      </w:r>
      <w:r w:rsidR="00485CC4" w:rsidRPr="00AD1345">
        <w:rPr>
          <w:rFonts w:cs="Arial"/>
        </w:rPr>
        <w:t>.</w:t>
      </w:r>
    </w:p>
    <w:p w14:paraId="0F164C5E" w14:textId="58015E8E" w:rsidR="00C17909" w:rsidRDefault="000921BD" w:rsidP="00C813C5">
      <w:pPr>
        <w:pStyle w:val="CCAHeading3"/>
      </w:pPr>
      <w:r>
        <w:t>T</w:t>
      </w:r>
      <w:r w:rsidR="00476ED8">
        <w:t xml:space="preserve">he </w:t>
      </w:r>
      <w:r w:rsidR="00461AB4">
        <w:t xml:space="preserve">emissions and </w:t>
      </w:r>
      <w:r w:rsidR="00476ED8">
        <w:t>e</w:t>
      </w:r>
      <w:r w:rsidR="00C17909">
        <w:t>nergy thresholds for reporting</w:t>
      </w:r>
    </w:p>
    <w:p w14:paraId="657C59DC" w14:textId="77777777" w:rsidR="00AE72B2" w:rsidRDefault="00823A08" w:rsidP="00C17909">
      <w:pPr>
        <w:pStyle w:val="CCABodytext"/>
      </w:pPr>
      <w:r>
        <w:t xml:space="preserve">The Authority found there was broad support for the current </w:t>
      </w:r>
      <w:r w:rsidR="00542595">
        <w:t xml:space="preserve">reporting </w:t>
      </w:r>
      <w:r>
        <w:t xml:space="preserve">thresholds to be </w:t>
      </w:r>
      <w:r w:rsidR="00A02F3C">
        <w:t>re</w:t>
      </w:r>
      <w:r>
        <w:t>tained</w:t>
      </w:r>
      <w:r w:rsidR="00E74E0F">
        <w:t>;</w:t>
      </w:r>
      <w:r>
        <w:t xml:space="preserve"> </w:t>
      </w:r>
      <w:r w:rsidR="00274B5F">
        <w:t>h</w:t>
      </w:r>
      <w:r>
        <w:t>owever, some submissions supported lower emissions thresholds</w:t>
      </w:r>
      <w:r w:rsidR="00AE72B2">
        <w:t>, for example:</w:t>
      </w:r>
    </w:p>
    <w:p w14:paraId="6E903119" w14:textId="77777777" w:rsidR="00AE72B2" w:rsidRDefault="00AE72B2" w:rsidP="003D4E85">
      <w:pPr>
        <w:pStyle w:val="CCAquote"/>
      </w:pPr>
      <w:r>
        <w:t>[W]e believe that thresholds should be kept as is, or otherwise decreased to capture a greater segment of Australia’s non-safeguard reporting companies and emissions. This will help better inform policy making and assist government programs and activities.</w:t>
      </w:r>
    </w:p>
    <w:p w14:paraId="2CB886AB" w14:textId="77777777" w:rsidR="00AE72B2" w:rsidRPr="00AE72B2" w:rsidRDefault="00AE72B2" w:rsidP="003D4E85">
      <w:pPr>
        <w:pStyle w:val="CCAquotesource"/>
      </w:pPr>
      <w:r>
        <w:t>National Australia Bank, submission on this review (p. 3)</w:t>
      </w:r>
    </w:p>
    <w:p w14:paraId="3E1307E4" w14:textId="77777777" w:rsidR="00331A92" w:rsidRDefault="00823A08" w:rsidP="00C17909">
      <w:pPr>
        <w:pStyle w:val="CCABodytext"/>
      </w:pPr>
      <w:r>
        <w:t>No submissions requested a change to the threshold in terms of energy consumption or production.</w:t>
      </w:r>
    </w:p>
    <w:p w14:paraId="7B229163" w14:textId="77777777" w:rsidR="00B804ED" w:rsidRDefault="00B804ED" w:rsidP="00354794">
      <w:pPr>
        <w:pStyle w:val="CCAHeading4"/>
      </w:pPr>
      <w:r>
        <w:t xml:space="preserve">Lowering </w:t>
      </w:r>
      <w:r w:rsidR="002B6B0E">
        <w:t xml:space="preserve">reporting </w:t>
      </w:r>
      <w:r>
        <w:t>thresholds</w:t>
      </w:r>
    </w:p>
    <w:p w14:paraId="783081D1" w14:textId="77777777" w:rsidR="00ED6188" w:rsidRDefault="00ED6188" w:rsidP="00ED6188">
      <w:pPr>
        <w:pStyle w:val="CCABodytext"/>
      </w:pPr>
      <w:r>
        <w:t xml:space="preserve">If </w:t>
      </w:r>
      <w:r w:rsidR="002B6B0E">
        <w:t xml:space="preserve">reporting </w:t>
      </w:r>
      <w:r>
        <w:t>thresholds were to be lowered</w:t>
      </w:r>
      <w:r w:rsidR="007F2855">
        <w:t>,</w:t>
      </w:r>
      <w:r>
        <w:t xml:space="preserve"> result</w:t>
      </w:r>
      <w:r w:rsidR="00542595">
        <w:t xml:space="preserve">ing in </w:t>
      </w:r>
      <w:r>
        <w:t>more companies reporting under the scheme, the potential benefits include:</w:t>
      </w:r>
    </w:p>
    <w:p w14:paraId="77F11CB1" w14:textId="77777777" w:rsidR="00ED6188" w:rsidRPr="00A5554C" w:rsidRDefault="00ED6188" w:rsidP="000D7F42">
      <w:pPr>
        <w:pStyle w:val="ListBullet"/>
      </w:pPr>
      <w:r w:rsidRPr="00A5554C">
        <w:t>an increase in the share of national emissions and energy reported</w:t>
      </w:r>
      <w:r w:rsidR="00BA7ECD">
        <w:t xml:space="preserve"> (from the current 6</w:t>
      </w:r>
      <w:r w:rsidR="005328F1">
        <w:t>3</w:t>
      </w:r>
      <w:r w:rsidR="00BA7ECD">
        <w:t xml:space="preserve"> per cent)</w:t>
      </w:r>
      <w:r w:rsidRPr="00A5554C">
        <w:t>. This would increase transparency of emission</w:t>
      </w:r>
      <w:r w:rsidR="00DD4FD4">
        <w:t>s</w:t>
      </w:r>
      <w:r w:rsidR="00542595">
        <w:t xml:space="preserve"> and energy </w:t>
      </w:r>
      <w:r w:rsidRPr="00A5554C">
        <w:t>sources and enhance data analysis</w:t>
      </w:r>
    </w:p>
    <w:p w14:paraId="77E6B68C" w14:textId="77777777" w:rsidR="00ED6188" w:rsidRPr="00A5554C" w:rsidRDefault="00ED6188" w:rsidP="000D7F42">
      <w:pPr>
        <w:pStyle w:val="ListBullet"/>
      </w:pPr>
      <w:r w:rsidRPr="00A5554C">
        <w:t>an increase in the share of emissions and energy reported for particular sectors. This may improve the utility of sectoral emissions</w:t>
      </w:r>
      <w:r w:rsidR="00542595">
        <w:t xml:space="preserve"> and energy</w:t>
      </w:r>
      <w:r w:rsidRPr="00A5554C">
        <w:t xml:space="preserve"> data and enhance data analysis</w:t>
      </w:r>
    </w:p>
    <w:p w14:paraId="68F609A0" w14:textId="77777777" w:rsidR="00ED6188" w:rsidRPr="00A5554C" w:rsidRDefault="00ED6188" w:rsidP="000D7F42">
      <w:pPr>
        <w:pStyle w:val="ListBullet"/>
      </w:pPr>
      <w:r w:rsidRPr="00A5554C">
        <w:t>improvement</w:t>
      </w:r>
      <w:r w:rsidR="000921BD">
        <w:t>s</w:t>
      </w:r>
      <w:r w:rsidRPr="00A5554C">
        <w:t xml:space="preserve"> in private sector management of energy and emissions to the extent that reporting affects business behaviour.</w:t>
      </w:r>
    </w:p>
    <w:p w14:paraId="41DC2733" w14:textId="77777777" w:rsidR="00ED6188" w:rsidRPr="00A5554C" w:rsidRDefault="00ED6188">
      <w:pPr>
        <w:pStyle w:val="CCABodytext"/>
      </w:pPr>
      <w:r>
        <w:t xml:space="preserve">However, there are </w:t>
      </w:r>
      <w:r w:rsidR="00B804ED">
        <w:t>several</w:t>
      </w:r>
      <w:r>
        <w:t xml:space="preserve"> issues that should be considered in lowering thresholds</w:t>
      </w:r>
      <w:r w:rsidR="00B804ED">
        <w:t xml:space="preserve">, including the </w:t>
      </w:r>
      <w:r w:rsidRPr="00A5554C">
        <w:t>increase in regulatory burden on companies.</w:t>
      </w:r>
      <w:r w:rsidR="00B804ED">
        <w:t xml:space="preserve"> C</w:t>
      </w:r>
      <w:r w:rsidRPr="00A5554C">
        <w:t xml:space="preserve">ompanies added </w:t>
      </w:r>
      <w:r w:rsidR="00B804ED">
        <w:t xml:space="preserve">to the scheme by </w:t>
      </w:r>
      <w:r w:rsidRPr="00A5554C">
        <w:t>lowering threshold</w:t>
      </w:r>
      <w:r w:rsidR="00B804ED">
        <w:t>s</w:t>
      </w:r>
      <w:r w:rsidRPr="00A5554C">
        <w:t xml:space="preserve"> are likely to be smaller companies with less expertise or resources for reporting. This may affect the integrity of the reported data and increase </w:t>
      </w:r>
      <w:r w:rsidR="00542595">
        <w:t xml:space="preserve">administrative </w:t>
      </w:r>
      <w:r w:rsidRPr="00A5554C">
        <w:t>burden on the Regulator disproportionately.</w:t>
      </w:r>
      <w:r w:rsidR="00B804ED">
        <w:t xml:space="preserve"> </w:t>
      </w:r>
      <w:r w:rsidRPr="00A5554C">
        <w:t>The cost</w:t>
      </w:r>
      <w:r w:rsidR="00096E71">
        <w:t>–</w:t>
      </w:r>
      <w:r w:rsidRPr="00A5554C">
        <w:t xml:space="preserve">benefit analysis of the scheme </w:t>
      </w:r>
      <w:r w:rsidR="004209EB">
        <w:t xml:space="preserve">included in the explanatory memorandum </w:t>
      </w:r>
      <w:r w:rsidRPr="00A5554C">
        <w:t xml:space="preserve">stated that </w:t>
      </w:r>
      <w:r>
        <w:t>‘</w:t>
      </w:r>
      <w:r w:rsidRPr="00A5554C">
        <w:t>direct reporting of emissions by smaller energy users and smaller emitters would not contribute to the quality</w:t>
      </w:r>
      <w:r w:rsidR="009E38CD">
        <w:t>’</w:t>
      </w:r>
      <w:r w:rsidRPr="00A5554C">
        <w:t xml:space="preserve"> of the national greenhouse gas inventory </w:t>
      </w:r>
      <w:r w:rsidR="000E4103">
        <w:t>(</w:t>
      </w:r>
      <w:r w:rsidR="006441D7">
        <w:t>Revised Explanatory Memorandum</w:t>
      </w:r>
      <w:r w:rsidR="005C15E7">
        <w:t xml:space="preserve">, </w:t>
      </w:r>
      <w:r w:rsidR="006441D7">
        <w:t xml:space="preserve">National Greenhouse and Energy Reporting Bill 2007 (Cth), </w:t>
      </w:r>
      <w:r w:rsidRPr="00A5554C">
        <w:t>p</w:t>
      </w:r>
      <w:r w:rsidR="00190737">
        <w:t>.</w:t>
      </w:r>
      <w:r w:rsidR="006441D7">
        <w:t xml:space="preserve"> </w:t>
      </w:r>
      <w:r w:rsidRPr="00A5554C">
        <w:t>97</w:t>
      </w:r>
      <w:r w:rsidR="000E4103">
        <w:t>)</w:t>
      </w:r>
      <w:r w:rsidR="00B804ED">
        <w:t>. Additionally, i</w:t>
      </w:r>
      <w:r w:rsidRPr="00A5554C">
        <w:t>ncreased coverage may not lead to significant changes in the usefulness of the data.</w:t>
      </w:r>
    </w:p>
    <w:p w14:paraId="35D8B4D5" w14:textId="77777777" w:rsidR="00823A08" w:rsidRDefault="00ED6188" w:rsidP="00823A08">
      <w:pPr>
        <w:pStyle w:val="CCABodytext"/>
      </w:pPr>
      <w:r>
        <w:t xml:space="preserve">There is currently no comprehensive data source available on energy use and emissions from businesses that do not currently report. This makes quantitative analysis of lowering thresholds difficult. </w:t>
      </w:r>
    </w:p>
    <w:p w14:paraId="559E1908" w14:textId="77777777" w:rsidR="00F756F7" w:rsidRDefault="000D1EB5" w:rsidP="000D1EB5">
      <w:pPr>
        <w:pStyle w:val="CCABodytext"/>
      </w:pPr>
      <w:r>
        <w:t>Australia’s emissions threshold is comparable to most other countries around the world with similar reporting schemes (</w:t>
      </w:r>
      <w:r w:rsidR="00C77B4E">
        <w:fldChar w:fldCharType="begin"/>
      </w:r>
      <w:r w:rsidR="00C77B4E">
        <w:instrText xml:space="preserve"> REF _Ref529390956 \r \h </w:instrText>
      </w:r>
      <w:r w:rsidR="00C77B4E">
        <w:fldChar w:fldCharType="separate"/>
      </w:r>
      <w:r w:rsidR="009A203A">
        <w:t>Figure 10</w:t>
      </w:r>
      <w:r w:rsidR="00C77B4E">
        <w:fldChar w:fldCharType="end"/>
      </w:r>
      <w:r>
        <w:t>)</w:t>
      </w:r>
      <w:r w:rsidR="002B6B0E">
        <w:t>. S</w:t>
      </w:r>
      <w:r>
        <w:t>ome countries have more stringent thresholds (such as Japan) and others have no thresholds for particular sectors (</w:t>
      </w:r>
      <w:r w:rsidR="00CF77D6">
        <w:fldChar w:fldCharType="begin"/>
      </w:r>
      <w:r w:rsidR="00CF77D6">
        <w:instrText xml:space="preserve"> REF _Ref526951523 \r \h </w:instrText>
      </w:r>
      <w:r w:rsidR="00CF77D6">
        <w:fldChar w:fldCharType="separate"/>
      </w:r>
      <w:r w:rsidR="009A203A">
        <w:t>Table 10</w:t>
      </w:r>
      <w:r w:rsidR="00CF77D6">
        <w:fldChar w:fldCharType="end"/>
      </w:r>
      <w:r w:rsidR="00CF77D6">
        <w:t xml:space="preserve"> in </w:t>
      </w:r>
      <w:r w:rsidR="00CF77D6">
        <w:fldChar w:fldCharType="begin"/>
      </w:r>
      <w:r w:rsidR="00CF77D6">
        <w:instrText xml:space="preserve"> REF _Ref529391015 \r \h </w:instrText>
      </w:r>
      <w:r w:rsidR="00CF77D6">
        <w:fldChar w:fldCharType="separate"/>
      </w:r>
      <w:r w:rsidR="009A203A">
        <w:t>Appendix D</w:t>
      </w:r>
      <w:r w:rsidR="00CF77D6">
        <w:fldChar w:fldCharType="end"/>
      </w:r>
      <w:r>
        <w:t>).</w:t>
      </w:r>
      <w:r w:rsidR="004D0AFF">
        <w:t xml:space="preserve"> </w:t>
      </w:r>
      <w:r w:rsidR="009827CE">
        <w:t xml:space="preserve">Differences in the scope of the schemes should be noted. Some countries don’t include scope 2 emissions in their thresholds, which effectively makes Australia’s threshold more stringent. </w:t>
      </w:r>
    </w:p>
    <w:p w14:paraId="2D3336F4" w14:textId="77777777" w:rsidR="005C15E7" w:rsidRDefault="005C15E7" w:rsidP="000D1EB5">
      <w:pPr>
        <w:pStyle w:val="CCABodytext"/>
      </w:pPr>
      <w:r>
        <w:t>The coverage of the schemes, as a percentage of total economy-wide emissions, ranges from 3</w:t>
      </w:r>
      <w:r w:rsidR="009B3FC7">
        <w:t>7</w:t>
      </w:r>
      <w:r w:rsidR="00274B5F">
        <w:t> </w:t>
      </w:r>
      <w:r>
        <w:t>per</w:t>
      </w:r>
      <w:r w:rsidR="00274B5F">
        <w:t> </w:t>
      </w:r>
      <w:r>
        <w:t xml:space="preserve">cent in Canada to over 80 per cent in the United States. This partly reflects the thresholds but also the structure of economies and reporting schemes. For example, the high rate of coverage in the United States is likely due to </w:t>
      </w:r>
      <w:r w:rsidR="00131FCD">
        <w:t xml:space="preserve">the lower relative </w:t>
      </w:r>
      <w:r>
        <w:t>contribution of emissions from non-covered sectors such as agriculture</w:t>
      </w:r>
      <w:r w:rsidR="00131FCD">
        <w:t xml:space="preserve"> to national emissions</w:t>
      </w:r>
      <w:r>
        <w:t>, and also reporting obligations on upstream companies.</w:t>
      </w:r>
    </w:p>
    <w:p w14:paraId="20CFE976" w14:textId="77777777" w:rsidR="000D1EB5" w:rsidRPr="00602B3E" w:rsidRDefault="00542595" w:rsidP="00532BE2">
      <w:pPr>
        <w:pStyle w:val="CCAFigureHeader"/>
      </w:pPr>
      <w:bookmarkStart w:id="676" w:name="_Ref529390956"/>
      <w:bookmarkStart w:id="677" w:name="_Toc531095530"/>
      <w:bookmarkStart w:id="678" w:name="_Toc531099296"/>
      <w:bookmarkStart w:id="679" w:name="_Toc531101705"/>
      <w:bookmarkStart w:id="680" w:name="_Toc531764138"/>
      <w:bookmarkStart w:id="681" w:name="_Toc532912063"/>
      <w:bookmarkStart w:id="682" w:name="_Toc532914032"/>
      <w:r>
        <w:t>Emissions t</w:t>
      </w:r>
      <w:r w:rsidR="000D1EB5">
        <w:t>hresholds and scheme coverage – international comparison</w:t>
      </w:r>
      <w:bookmarkEnd w:id="676"/>
      <w:bookmarkEnd w:id="677"/>
      <w:bookmarkEnd w:id="678"/>
      <w:bookmarkEnd w:id="679"/>
      <w:bookmarkEnd w:id="680"/>
      <w:bookmarkEnd w:id="681"/>
      <w:bookmarkEnd w:id="682"/>
    </w:p>
    <w:p w14:paraId="633C1DE5" w14:textId="7298CF66" w:rsidR="000D1EB5" w:rsidRPr="00602B3E" w:rsidRDefault="0066280C" w:rsidP="0066280C">
      <w:pPr>
        <w:pStyle w:val="CCAFigure"/>
        <w:spacing w:after="0"/>
        <w:ind w:left="-567"/>
      </w:pPr>
      <w:r w:rsidRPr="0066280C">
        <w:drawing>
          <wp:inline distT="0" distB="0" distL="0" distR="0" wp14:anchorId="600C1742" wp14:editId="20BA17B6">
            <wp:extent cx="6767195" cy="3968750"/>
            <wp:effectExtent l="0" t="0" r="0" b="0"/>
            <wp:docPr id="27" name="Picture 27" descr="Figure 10 is a column chart, which shows how Australia’s emissions threshold and scheme coverage compares internationally. The countries/regions are on the x-axis, coverage of emissions in per cent on the left y-axis and threshold in kilotonnes of carbon dioxide equivalent emissions per year is on the right y-axis. In Canada and the European Union, schemes cover Scope 1 emissions only. In the United States and New Zealand, schemes cover Scope 1 emissions and upstream obligation. In Japan, Australia and South Korea, schemes cover Scope 1 and 2 emissions. From smallest to largest, the schemes’ thresholds are 3 kilotonnes carbon dioxide equivalent emissions in Japan, 25 kilotonnes carbon dioxide equivalent emissions in Australia, the European Union, the United States and South Korea and 50 kilotonnes carbon dioxide equivalent emissions in Canada. From largest to smallest, the coverage of emissions is 85 per cent in the United States, 68 per cent in South Korea, 61 per cent in Australia, 55 per cent in New Zealand, 52 per cent in Japan, 45 per cent in the European Union and 37 per cent in Canada." title="Emissions thresholds and scheme coverage – international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7195" cy="3968750"/>
                    </a:xfrm>
                    <a:prstGeom prst="rect">
                      <a:avLst/>
                    </a:prstGeom>
                    <a:noFill/>
                  </pic:spPr>
                </pic:pic>
              </a:graphicData>
            </a:graphic>
          </wp:inline>
        </w:drawing>
      </w:r>
    </w:p>
    <w:p w14:paraId="1453C5B7" w14:textId="3B819CC1" w:rsidR="005C15E7" w:rsidRPr="00B15B2C" w:rsidRDefault="00572878" w:rsidP="00B15B2C">
      <w:pPr>
        <w:pStyle w:val="CCANotesource"/>
        <w:rPr>
          <w:b/>
        </w:rPr>
      </w:pPr>
      <w:r>
        <w:rPr>
          <w:b/>
        </w:rPr>
        <w:t xml:space="preserve">Notes: </w:t>
      </w:r>
      <w:r w:rsidRPr="00572878">
        <w:t>Thresholds in New Zealand vary by sector. In 2017, Canada committed to reducing their threshold to 10</w:t>
      </w:r>
      <w:r w:rsidR="009C220D">
        <w:t>,000</w:t>
      </w:r>
      <w:r w:rsidR="001706F1">
        <w:t> t </w:t>
      </w:r>
      <w:r w:rsidRPr="00572878">
        <w:t>CO</w:t>
      </w:r>
      <w:r w:rsidRPr="00572878">
        <w:rPr>
          <w:vertAlign w:val="subscript"/>
        </w:rPr>
        <w:t>2</w:t>
      </w:r>
      <w:r w:rsidRPr="00572878">
        <w:t xml:space="preserve">-e per year (represented by the </w:t>
      </w:r>
      <w:r w:rsidR="0039573F">
        <w:t>cross</w:t>
      </w:r>
      <w:r w:rsidRPr="00572878">
        <w:t>). Thresholds may not be directly comparable due to differences in the scope of reporting requirements.</w:t>
      </w:r>
      <w:r>
        <w:br/>
      </w:r>
      <w:r w:rsidR="005C15E7" w:rsidRPr="00B15B2C">
        <w:rPr>
          <w:b/>
        </w:rPr>
        <w:t xml:space="preserve">Sources: </w:t>
      </w:r>
      <w:r w:rsidR="002C6303">
        <w:t xml:space="preserve">Canada: Environment and Climate Change Canada 2018; EU: European Commission n.d.; France: Ministry of Environment, Energy and the Sea 2016; Japan: </w:t>
      </w:r>
      <w:r w:rsidR="002C6303" w:rsidRPr="008E5B92">
        <w:t>Greenhouse Gas Inventory Office of Japan 2017; Japanese Ministry of Economy, Trade and Industry 2018;</w:t>
      </w:r>
      <w:r w:rsidR="002C6303">
        <w:t xml:space="preserve"> New Zealand: </w:t>
      </w:r>
      <w:r w:rsidR="002C6303" w:rsidRPr="0076656E">
        <w:rPr>
          <w:i/>
        </w:rPr>
        <w:t>Climate Change Response Act 2002</w:t>
      </w:r>
      <w:r w:rsidR="002C6303">
        <w:t xml:space="preserve"> (New Zealand), Environmental Defense Fund 2015; South Korea: Korea Environment Corporation 2013, Republic of Korea Ministry of Environment 2017, Hyun and Oh n.d., International Partnership on Mitigation and MRV 2015; United States: US EPA n.d.a, US EPA n.d.b., US EPA n.d.c.</w:t>
      </w:r>
      <w:r w:rsidR="00274B5F">
        <w:t>;</w:t>
      </w:r>
      <w:r w:rsidR="002C6303">
        <w:t xml:space="preserve"> All: World Resources Institute 2013, World Resources Institute 2015.</w:t>
      </w:r>
    </w:p>
    <w:p w14:paraId="6CD4CA0E" w14:textId="65913BE5" w:rsidR="00542595" w:rsidRDefault="00CE6BCC" w:rsidP="00542595">
      <w:pPr>
        <w:pStyle w:val="CCABodytext"/>
        <w:rPr>
          <w:color w:val="414141"/>
        </w:rPr>
      </w:pPr>
      <w:r>
        <w:t>R</w:t>
      </w:r>
      <w:r w:rsidR="00542595">
        <w:t>eporting thresholds</w:t>
      </w:r>
      <w:r w:rsidR="00EF3ABA">
        <w:t xml:space="preserve"> </w:t>
      </w:r>
      <w:r w:rsidR="00542595">
        <w:t xml:space="preserve">are a primary factor in determining which companies are required to report under the scheme. </w:t>
      </w:r>
      <w:r w:rsidR="0086475F">
        <w:fldChar w:fldCharType="begin"/>
      </w:r>
      <w:r w:rsidR="0086475F">
        <w:instrText xml:space="preserve"> REF _Ref529391456 \r \h </w:instrText>
      </w:r>
      <w:r w:rsidR="0086475F">
        <w:fldChar w:fldCharType="separate"/>
      </w:r>
      <w:r w:rsidR="009A203A">
        <w:t>Figure 11</w:t>
      </w:r>
      <w:r w:rsidR="0086475F">
        <w:fldChar w:fldCharType="end"/>
      </w:r>
      <w:r w:rsidR="00542595">
        <w:t xml:space="preserve"> shows</w:t>
      </w:r>
      <w:r w:rsidR="00EF3ABA">
        <w:t xml:space="preserve"> which thresholds reporters meet. At the corporate group level, 431 reporters meet both the emissions and energy thresholds, 226 meet only the energy threshold and 11 meet only the emissions threshold.</w:t>
      </w:r>
      <w:r w:rsidR="00542595">
        <w:t xml:space="preserve"> </w:t>
      </w:r>
      <w:r w:rsidR="001771B2">
        <w:t xml:space="preserve">Just </w:t>
      </w:r>
      <w:r w:rsidR="00542595">
        <w:t xml:space="preserve">2 per cent of reporters met one of the emissions thresholds without also meeting an energy threshold. </w:t>
      </w:r>
      <w:r w:rsidR="00EF3ABA">
        <w:t xml:space="preserve">It is possible that lowering the emissions threshold would not increase coverage of the scheme because </w:t>
      </w:r>
      <w:r w:rsidR="005C15E7">
        <w:t xml:space="preserve">most </w:t>
      </w:r>
      <w:r w:rsidR="00184249">
        <w:t xml:space="preserve">companies </w:t>
      </w:r>
      <w:r w:rsidR="00BF0D32">
        <w:t>me</w:t>
      </w:r>
      <w:r w:rsidR="001706F1">
        <w:t>e</w:t>
      </w:r>
      <w:r w:rsidR="005C15E7">
        <w:t>t the energy threshold first</w:t>
      </w:r>
      <w:r w:rsidR="00EF3ABA">
        <w:t>.</w:t>
      </w:r>
    </w:p>
    <w:p w14:paraId="3A586D5A" w14:textId="77777777" w:rsidR="00E45370" w:rsidRDefault="00542595" w:rsidP="00532BE2">
      <w:pPr>
        <w:pStyle w:val="CCAFigureHeader"/>
      </w:pPr>
      <w:r>
        <w:t xml:space="preserve"> </w:t>
      </w:r>
      <w:bookmarkStart w:id="683" w:name="_Ref529391456"/>
      <w:bookmarkStart w:id="684" w:name="_Toc531095531"/>
      <w:bookmarkStart w:id="685" w:name="_Toc531099297"/>
      <w:bookmarkStart w:id="686" w:name="_Toc531101706"/>
      <w:bookmarkStart w:id="687" w:name="_Toc531764139"/>
      <w:bookmarkStart w:id="688" w:name="_Toc532912064"/>
      <w:bookmarkStart w:id="689" w:name="_Toc532914033"/>
      <w:r w:rsidR="009827CE">
        <w:t>Number of reporters meeting each reporting threshold</w:t>
      </w:r>
      <w:r w:rsidR="004143A4">
        <w:t>, 2016</w:t>
      </w:r>
      <w:r w:rsidR="00927F6F">
        <w:t>–</w:t>
      </w:r>
      <w:r w:rsidR="004143A4">
        <w:t>17</w:t>
      </w:r>
      <w:bookmarkEnd w:id="683"/>
      <w:bookmarkEnd w:id="684"/>
      <w:bookmarkEnd w:id="685"/>
      <w:bookmarkEnd w:id="686"/>
      <w:bookmarkEnd w:id="687"/>
      <w:bookmarkEnd w:id="688"/>
      <w:bookmarkEnd w:id="689"/>
    </w:p>
    <w:p w14:paraId="6D67EFAF" w14:textId="77777777" w:rsidR="009827CE" w:rsidRDefault="00CE6BCC" w:rsidP="00E45370">
      <w:pPr>
        <w:pStyle w:val="CCAFigure"/>
      </w:pPr>
      <w:r>
        <mc:AlternateContent>
          <mc:Choice Requires="wps">
            <w:drawing>
              <wp:anchor distT="0" distB="0" distL="114300" distR="114300" simplePos="0" relativeHeight="251662336" behindDoc="0" locked="0" layoutInCell="1" allowOverlap="1" wp14:anchorId="2AD3DEC3" wp14:editId="679370E6">
                <wp:simplePos x="0" y="0"/>
                <wp:positionH relativeFrom="column">
                  <wp:posOffset>1938535</wp:posOffset>
                </wp:positionH>
                <wp:positionV relativeFrom="paragraph">
                  <wp:posOffset>765678</wp:posOffset>
                </wp:positionV>
                <wp:extent cx="517585" cy="327804"/>
                <wp:effectExtent l="0" t="0" r="34925" b="34290"/>
                <wp:wrapNone/>
                <wp:docPr id="20" name="Straight Connector 20"/>
                <wp:cNvGraphicFramePr/>
                <a:graphic xmlns:a="http://schemas.openxmlformats.org/drawingml/2006/main">
                  <a:graphicData uri="http://schemas.microsoft.com/office/word/2010/wordprocessingShape">
                    <wps:wsp>
                      <wps:cNvCnPr/>
                      <wps:spPr>
                        <a:xfrm flipV="1">
                          <a:off x="0" y="0"/>
                          <a:ext cx="517585" cy="327804"/>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481DE" id="Straight Connector 20"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2.65pt,60.3pt" to="193.4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" strokecolor="#cfcdcd [2894]" strokeweight=".5pt">
                <v:stroke joinstyle="miter"/>
              </v:line>
            </w:pict>
          </mc:Fallback>
        </mc:AlternateContent>
      </w:r>
      <w:r w:rsidR="001771B2">
        <w:drawing>
          <wp:inline distT="0" distB="0" distL="0" distR="0" wp14:anchorId="61B766C8" wp14:editId="1E5F2729">
            <wp:extent cx="4578350" cy="2646045"/>
            <wp:effectExtent l="0" t="0" r="0" b="1905"/>
            <wp:docPr id="13" name="Picture 13" descr="Figure 11 is a pie chart, which shows the number of reporters meeting each reporting threshold in 2016-17. From largest to smallest, 431 reporters met the corporate energy and emissions thresholds, 226 reporters met the corporate energy threshold only, 42 reporters met the facility energy threshold only, 17 reporters met the facility energy and emissions thresholds, 16 reporters met no thresholds but submitted reports as reporting transfer certificate holders or as a controlling corporation reporting on residual energy and emissions not reported by transfer certificate holders, 11 reporters met the corporate emissions threshold only and 5 facilities met the facility emissions threshold only." title="Number of reporters meeting each reporting threshold, 2016-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8350" cy="2646045"/>
                    </a:xfrm>
                    <a:prstGeom prst="rect">
                      <a:avLst/>
                    </a:prstGeom>
                    <a:noFill/>
                  </pic:spPr>
                </pic:pic>
              </a:graphicData>
            </a:graphic>
          </wp:inline>
        </w:drawing>
      </w:r>
    </w:p>
    <w:p w14:paraId="4762EC2F" w14:textId="77777777" w:rsidR="002F7848" w:rsidRPr="007F7CC1" w:rsidRDefault="009827CE" w:rsidP="009827CE">
      <w:pPr>
        <w:pStyle w:val="CCANotesource"/>
      </w:pPr>
      <w:r w:rsidRPr="00A5554C">
        <w:rPr>
          <w:b/>
        </w:rPr>
        <w:t>Note:</w:t>
      </w:r>
      <w:r w:rsidRPr="007F7CC1">
        <w:t xml:space="preserve"> </w:t>
      </w:r>
      <w:r w:rsidR="002F7848">
        <w:t xml:space="preserve">As outlined in </w:t>
      </w:r>
      <w:r w:rsidR="00BE6E38">
        <w:t>S</w:t>
      </w:r>
      <w:r w:rsidR="002F7848">
        <w:t xml:space="preserve">ection </w:t>
      </w:r>
      <w:r w:rsidR="002F7848">
        <w:fldChar w:fldCharType="begin"/>
      </w:r>
      <w:r w:rsidR="002F7848">
        <w:instrText xml:space="preserve"> REF _Ref529518574 \r \h </w:instrText>
      </w:r>
      <w:r w:rsidR="002F7848">
        <w:fldChar w:fldCharType="separate"/>
      </w:r>
      <w:r w:rsidR="009A203A">
        <w:t>2.3.1</w:t>
      </w:r>
      <w:r w:rsidR="002F7848">
        <w:fldChar w:fldCharType="end"/>
      </w:r>
      <w:r w:rsidR="002F7848">
        <w:t xml:space="preserve">, the thresholds are defined in terms of energy production and consumption and emissions for corporate groups and for individual facilities. </w:t>
      </w:r>
      <w:r w:rsidR="003A6850">
        <w:t>Sixteen</w:t>
      </w:r>
      <w:r w:rsidR="003A6850" w:rsidRPr="007F7CC1">
        <w:t xml:space="preserve"> </w:t>
      </w:r>
      <w:r w:rsidRPr="007F7CC1">
        <w:t>reporters did not meet any of the thresholds in 2016</w:t>
      </w:r>
      <w:r w:rsidR="00927F6F">
        <w:t>–</w:t>
      </w:r>
      <w:r w:rsidRPr="007F7CC1">
        <w:t xml:space="preserve">17 but submitted </w:t>
      </w:r>
      <w:r w:rsidR="00B804ED">
        <w:t>reports as reporting transfer certificate holders</w:t>
      </w:r>
      <w:r w:rsidR="003A6850">
        <w:t>,</w:t>
      </w:r>
      <w:r w:rsidR="00F22EC8">
        <w:t xml:space="preserve"> or </w:t>
      </w:r>
      <w:r w:rsidRPr="007F7CC1">
        <w:t>as</w:t>
      </w:r>
      <w:r w:rsidRPr="007F7CC1" w:rsidDel="00B804ED">
        <w:t xml:space="preserve"> a </w:t>
      </w:r>
      <w:r w:rsidR="00F22EC8">
        <w:t xml:space="preserve">controlling </w:t>
      </w:r>
      <w:r w:rsidRPr="007F7CC1">
        <w:t>corporat</w:t>
      </w:r>
      <w:r w:rsidR="00F22EC8">
        <w:t>ion reporting on residual energy and emissions not reported by transfer certificate holders</w:t>
      </w:r>
      <w:r w:rsidRPr="007F7CC1">
        <w:t>.</w:t>
      </w:r>
      <w:r w:rsidR="002F7848">
        <w:t xml:space="preserve"> </w:t>
      </w:r>
      <w:r w:rsidR="002F7848">
        <w:br/>
      </w:r>
      <w:r w:rsidR="002F7848" w:rsidRPr="002F7848">
        <w:rPr>
          <w:b/>
        </w:rPr>
        <w:t>Source:</w:t>
      </w:r>
      <w:r w:rsidR="002F7848">
        <w:t xml:space="preserve"> CER </w:t>
      </w:r>
      <w:r w:rsidR="000F1A20">
        <w:t>2018c</w:t>
      </w:r>
    </w:p>
    <w:p w14:paraId="390B9839" w14:textId="77777777" w:rsidR="00B804ED" w:rsidRDefault="00B804ED" w:rsidP="00354794">
      <w:pPr>
        <w:pStyle w:val="CCAHeading4"/>
      </w:pPr>
      <w:r>
        <w:t xml:space="preserve">Raising </w:t>
      </w:r>
      <w:r w:rsidR="002F7848">
        <w:t xml:space="preserve">reporting </w:t>
      </w:r>
      <w:r>
        <w:t>thresholds</w:t>
      </w:r>
    </w:p>
    <w:p w14:paraId="0CDB91AF" w14:textId="77777777" w:rsidR="00ED6188" w:rsidRDefault="0034746B" w:rsidP="00ED6188">
      <w:pPr>
        <w:pStyle w:val="CCABodytext"/>
      </w:pPr>
      <w:r>
        <w:t>Higher</w:t>
      </w:r>
      <w:r w:rsidR="00ED6188">
        <w:t xml:space="preserve"> thresholds would reduce the regulatory burden on businesses, but would also reduce the </w:t>
      </w:r>
      <w:r w:rsidR="00183CE0">
        <w:t>data made available to data users through the scheme</w:t>
      </w:r>
      <w:r w:rsidR="00ED6188">
        <w:t xml:space="preserve">. </w:t>
      </w:r>
      <w:r w:rsidR="009E38CD">
        <w:t>The Authority did not hear from any reporters requesting the overall threshold be raised</w:t>
      </w:r>
      <w:r w:rsidR="00ED6188">
        <w:t xml:space="preserve">, and the </w:t>
      </w:r>
      <w:r>
        <w:t xml:space="preserve">current </w:t>
      </w:r>
      <w:r w:rsidR="00ED6188">
        <w:t>level of coverage of emissions and energy are highly valued by key data users.</w:t>
      </w:r>
      <w:r w:rsidR="000649B0">
        <w:rPr>
          <w:rStyle w:val="FootnoteReference"/>
        </w:rPr>
        <w:footnoteReference w:id="22"/>
      </w:r>
      <w:r w:rsidR="00ED6188">
        <w:t xml:space="preserve"> Therefore</w:t>
      </w:r>
      <w:r w:rsidR="003A6850">
        <w:t>,</w:t>
      </w:r>
      <w:r w:rsidR="00ED6188">
        <w:t xml:space="preserve"> there appears to be little reason to raise the thresholds. One government </w:t>
      </w:r>
      <w:r w:rsidR="009E38CD">
        <w:t>agency</w:t>
      </w:r>
      <w:r w:rsidR="00ED6188">
        <w:t xml:space="preserve"> noted </w:t>
      </w:r>
      <w:r w:rsidR="009E38CD">
        <w:t xml:space="preserve">higher </w:t>
      </w:r>
      <w:r w:rsidR="00ED6188">
        <w:t xml:space="preserve">thresholds </w:t>
      </w:r>
      <w:r w:rsidR="009E38CD">
        <w:t xml:space="preserve">would </w:t>
      </w:r>
      <w:r w:rsidR="00ED6188">
        <w:t xml:space="preserve">likely lead to an increase in other reporting burdens in order to fill the gaps left from lower coverage. Another said </w:t>
      </w:r>
      <w:r w:rsidR="00ED6188" w:rsidRPr="00681041">
        <w:t>that</w:t>
      </w:r>
      <w:r w:rsidR="00ED6188">
        <w:t xml:space="preserve"> changes to </w:t>
      </w:r>
      <w:r w:rsidR="002F62ED">
        <w:t>thresholds affect</w:t>
      </w:r>
      <w:r w:rsidR="00ED6188">
        <w:t xml:space="preserve"> the ability to conduct longitudinal analysis and should therefore be kept to a minimum.</w:t>
      </w:r>
    </w:p>
    <w:p w14:paraId="5E70AB48" w14:textId="77777777" w:rsidR="00F0727D" w:rsidRDefault="00FA578E" w:rsidP="00FA578E">
      <w:pPr>
        <w:pStyle w:val="CCABodytext"/>
      </w:pPr>
      <w:r>
        <w:t>The thresholds were set at the commencement of the scheme based on a cost</w:t>
      </w:r>
      <w:r w:rsidR="00096E71">
        <w:t>–</w:t>
      </w:r>
      <w:r>
        <w:t>benefit analysis. This analysis estimated that the scheme would cover 71 per cent of emissions</w:t>
      </w:r>
      <w:r w:rsidR="003A6850">
        <w:t>,</w:t>
      </w:r>
      <w:r>
        <w:t xml:space="preserve"> excluding agriculture and land use emissions</w:t>
      </w:r>
      <w:r w:rsidR="00D45166">
        <w:t xml:space="preserve"> (Revised Explanatory Memorandum, National Greenhouse and Energy Reporting Bill 2007 (Cth))</w:t>
      </w:r>
      <w:r>
        <w:t>. The analysis concluded that this level of coverage ‘would provide sufficient coverage of emissions and energy data to provide a sound basis for greenhouse and energy policy development and programme administration and maintain the integrity of exis</w:t>
      </w:r>
      <w:r w:rsidR="00F0727D">
        <w:t>ting national data collections’</w:t>
      </w:r>
      <w:r>
        <w:t xml:space="preserve"> </w:t>
      </w:r>
      <w:r w:rsidR="00D45166">
        <w:t>(Revised Explanatory Memorandum, National Greenhouse and Energy Reporting Bill 2007 (Cth)</w:t>
      </w:r>
      <w:r>
        <w:t>, p</w:t>
      </w:r>
      <w:r w:rsidR="00190737">
        <w:t>.</w:t>
      </w:r>
      <w:r w:rsidR="00D45166">
        <w:t xml:space="preserve"> </w:t>
      </w:r>
      <w:r>
        <w:t>56</w:t>
      </w:r>
      <w:r w:rsidR="00DC316F">
        <w:t>–</w:t>
      </w:r>
      <w:r>
        <w:t>57</w:t>
      </w:r>
      <w:r w:rsidR="00D45166">
        <w:t>)</w:t>
      </w:r>
      <w:r w:rsidR="00F0727D">
        <w:t xml:space="preserve">. </w:t>
      </w:r>
      <w:r>
        <w:t>There is little evidence that the structure of the economy has substantially changed since the scheme was designed</w:t>
      </w:r>
      <w:r w:rsidR="00565BF2">
        <w:t>.</w:t>
      </w:r>
      <w:r>
        <w:rPr>
          <w:rStyle w:val="FootnoteReference"/>
        </w:rPr>
        <w:footnoteReference w:id="23"/>
      </w:r>
      <w:r>
        <w:t xml:space="preserve"> </w:t>
      </w:r>
    </w:p>
    <w:p w14:paraId="2367D8A7" w14:textId="77777777" w:rsidR="00DD4B1A" w:rsidRDefault="004143A4" w:rsidP="004143A4">
      <w:pPr>
        <w:pStyle w:val="CCABodytext"/>
      </w:pPr>
      <w:r>
        <w:t>The Authority found no evidence to support recommending a change to the current reporting thresholds</w:t>
      </w:r>
      <w:r w:rsidR="00FA578E">
        <w:t>.</w:t>
      </w:r>
      <w:r w:rsidR="00F0727D">
        <w:t xml:space="preserve"> </w:t>
      </w:r>
    </w:p>
    <w:p w14:paraId="61EF3CEE" w14:textId="77777777" w:rsidR="00A12ABB" w:rsidRDefault="000921BD" w:rsidP="00C813C5">
      <w:pPr>
        <w:pStyle w:val="CCAHeading3"/>
      </w:pPr>
      <w:bookmarkStart w:id="690" w:name="_Ref529392587"/>
      <w:r>
        <w:t>E</w:t>
      </w:r>
      <w:r w:rsidR="00A12ABB">
        <w:t>xpanding covered emission</w:t>
      </w:r>
      <w:r w:rsidR="00DD4FD4">
        <w:t>s</w:t>
      </w:r>
      <w:r w:rsidR="00A12ABB">
        <w:t xml:space="preserve"> sources</w:t>
      </w:r>
      <w:bookmarkEnd w:id="690"/>
    </w:p>
    <w:p w14:paraId="3201747E" w14:textId="77777777" w:rsidR="004143A4" w:rsidRDefault="004143A4" w:rsidP="006773C0">
      <w:pPr>
        <w:pStyle w:val="CCAHeading4"/>
      </w:pPr>
      <w:r>
        <w:t>Agriculture and land</w:t>
      </w:r>
    </w:p>
    <w:p w14:paraId="7CDECD2D" w14:textId="0299B9D6" w:rsidR="005A40E6" w:rsidRDefault="00ED6FBA" w:rsidP="00073F24">
      <w:pPr>
        <w:pStyle w:val="CCABodytext"/>
      </w:pPr>
      <w:r>
        <w:t>E</w:t>
      </w:r>
      <w:r w:rsidR="00A12ABB">
        <w:t xml:space="preserve">missions from agricultural sources, </w:t>
      </w:r>
      <w:r>
        <w:t xml:space="preserve">and </w:t>
      </w:r>
      <w:r w:rsidR="00A12ABB">
        <w:t xml:space="preserve">land use, land use change </w:t>
      </w:r>
      <w:r w:rsidR="00DF2F42">
        <w:t>and</w:t>
      </w:r>
      <w:r w:rsidR="00A12ABB">
        <w:t xml:space="preserve"> forestry</w:t>
      </w:r>
      <w:r w:rsidR="004956A1">
        <w:t xml:space="preserve"> </w:t>
      </w:r>
      <w:r>
        <w:t>are not required to be reported under the scheme</w:t>
      </w:r>
      <w:r w:rsidR="00A12ABB">
        <w:t>.</w:t>
      </w:r>
      <w:r w:rsidR="0008217B">
        <w:rPr>
          <w:rStyle w:val="FootnoteReference"/>
        </w:rPr>
        <w:footnoteReference w:id="24"/>
      </w:r>
      <w:r w:rsidR="00A12ABB">
        <w:t xml:space="preserve"> Some reporters and data users </w:t>
      </w:r>
      <w:r w:rsidR="00DF2F42">
        <w:t>said</w:t>
      </w:r>
      <w:r w:rsidR="00A12ABB">
        <w:t xml:space="preserve"> the scheme </w:t>
      </w:r>
      <w:r w:rsidR="00DF2F42">
        <w:t xml:space="preserve">should </w:t>
      </w:r>
      <w:r w:rsidR="00A12ABB">
        <w:t xml:space="preserve">be expanded to cover these emissions </w:t>
      </w:r>
      <w:r w:rsidR="005A40E6">
        <w:t xml:space="preserve">to </w:t>
      </w:r>
      <w:r w:rsidR="005661B4">
        <w:t>increase coverage</w:t>
      </w:r>
      <w:r w:rsidR="008C001E">
        <w:t xml:space="preserve"> and </w:t>
      </w:r>
      <w:r w:rsidR="00DF2F42">
        <w:t xml:space="preserve">provide </w:t>
      </w:r>
      <w:r w:rsidR="005661B4">
        <w:t>a</w:t>
      </w:r>
      <w:r w:rsidR="008C001E">
        <w:t xml:space="preserve"> full</w:t>
      </w:r>
      <w:r w:rsidR="005661B4">
        <w:t>er</w:t>
      </w:r>
      <w:r w:rsidR="008C001E">
        <w:t xml:space="preserve"> picture of the major contributors to Australia’s emissions footprint. </w:t>
      </w:r>
      <w:r w:rsidR="00073F24">
        <w:t xml:space="preserve">It was </w:t>
      </w:r>
      <w:r>
        <w:t xml:space="preserve">argued by some </w:t>
      </w:r>
      <w:r w:rsidR="00073F24">
        <w:t>that including all sectors and emissions sources maintains principle</w:t>
      </w:r>
      <w:r w:rsidR="00DF2F42">
        <w:t>s</w:t>
      </w:r>
      <w:r w:rsidR="00073F24">
        <w:t xml:space="preserve"> of equity</w:t>
      </w:r>
      <w:r w:rsidR="00DF2F42">
        <w:t xml:space="preserve"> and</w:t>
      </w:r>
      <w:r w:rsidR="00073F24">
        <w:t xml:space="preserve"> serves the public interest</w:t>
      </w:r>
      <w:r w:rsidR="00DF2F42">
        <w:t xml:space="preserve">. </w:t>
      </w:r>
      <w:r w:rsidR="001706F1">
        <w:t>Arguably</w:t>
      </w:r>
      <w:r w:rsidR="002F62ED">
        <w:t xml:space="preserve">, more complete data would better inform </w:t>
      </w:r>
      <w:r w:rsidR="00073F24">
        <w:t xml:space="preserve">the development of </w:t>
      </w:r>
      <w:r w:rsidR="00DF2F42">
        <w:t>policy</w:t>
      </w:r>
      <w:r w:rsidR="00073F24">
        <w:t xml:space="preserve"> response</w:t>
      </w:r>
      <w:r w:rsidR="00DF2F42">
        <w:t>s</w:t>
      </w:r>
      <w:r w:rsidR="00073F24">
        <w:t xml:space="preserve"> to climate change. Finally, </w:t>
      </w:r>
      <w:r>
        <w:t>the</w:t>
      </w:r>
      <w:r w:rsidR="00DF2F42">
        <w:t xml:space="preserve"> Authority heard there </w:t>
      </w:r>
      <w:r>
        <w:t xml:space="preserve">have been significant developments in measuring emissions from agricultural activities, as evidenced by </w:t>
      </w:r>
      <w:r w:rsidR="00073F24">
        <w:t xml:space="preserve">projects under the Emissions Reduction </w:t>
      </w:r>
      <w:r>
        <w:t>Fund, which has partly addressed one of the original challenges in expanding coverage to these sources</w:t>
      </w:r>
      <w:r w:rsidR="00073F24">
        <w:t>.</w:t>
      </w:r>
    </w:p>
    <w:p w14:paraId="0A723B86" w14:textId="77777777" w:rsidR="00A12ABB" w:rsidRDefault="00A12ABB" w:rsidP="00A12ABB">
      <w:pPr>
        <w:pStyle w:val="CCABodytext"/>
      </w:pPr>
      <w:r>
        <w:t xml:space="preserve">Potential benefits </w:t>
      </w:r>
      <w:r w:rsidR="004956A1">
        <w:t xml:space="preserve">from expanding coverage </w:t>
      </w:r>
      <w:r>
        <w:t>include</w:t>
      </w:r>
      <w:r w:rsidR="003A6850">
        <w:t>:</w:t>
      </w:r>
      <w:r>
        <w:t xml:space="preserve"> improving the data available on these emission</w:t>
      </w:r>
      <w:r w:rsidR="00DD4FD4">
        <w:t>s</w:t>
      </w:r>
      <w:r>
        <w:t xml:space="preserve"> sources</w:t>
      </w:r>
      <w:r w:rsidR="003A6850">
        <w:t>,</w:t>
      </w:r>
      <w:r w:rsidR="000649B0">
        <w:t xml:space="preserve"> and</w:t>
      </w:r>
      <w:r>
        <w:t xml:space="preserve"> providing a means for operators in the agriculture and land sectors to measure </w:t>
      </w:r>
      <w:r w:rsidR="00DF2F42">
        <w:t xml:space="preserve">and report publicly on </w:t>
      </w:r>
      <w:r>
        <w:t>their emissions. Costs are mostly associated with the costs to companies in these sectors that would be required to report</w:t>
      </w:r>
      <w:r w:rsidR="003A6850">
        <w:t>;</w:t>
      </w:r>
      <w:r>
        <w:t xml:space="preserve"> costs to the Regulator </w:t>
      </w:r>
      <w:r w:rsidR="00ED6FBA">
        <w:t>of</w:t>
      </w:r>
      <w:r>
        <w:t xml:space="preserve"> managing a greater number of reporters</w:t>
      </w:r>
      <w:r w:rsidR="003A6850">
        <w:t>;</w:t>
      </w:r>
      <w:r>
        <w:t xml:space="preserve"> and costs to the Department </w:t>
      </w:r>
      <w:r w:rsidR="00ED6FBA">
        <w:t xml:space="preserve">of including </w:t>
      </w:r>
      <w:r>
        <w:t>these emission</w:t>
      </w:r>
      <w:r w:rsidR="00ED6FBA">
        <w:t>s</w:t>
      </w:r>
      <w:r>
        <w:t xml:space="preserve"> in the measurement determination.</w:t>
      </w:r>
    </w:p>
    <w:p w14:paraId="5B62470A" w14:textId="77777777" w:rsidR="00A12ABB" w:rsidRDefault="00A12ABB" w:rsidP="00ED6FBA">
      <w:pPr>
        <w:pStyle w:val="CCABodytext"/>
      </w:pPr>
      <w:r>
        <w:t xml:space="preserve">Currently emissions from these sources are estimated by the Department using other data. </w:t>
      </w:r>
      <w:r w:rsidR="005328F1">
        <w:t xml:space="preserve">The Government has </w:t>
      </w:r>
      <w:r w:rsidR="002F62ED">
        <w:t>comprehensive</w:t>
      </w:r>
      <w:r w:rsidR="005328F1">
        <w:t xml:space="preserve"> spatial monitoring of woody vegetation cover which allows the emissions from land use to be monitored and measured remotely. </w:t>
      </w:r>
      <w:r w:rsidR="004956A1">
        <w:t>Emissions from agricultural sources are estimated using activity</w:t>
      </w:r>
      <w:r w:rsidR="003A6850">
        <w:t>-</w:t>
      </w:r>
      <w:r w:rsidR="004956A1">
        <w:t>level data (collected by the A</w:t>
      </w:r>
      <w:r w:rsidR="00CE6BCC">
        <w:t xml:space="preserve">ustralian </w:t>
      </w:r>
      <w:r w:rsidR="004956A1">
        <w:t>B</w:t>
      </w:r>
      <w:r w:rsidR="00CE6BCC">
        <w:t xml:space="preserve">ureau of </w:t>
      </w:r>
      <w:r w:rsidR="004956A1">
        <w:t>S</w:t>
      </w:r>
      <w:r w:rsidR="00CE6BCC">
        <w:t>tatistics</w:t>
      </w:r>
      <w:r w:rsidR="004956A1">
        <w:t xml:space="preserve">) and emissions factors. </w:t>
      </w:r>
      <w:r w:rsidR="00F12944">
        <w:t>D</w:t>
      </w:r>
      <w:r w:rsidR="00ED6FBA">
        <w:t xml:space="preserve">ata </w:t>
      </w:r>
      <w:r w:rsidR="00F12944">
        <w:t xml:space="preserve">on agricultural emissions </w:t>
      </w:r>
      <w:r w:rsidR="00ED6FBA">
        <w:t>is understood to be of reasonable quality but is not able to incorporate information</w:t>
      </w:r>
      <w:r w:rsidR="008B5FDB">
        <w:t xml:space="preserve"> on mitigation activities by individual companies—</w:t>
      </w:r>
      <w:r w:rsidR="00ED6FBA">
        <w:t>and the resulting impact on emissions. Reporting by companies may lead to more accurate data if measurement methods account for mitigation activities.</w:t>
      </w:r>
      <w:r w:rsidR="00ED6FBA" w:rsidRPr="00BC563E">
        <w:t xml:space="preserve"> </w:t>
      </w:r>
      <w:r w:rsidR="00BC563E" w:rsidRPr="00BC563E">
        <w:t xml:space="preserve">Reporting by companies </w:t>
      </w:r>
      <w:r w:rsidR="00BC563E">
        <w:t>will also help to generate information to improve the accuracy of estimates of agricultural emissions at the national level.</w:t>
      </w:r>
    </w:p>
    <w:p w14:paraId="644C2FC9" w14:textId="79653C59" w:rsidR="00BF23FC" w:rsidRDefault="00A12ABB" w:rsidP="002F62ED">
      <w:pPr>
        <w:pStyle w:val="CCABodytext"/>
      </w:pPr>
      <w:r>
        <w:t xml:space="preserve">Despite the fact </w:t>
      </w:r>
      <w:r w:rsidRPr="00681041">
        <w:t>that</w:t>
      </w:r>
      <w:r>
        <w:t xml:space="preserve"> agricultural emissions account</w:t>
      </w:r>
      <w:r w:rsidR="000649B0">
        <w:t>ed</w:t>
      </w:r>
      <w:r>
        <w:t xml:space="preserve"> for 1</w:t>
      </w:r>
      <w:r w:rsidR="000649B0">
        <w:t>4</w:t>
      </w:r>
      <w:r>
        <w:t xml:space="preserve"> per cent of national emissions </w:t>
      </w:r>
      <w:r w:rsidR="000649B0">
        <w:t xml:space="preserve">in </w:t>
      </w:r>
      <w:r w:rsidR="009427DB">
        <w:t>2016</w:t>
      </w:r>
      <w:r w:rsidR="00DC316F">
        <w:t>–</w:t>
      </w:r>
      <w:r w:rsidR="009427DB">
        <w:t xml:space="preserve">17 </w:t>
      </w:r>
      <w:r w:rsidR="000649B0">
        <w:t>(</w:t>
      </w:r>
      <w:r w:rsidR="00153ABD">
        <w:fldChar w:fldCharType="begin"/>
      </w:r>
      <w:r w:rsidR="00153ABD">
        <w:instrText xml:space="preserve"> REF _Ref530413901 \r \h </w:instrText>
      </w:r>
      <w:r w:rsidR="00153ABD">
        <w:fldChar w:fldCharType="separate"/>
      </w:r>
      <w:r w:rsidR="009A203A">
        <w:t>Table 2</w:t>
      </w:r>
      <w:r w:rsidR="00153ABD">
        <w:fldChar w:fldCharType="end"/>
      </w:r>
      <w:r w:rsidR="009427DB">
        <w:t>)</w:t>
      </w:r>
      <w:r>
        <w:t xml:space="preserve">, extending the scheme to include agricultural emissions is not likely to result in a significant increase in the </w:t>
      </w:r>
      <w:r w:rsidR="00924C5A">
        <w:t xml:space="preserve">total emissions reported under the </w:t>
      </w:r>
      <w:r>
        <w:t>scheme. The current emission</w:t>
      </w:r>
      <w:r w:rsidR="00DD4FD4">
        <w:t>s</w:t>
      </w:r>
      <w:r w:rsidR="00DF2F42">
        <w:t xml:space="preserve"> reporting</w:t>
      </w:r>
      <w:r>
        <w:t xml:space="preserve"> thresholds and the requirement for reporting falling only on </w:t>
      </w:r>
      <w:r w:rsidR="00952401">
        <w:t xml:space="preserve">constitutional </w:t>
      </w:r>
      <w:r>
        <w:t>corporations</w:t>
      </w:r>
      <w:r w:rsidR="00E111B6">
        <w:t>,</w:t>
      </w:r>
      <w:r>
        <w:t xml:space="preserve"> together mean very few agricultural operations are likely to report if the scheme were to be extended to agricu</w:t>
      </w:r>
      <w:r w:rsidR="0086475F">
        <w:t>ltural emissions (</w:t>
      </w:r>
      <w:r w:rsidR="0071282C">
        <w:fldChar w:fldCharType="begin"/>
      </w:r>
      <w:r w:rsidR="0071282C">
        <w:instrText xml:space="preserve"> REF _Ref531706435 \r \h </w:instrText>
      </w:r>
      <w:r w:rsidR="0071282C">
        <w:fldChar w:fldCharType="separate"/>
      </w:r>
      <w:r w:rsidR="009A203A">
        <w:t>Box 5</w:t>
      </w:r>
      <w:r w:rsidR="0071282C">
        <w:fldChar w:fldCharType="end"/>
      </w:r>
      <w:r w:rsidR="0086475F">
        <w:t>)</w:t>
      </w:r>
      <w:r>
        <w:t xml:space="preserve">. </w:t>
      </w:r>
    </w:p>
    <w:p w14:paraId="59D21419" w14:textId="77777777" w:rsidR="00BF23FC" w:rsidRDefault="00BF23FC">
      <w:pPr>
        <w:spacing w:after="200" w:line="276" w:lineRule="auto"/>
        <w:rPr>
          <w:color w:val="auto"/>
          <w:sz w:val="21"/>
          <w:szCs w:val="21"/>
        </w:rPr>
      </w:pPr>
      <w:r>
        <w:br w:type="page"/>
      </w:r>
    </w:p>
    <w:tbl>
      <w:tblPr>
        <w:tblStyle w:val="TableLayout1"/>
        <w:tblpPr w:leftFromText="180" w:rightFromText="180" w:vertAnchor="text" w:tblpXSpec="center" w:tblpY="1"/>
        <w:tblOverlap w:val="never"/>
        <w:tblW w:w="49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BF4" w:themeFill="accent4" w:themeFillTint="33"/>
        <w:tblLook w:val="04A0" w:firstRow="1" w:lastRow="0" w:firstColumn="1" w:lastColumn="0" w:noHBand="0" w:noVBand="1"/>
      </w:tblPr>
      <w:tblGrid>
        <w:gridCol w:w="9833"/>
      </w:tblGrid>
      <w:tr w:rsidR="00642BEE" w:rsidRPr="000D5CD5" w14:paraId="5AAF8099" w14:textId="77777777" w:rsidTr="00F56566">
        <w:trPr>
          <w:cnfStyle w:val="100000000000" w:firstRow="1" w:lastRow="0" w:firstColumn="0" w:lastColumn="0" w:oddVBand="0" w:evenVBand="0" w:oddHBand="0" w:evenHBand="0" w:firstRowFirstColumn="0" w:firstRowLastColumn="0" w:lastRowFirstColumn="0" w:lastRowLastColumn="0"/>
          <w:trHeight w:val="425"/>
          <w:jc w:val="center"/>
        </w:trPr>
        <w:tc>
          <w:tcPr>
            <w:tcW w:w="5000" w:type="pct"/>
            <w:shd w:val="clear" w:color="auto" w:fill="D4EBF4" w:themeFill="accent4" w:themeFillTint="33"/>
          </w:tcPr>
          <w:p w14:paraId="6B59FA5E" w14:textId="77777777" w:rsidR="00642BEE" w:rsidRPr="00830337" w:rsidRDefault="00642BEE" w:rsidP="009947F2">
            <w:pPr>
              <w:pStyle w:val="CCABoxheading"/>
              <w:framePr w:hSpace="0" w:wrap="auto" w:vAnchor="margin" w:xAlign="left" w:yAlign="inline"/>
              <w:suppressOverlap w:val="0"/>
            </w:pPr>
            <w:bookmarkStart w:id="691" w:name="_Ref531706435"/>
            <w:bookmarkStart w:id="692" w:name="_Toc531764074"/>
            <w:bookmarkStart w:id="693" w:name="_Toc532912051"/>
            <w:bookmarkStart w:id="694" w:name="_Toc532914039"/>
            <w:r w:rsidRPr="00FA4FC5">
              <w:rPr>
                <w:sz w:val="22"/>
              </w:rPr>
              <w:t>Estimated coverage of agricultural emissions</w:t>
            </w:r>
            <w:bookmarkEnd w:id="691"/>
            <w:bookmarkEnd w:id="692"/>
            <w:bookmarkEnd w:id="693"/>
            <w:bookmarkEnd w:id="694"/>
          </w:p>
          <w:p w14:paraId="75E6C894" w14:textId="77777777" w:rsidR="00642BEE" w:rsidRPr="00CF0682" w:rsidRDefault="0099250F" w:rsidP="00642BEE">
            <w:pPr>
              <w:pStyle w:val="CCABodytext"/>
            </w:pPr>
            <w:r>
              <w:fldChar w:fldCharType="begin"/>
            </w:r>
            <w:r>
              <w:instrText xml:space="preserve"> REF _Ref531723686 \r \h </w:instrText>
            </w:r>
            <w:r>
              <w:fldChar w:fldCharType="separate"/>
            </w:r>
            <w:r w:rsidR="009A203A">
              <w:t>Table 6</w:t>
            </w:r>
            <w:r>
              <w:fldChar w:fldCharType="end"/>
            </w:r>
            <w:r>
              <w:t xml:space="preserve"> </w:t>
            </w:r>
            <w:r w:rsidR="00642BEE" w:rsidRPr="00CF0682">
              <w:t xml:space="preserve">provides estimates of emissions associated with an average farm for selected industries and states. It shows emissions from an average farm </w:t>
            </w:r>
            <w:r w:rsidR="00642BEE">
              <w:t>are</w:t>
            </w:r>
            <w:r w:rsidR="00642BEE" w:rsidRPr="00CF0682">
              <w:t xml:space="preserve"> much smaller than the facility emissions </w:t>
            </w:r>
            <w:r w:rsidR="00642BEE">
              <w:t xml:space="preserve">reporting </w:t>
            </w:r>
            <w:r w:rsidR="00642BEE" w:rsidRPr="00CF0682">
              <w:t>threshold.</w:t>
            </w:r>
          </w:p>
          <w:p w14:paraId="31A9CD47" w14:textId="6E84CCF3" w:rsidR="00642BEE" w:rsidRPr="0099250F" w:rsidRDefault="00642BEE" w:rsidP="00532BE2">
            <w:pPr>
              <w:pStyle w:val="CCATableheader"/>
            </w:pPr>
            <w:bookmarkStart w:id="695" w:name="_Ref531723686"/>
            <w:bookmarkStart w:id="696" w:name="_Toc531764050"/>
            <w:bookmarkStart w:id="697" w:name="_Toc532912071"/>
            <w:bookmarkStart w:id="698" w:name="_Toc532914015"/>
            <w:r w:rsidRPr="0099250F">
              <w:t>Emissions reporting threshold and average agricultural emissions</w:t>
            </w:r>
            <w:bookmarkEnd w:id="695"/>
            <w:bookmarkEnd w:id="696"/>
            <w:r w:rsidR="00E32F9B">
              <w:t>, 2013 to 2016</w:t>
            </w:r>
            <w:bookmarkEnd w:id="697"/>
            <w:bookmarkEnd w:id="698"/>
          </w:p>
          <w:tbl>
            <w:tblPr>
              <w:tblStyle w:val="ListTable3-Accent21"/>
              <w:tblW w:w="0" w:type="auto"/>
              <w:tblBorders>
                <w:top w:val="none" w:sz="0" w:space="0" w:color="auto"/>
                <w:left w:val="none" w:sz="0" w:space="0" w:color="auto"/>
                <w:bottom w:val="none" w:sz="0" w:space="0" w:color="auto"/>
                <w:right w:val="none" w:sz="0" w:space="0" w:color="auto"/>
                <w:insideH w:val="dotted" w:sz="4" w:space="0" w:color="309CC8" w:themeColor="accent3"/>
              </w:tblBorders>
              <w:tblLook w:val="04A0" w:firstRow="1" w:lastRow="0" w:firstColumn="1" w:lastColumn="0" w:noHBand="0" w:noVBand="1"/>
            </w:tblPr>
            <w:tblGrid>
              <w:gridCol w:w="3119"/>
              <w:gridCol w:w="1984"/>
              <w:gridCol w:w="2835"/>
              <w:gridCol w:w="1114"/>
            </w:tblGrid>
            <w:tr w:rsidR="00642BEE" w:rsidRPr="00CF0682" w14:paraId="2F93B1D2" w14:textId="77777777" w:rsidTr="006152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5A34EBD7" w14:textId="77777777" w:rsidR="00642BEE" w:rsidRPr="00CF0682" w:rsidRDefault="00642BEE" w:rsidP="00F23AB7">
                  <w:pPr>
                    <w:pStyle w:val="TableText"/>
                    <w:framePr w:hSpace="180" w:wrap="around" w:vAnchor="text" w:hAnchor="text" w:xAlign="center" w:y="1"/>
                    <w:suppressOverlap/>
                  </w:pPr>
                  <w:r>
                    <w:rPr>
                      <w:rFonts w:cs="Arial"/>
                      <w:color w:val="000000"/>
                      <w:szCs w:val="20"/>
                    </w:rPr>
                    <w:t> </w:t>
                  </w:r>
                </w:p>
              </w:tc>
              <w:tc>
                <w:tcPr>
                  <w:tcW w:w="1984" w:type="dxa"/>
                </w:tcPr>
                <w:p w14:paraId="3B488926" w14:textId="77777777" w:rsidR="00642BEE" w:rsidRPr="0061528E" w:rsidRDefault="00642BEE" w:rsidP="00F23AB7">
                  <w:pPr>
                    <w:pStyle w:val="TableText"/>
                    <w:framePr w:hSpace="180" w:wrap="around" w:vAnchor="text" w:hAnchor="text" w:xAlign="center" w:y="1"/>
                    <w:suppressOverlap/>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61528E">
                    <w:rPr>
                      <w:rFonts w:cs="Arial"/>
                      <w:color w:val="FFFFFF" w:themeColor="background1"/>
                      <w:szCs w:val="20"/>
                    </w:rPr>
                    <w:t>Emissions for an average farm per year (kt CO</w:t>
                  </w:r>
                  <w:r w:rsidRPr="0061528E">
                    <w:rPr>
                      <w:rFonts w:cs="Arial"/>
                      <w:color w:val="FFFFFF" w:themeColor="background1"/>
                      <w:szCs w:val="20"/>
                      <w:vertAlign w:val="subscript"/>
                    </w:rPr>
                    <w:t>2</w:t>
                  </w:r>
                  <w:r w:rsidRPr="0061528E">
                    <w:rPr>
                      <w:rFonts w:cs="Arial"/>
                      <w:color w:val="FFFFFF" w:themeColor="background1"/>
                      <w:szCs w:val="20"/>
                    </w:rPr>
                    <w:t>-e)</w:t>
                  </w:r>
                </w:p>
              </w:tc>
              <w:tc>
                <w:tcPr>
                  <w:tcW w:w="2835" w:type="dxa"/>
                </w:tcPr>
                <w:p w14:paraId="68C23BD0" w14:textId="77777777" w:rsidR="00642BEE" w:rsidRPr="0061528E" w:rsidRDefault="00642BEE" w:rsidP="00F23AB7">
                  <w:pPr>
                    <w:pStyle w:val="TableText"/>
                    <w:framePr w:hSpace="180" w:wrap="around" w:vAnchor="text" w:hAnchor="text" w:xAlign="center" w:y="1"/>
                    <w:suppressOverlap/>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rPr>
                  </w:pPr>
                  <w:r w:rsidRPr="0061528E">
                    <w:rPr>
                      <w:rFonts w:cs="Arial"/>
                      <w:color w:val="FFFFFF" w:themeColor="background1"/>
                      <w:szCs w:val="20"/>
                    </w:rPr>
                    <w:t>Herd size needed to meet 25</w:t>
                  </w:r>
                  <w:r w:rsidR="009C220D">
                    <w:rPr>
                      <w:rFonts w:cs="Arial"/>
                      <w:color w:val="FFFFFF" w:themeColor="background1"/>
                      <w:szCs w:val="20"/>
                    </w:rPr>
                    <w:t>,000</w:t>
                  </w:r>
                  <w:r w:rsidR="008B5FDB">
                    <w:rPr>
                      <w:rFonts w:cs="Arial"/>
                      <w:color w:val="FFFFFF" w:themeColor="background1"/>
                      <w:szCs w:val="20"/>
                    </w:rPr>
                    <w:t xml:space="preserve"> </w:t>
                  </w:r>
                  <w:r w:rsidRPr="0061528E">
                    <w:rPr>
                      <w:rFonts w:cs="Arial"/>
                      <w:color w:val="FFFFFF" w:themeColor="background1"/>
                      <w:szCs w:val="20"/>
                    </w:rPr>
                    <w:t>t CO</w:t>
                  </w:r>
                  <w:r w:rsidRPr="0061528E">
                    <w:rPr>
                      <w:rFonts w:cs="Arial"/>
                      <w:color w:val="FFFFFF" w:themeColor="background1"/>
                      <w:szCs w:val="20"/>
                      <w:vertAlign w:val="subscript"/>
                    </w:rPr>
                    <w:t>2</w:t>
                  </w:r>
                  <w:r w:rsidRPr="0061528E">
                    <w:rPr>
                      <w:rFonts w:cs="Arial"/>
                      <w:color w:val="FFFFFF" w:themeColor="background1"/>
                      <w:szCs w:val="20"/>
                    </w:rPr>
                    <w:t>-e per year emissions threshold (head)</w:t>
                  </w:r>
                </w:p>
              </w:tc>
              <w:tc>
                <w:tcPr>
                  <w:tcW w:w="1114" w:type="dxa"/>
                </w:tcPr>
                <w:p w14:paraId="7E7D7F90" w14:textId="77777777" w:rsidR="00642BEE" w:rsidRPr="0061528E" w:rsidRDefault="00642BEE" w:rsidP="00F23AB7">
                  <w:pPr>
                    <w:pStyle w:val="TableText"/>
                    <w:framePr w:hSpace="180" w:wrap="around" w:vAnchor="text" w:hAnchor="text" w:xAlign="center" w:y="1"/>
                    <w:suppressOverlap/>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rPr>
                  </w:pPr>
                  <w:r w:rsidRPr="0061528E">
                    <w:rPr>
                      <w:rFonts w:cs="Arial"/>
                      <w:color w:val="FFFFFF" w:themeColor="background1"/>
                      <w:szCs w:val="20"/>
                    </w:rPr>
                    <w:t>Average herd size (head)</w:t>
                  </w:r>
                </w:p>
              </w:tc>
            </w:tr>
            <w:tr w:rsidR="00642BEE" w:rsidRPr="00CF0682" w14:paraId="2BDEDBB1" w14:textId="77777777" w:rsidTr="00615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50199E87" w14:textId="77777777" w:rsidR="00642BEE" w:rsidRPr="00CF750E" w:rsidRDefault="00642BEE" w:rsidP="00F23AB7">
                  <w:pPr>
                    <w:pStyle w:val="TableText"/>
                    <w:framePr w:hSpace="180" w:wrap="around" w:vAnchor="text" w:hAnchor="text" w:xAlign="center" w:y="1"/>
                    <w:suppressOverlap/>
                    <w:rPr>
                      <w:b w:val="0"/>
                    </w:rPr>
                  </w:pPr>
                  <w:r w:rsidRPr="00CF750E">
                    <w:rPr>
                      <w:rFonts w:cs="Arial"/>
                      <w:b w:val="0"/>
                      <w:color w:val="000000"/>
                      <w:szCs w:val="20"/>
                    </w:rPr>
                    <w:t>Beef specialist farm – WA</w:t>
                  </w:r>
                </w:p>
              </w:tc>
              <w:tc>
                <w:tcPr>
                  <w:tcW w:w="1984" w:type="dxa"/>
                </w:tcPr>
                <w:p w14:paraId="01E387B3"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2.0</w:t>
                  </w:r>
                </w:p>
              </w:tc>
              <w:tc>
                <w:tcPr>
                  <w:tcW w:w="2835" w:type="dxa"/>
                </w:tcPr>
                <w:p w14:paraId="10D98BA9"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 xml:space="preserve">                        18,680 </w:t>
                  </w:r>
                </w:p>
              </w:tc>
              <w:tc>
                <w:tcPr>
                  <w:tcW w:w="1114" w:type="dxa"/>
                </w:tcPr>
                <w:p w14:paraId="04CF9DA1"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1,451</w:t>
                  </w:r>
                </w:p>
              </w:tc>
            </w:tr>
            <w:tr w:rsidR="00642BEE" w:rsidRPr="00CF0682" w14:paraId="3D0B7843" w14:textId="77777777" w:rsidTr="0061528E">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1F9EE39A" w14:textId="77777777" w:rsidR="00642BEE" w:rsidRPr="00CF750E" w:rsidRDefault="00642BEE" w:rsidP="00F23AB7">
                  <w:pPr>
                    <w:pStyle w:val="TableText"/>
                    <w:framePr w:hSpace="180" w:wrap="around" w:vAnchor="text" w:hAnchor="text" w:xAlign="center" w:y="1"/>
                    <w:suppressOverlap/>
                    <w:rPr>
                      <w:b w:val="0"/>
                    </w:rPr>
                  </w:pPr>
                  <w:r w:rsidRPr="00CF750E">
                    <w:rPr>
                      <w:rFonts w:cs="Arial"/>
                      <w:b w:val="0"/>
                      <w:color w:val="000000"/>
                      <w:szCs w:val="20"/>
                    </w:rPr>
                    <w:t>Beef specialist farm – Qld</w:t>
                  </w:r>
                </w:p>
              </w:tc>
              <w:tc>
                <w:tcPr>
                  <w:tcW w:w="1984" w:type="dxa"/>
                </w:tcPr>
                <w:p w14:paraId="2D8E5DAB"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1.8</w:t>
                  </w:r>
                </w:p>
              </w:tc>
              <w:tc>
                <w:tcPr>
                  <w:tcW w:w="2835" w:type="dxa"/>
                </w:tcPr>
                <w:p w14:paraId="49AC30FA"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 xml:space="preserve">                        19,190 </w:t>
                  </w:r>
                </w:p>
              </w:tc>
              <w:tc>
                <w:tcPr>
                  <w:tcW w:w="1114" w:type="dxa"/>
                </w:tcPr>
                <w:p w14:paraId="6DDFC813"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1,349</w:t>
                  </w:r>
                </w:p>
              </w:tc>
            </w:tr>
            <w:tr w:rsidR="00642BEE" w:rsidRPr="00CF0682" w14:paraId="16AA4F6A" w14:textId="77777777" w:rsidTr="00615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C1189D0" w14:textId="77777777" w:rsidR="00642BEE" w:rsidRPr="00CF750E" w:rsidRDefault="00642BEE" w:rsidP="00F23AB7">
                  <w:pPr>
                    <w:pStyle w:val="TableText"/>
                    <w:framePr w:hSpace="180" w:wrap="around" w:vAnchor="text" w:hAnchor="text" w:xAlign="center" w:y="1"/>
                    <w:suppressOverlap/>
                    <w:rPr>
                      <w:b w:val="0"/>
                    </w:rPr>
                  </w:pPr>
                  <w:r w:rsidRPr="00CF750E">
                    <w:rPr>
                      <w:rFonts w:cs="Arial"/>
                      <w:b w:val="0"/>
                      <w:color w:val="000000"/>
                      <w:szCs w:val="20"/>
                    </w:rPr>
                    <w:t>Beef specialist farm – NT</w:t>
                  </w:r>
                </w:p>
              </w:tc>
              <w:tc>
                <w:tcPr>
                  <w:tcW w:w="1984" w:type="dxa"/>
                </w:tcPr>
                <w:p w14:paraId="47E0EAD8"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14.8</w:t>
                  </w:r>
                </w:p>
              </w:tc>
              <w:tc>
                <w:tcPr>
                  <w:tcW w:w="2835" w:type="dxa"/>
                </w:tcPr>
                <w:p w14:paraId="1A9E4B18"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 xml:space="preserve">                        18,928 </w:t>
                  </w:r>
                </w:p>
              </w:tc>
              <w:tc>
                <w:tcPr>
                  <w:tcW w:w="1114" w:type="dxa"/>
                </w:tcPr>
                <w:p w14:paraId="45B39D67"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11,172</w:t>
                  </w:r>
                </w:p>
              </w:tc>
            </w:tr>
            <w:tr w:rsidR="00642BEE" w:rsidRPr="00CF0682" w14:paraId="5920A5A9" w14:textId="77777777" w:rsidTr="0061528E">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1EB54491" w14:textId="77777777" w:rsidR="00642BEE" w:rsidRPr="00CF750E" w:rsidRDefault="00642BEE" w:rsidP="00F23AB7">
                  <w:pPr>
                    <w:pStyle w:val="TableText"/>
                    <w:framePr w:hSpace="180" w:wrap="around" w:vAnchor="text" w:hAnchor="text" w:xAlign="center" w:y="1"/>
                    <w:suppressOverlap/>
                    <w:rPr>
                      <w:b w:val="0"/>
                    </w:rPr>
                  </w:pPr>
                  <w:r w:rsidRPr="00CF750E">
                    <w:rPr>
                      <w:rFonts w:cs="Arial"/>
                      <w:b w:val="0"/>
                      <w:color w:val="000000"/>
                      <w:szCs w:val="20"/>
                    </w:rPr>
                    <w:t>Sheep specialist farm – NSW</w:t>
                  </w:r>
                </w:p>
              </w:tc>
              <w:tc>
                <w:tcPr>
                  <w:tcW w:w="1984" w:type="dxa"/>
                </w:tcPr>
                <w:p w14:paraId="2B1424DA"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4.5</w:t>
                  </w:r>
                </w:p>
              </w:tc>
              <w:tc>
                <w:tcPr>
                  <w:tcW w:w="2835" w:type="dxa"/>
                </w:tcPr>
                <w:p w14:paraId="3ED67F2F"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 xml:space="preserve">                      126,585 </w:t>
                  </w:r>
                </w:p>
              </w:tc>
              <w:tc>
                <w:tcPr>
                  <w:tcW w:w="1114" w:type="dxa"/>
                </w:tcPr>
                <w:p w14:paraId="45DA0C8F"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3,035</w:t>
                  </w:r>
                </w:p>
              </w:tc>
            </w:tr>
            <w:tr w:rsidR="00642BEE" w:rsidRPr="00CF0682" w14:paraId="082477AD" w14:textId="77777777" w:rsidTr="00615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54802AD2" w14:textId="456AEAAA" w:rsidR="00642BEE" w:rsidRPr="00CF750E" w:rsidRDefault="001706F1" w:rsidP="00F23AB7">
                  <w:pPr>
                    <w:pStyle w:val="TableText"/>
                    <w:framePr w:hSpace="180" w:wrap="around" w:vAnchor="text" w:hAnchor="text" w:xAlign="center" w:y="1"/>
                    <w:suppressOverlap/>
                    <w:rPr>
                      <w:b w:val="0"/>
                    </w:rPr>
                  </w:pPr>
                  <w:r>
                    <w:rPr>
                      <w:rFonts w:cs="Arial"/>
                      <w:b w:val="0"/>
                      <w:color w:val="000000"/>
                      <w:szCs w:val="20"/>
                    </w:rPr>
                    <w:t>Sheep specialist farm – Vic</w:t>
                  </w:r>
                </w:p>
              </w:tc>
              <w:tc>
                <w:tcPr>
                  <w:tcW w:w="1984" w:type="dxa"/>
                </w:tcPr>
                <w:p w14:paraId="53F79FBE"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4.1</w:t>
                  </w:r>
                </w:p>
              </w:tc>
              <w:tc>
                <w:tcPr>
                  <w:tcW w:w="2835" w:type="dxa"/>
                </w:tcPr>
                <w:p w14:paraId="5DB8139D"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 xml:space="preserve">                      139,233 </w:t>
                  </w:r>
                </w:p>
              </w:tc>
              <w:tc>
                <w:tcPr>
                  <w:tcW w:w="1114" w:type="dxa"/>
                </w:tcPr>
                <w:p w14:paraId="79D554D5" w14:textId="77777777" w:rsidR="00642BEE" w:rsidRPr="00CF750E" w:rsidRDefault="00642BEE" w:rsidP="00F23AB7">
                  <w:pPr>
                    <w:pStyle w:val="TableText"/>
                    <w:framePr w:hSpace="180" w:wrap="around" w:vAnchor="text" w:hAnchor="text" w:xAlign="center" w:y="1"/>
                    <w:suppressOverlap/>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2,573</w:t>
                  </w:r>
                </w:p>
              </w:tc>
            </w:tr>
            <w:tr w:rsidR="00642BEE" w:rsidRPr="00CF0682" w14:paraId="43A092FE" w14:textId="77777777" w:rsidTr="0061528E">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A0FEAE8" w14:textId="25E12432" w:rsidR="00642BEE" w:rsidRPr="00CF750E" w:rsidRDefault="001706F1" w:rsidP="00F23AB7">
                  <w:pPr>
                    <w:pStyle w:val="TableText"/>
                    <w:framePr w:hSpace="180" w:wrap="around" w:vAnchor="text" w:hAnchor="text" w:xAlign="center" w:y="1"/>
                    <w:suppressOverlap/>
                    <w:rPr>
                      <w:b w:val="0"/>
                    </w:rPr>
                  </w:pPr>
                  <w:r>
                    <w:rPr>
                      <w:rFonts w:cs="Arial"/>
                      <w:b w:val="0"/>
                      <w:color w:val="000000"/>
                      <w:szCs w:val="20"/>
                    </w:rPr>
                    <w:t>Dairy farm – Vic</w:t>
                  </w:r>
                </w:p>
              </w:tc>
              <w:tc>
                <w:tcPr>
                  <w:tcW w:w="1984" w:type="dxa"/>
                </w:tcPr>
                <w:p w14:paraId="4FB3B5EC"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0.6</w:t>
                  </w:r>
                </w:p>
              </w:tc>
              <w:tc>
                <w:tcPr>
                  <w:tcW w:w="2835" w:type="dxa"/>
                </w:tcPr>
                <w:p w14:paraId="3C571173"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 xml:space="preserve">                           8,050 </w:t>
                  </w:r>
                </w:p>
              </w:tc>
              <w:tc>
                <w:tcPr>
                  <w:tcW w:w="1114" w:type="dxa"/>
                </w:tcPr>
                <w:p w14:paraId="73454623" w14:textId="77777777" w:rsidR="00642BEE" w:rsidRPr="00CF750E" w:rsidRDefault="00642BEE" w:rsidP="00F23AB7">
                  <w:pPr>
                    <w:pStyle w:val="TableText"/>
                    <w:framePr w:hSpace="180" w:wrap="around" w:vAnchor="text" w:hAnchor="text" w:xAlign="center" w:y="1"/>
                    <w:suppressOverlap/>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750E">
                    <w:rPr>
                      <w:rFonts w:asciiTheme="minorHAnsi" w:hAnsiTheme="minorHAnsi" w:cstheme="minorHAnsi"/>
                      <w:color w:val="000000"/>
                      <w:szCs w:val="20"/>
                    </w:rPr>
                    <w:t>373</w:t>
                  </w:r>
                </w:p>
              </w:tc>
            </w:tr>
          </w:tbl>
          <w:p w14:paraId="0233F1DE" w14:textId="5EB6255F" w:rsidR="00642BEE" w:rsidRPr="00830337" w:rsidRDefault="00642BEE" w:rsidP="00642BEE">
            <w:pPr>
              <w:pStyle w:val="CCANotesource"/>
            </w:pPr>
            <w:r w:rsidRPr="00CF0682">
              <w:rPr>
                <w:b/>
              </w:rPr>
              <w:t>Note</w:t>
            </w:r>
            <w:r w:rsidRPr="00CF0682">
              <w:t>: These emissions estimates are based on</w:t>
            </w:r>
            <w:r w:rsidRPr="00830337">
              <w:t xml:space="preserve"> simple state-based emissions factors for </w:t>
            </w:r>
            <w:r>
              <w:t>livestock</w:t>
            </w:r>
            <w:r w:rsidR="00CF750E">
              <w:t xml:space="preserve"> and the herd size (beef cattle, sheep and dairy cattle) for the average farm of each type</w:t>
            </w:r>
            <w:r w:rsidRPr="00830337" w:rsidDel="00CF750E">
              <w:t>.</w:t>
            </w:r>
            <w:r w:rsidRPr="00830337">
              <w:t xml:space="preserve"> It excludes emissions from other sources such as energy, transport and waste. Analysis presented in the table is designed to provide an indication of </w:t>
            </w:r>
            <w:r>
              <w:t>emissions for an average farm</w:t>
            </w:r>
            <w:r w:rsidRPr="00830337">
              <w:t>.</w:t>
            </w:r>
            <w:r>
              <w:t xml:space="preserve"> </w:t>
            </w:r>
            <w:r w:rsidR="00987D1E">
              <w:br/>
            </w:r>
            <w:r w:rsidR="00987D1E" w:rsidRPr="006C0ABD">
              <w:rPr>
                <w:b/>
              </w:rPr>
              <w:t>Source:</w:t>
            </w:r>
            <w:r w:rsidR="00987D1E">
              <w:t xml:space="preserve"> </w:t>
            </w:r>
            <w:r w:rsidR="00CF750E">
              <w:t xml:space="preserve">Based on </w:t>
            </w:r>
            <w:r w:rsidR="00987D1E">
              <w:t xml:space="preserve">DoEE </w:t>
            </w:r>
            <w:r w:rsidR="007A49F5">
              <w:t>pers. comm.</w:t>
            </w:r>
            <w:r w:rsidR="00987D1E">
              <w:t xml:space="preserve">, and </w:t>
            </w:r>
            <w:r w:rsidR="00DD3116">
              <w:t>DAWR 2018</w:t>
            </w:r>
            <w:r w:rsidR="00987D1E">
              <w:t xml:space="preserve"> </w:t>
            </w:r>
          </w:p>
          <w:p w14:paraId="1DD29217" w14:textId="77777777" w:rsidR="00642BEE" w:rsidRDefault="00642BEE" w:rsidP="00642BEE">
            <w:pPr>
              <w:pStyle w:val="CCABodytext"/>
            </w:pPr>
            <w:r w:rsidRPr="00830337">
              <w:t xml:space="preserve">Analysis conducted by </w:t>
            </w:r>
            <w:r w:rsidR="00C204F4">
              <w:t>the Australian Bureau of Agricultural and Resource Economics</w:t>
            </w:r>
            <w:r w:rsidRPr="00830337">
              <w:t xml:space="preserve"> in 2009 </w:t>
            </w:r>
            <w:r>
              <w:t>(Ford et al. 2009)</w:t>
            </w:r>
            <w:r w:rsidRPr="00830337">
              <w:t xml:space="preserve">, found </w:t>
            </w:r>
            <w:r w:rsidRPr="00681041">
              <w:t>that</w:t>
            </w:r>
            <w:r w:rsidRPr="00830337">
              <w:t xml:space="preserve"> a threshold of 25</w:t>
            </w:r>
            <w:r w:rsidR="009C220D">
              <w:t>,000</w:t>
            </w:r>
            <w:r w:rsidR="008B5FDB">
              <w:t xml:space="preserve"> </w:t>
            </w:r>
            <w:r w:rsidRPr="00830337">
              <w:t>t CO</w:t>
            </w:r>
            <w:r w:rsidRPr="00830337">
              <w:rPr>
                <w:vertAlign w:val="subscript"/>
              </w:rPr>
              <w:t>2</w:t>
            </w:r>
            <w:r>
              <w:noBreakHyphen/>
            </w:r>
            <w:r w:rsidRPr="00830337">
              <w:t>e would cover only 2 per cent of agricultural emissions</w:t>
            </w:r>
            <w:r>
              <w:t xml:space="preserve"> (excluding livestock in feedlots)</w:t>
            </w:r>
            <w:r w:rsidRPr="00830337">
              <w:t xml:space="preserve">. </w:t>
            </w:r>
            <w:r>
              <w:t xml:space="preserve">Similar </w:t>
            </w:r>
            <w:r w:rsidRPr="00830337">
              <w:t xml:space="preserve">analysis by the Authority </w:t>
            </w:r>
            <w:r>
              <w:t xml:space="preserve">for this review </w:t>
            </w:r>
            <w:r w:rsidRPr="00830337">
              <w:t>found a threshold of 25</w:t>
            </w:r>
            <w:r w:rsidR="009C220D">
              <w:t>,000</w:t>
            </w:r>
            <w:r w:rsidR="008B5FDB">
              <w:t xml:space="preserve"> </w:t>
            </w:r>
            <w:r w:rsidRPr="00830337">
              <w:t>t CO</w:t>
            </w:r>
            <w:r w:rsidRPr="00830337">
              <w:rPr>
                <w:vertAlign w:val="subscript"/>
              </w:rPr>
              <w:t>2</w:t>
            </w:r>
            <w:r w:rsidRPr="00830337">
              <w:t xml:space="preserve">-e would cover in the order of </w:t>
            </w:r>
            <w:r>
              <w:t>5 </w:t>
            </w:r>
            <w:r w:rsidRPr="00830337">
              <w:t>per cent of total agricultural emissions</w:t>
            </w:r>
            <w:r>
              <w:t xml:space="preserve"> (including livestock in feedlots)</w:t>
            </w:r>
            <w:r w:rsidRPr="00830337">
              <w:t>.</w:t>
            </w:r>
          </w:p>
          <w:p w14:paraId="323B37ED" w14:textId="77777777" w:rsidR="00642BEE" w:rsidRDefault="00642BEE" w:rsidP="00642BEE">
            <w:pPr>
              <w:pStyle w:val="CCABodytext"/>
            </w:pPr>
            <w:r>
              <w:t xml:space="preserve">In addition to those </w:t>
            </w:r>
            <w:r w:rsidR="00184249">
              <w:t xml:space="preserve">companies </w:t>
            </w:r>
            <w:r>
              <w:t>that have agricultural emissions of 25</w:t>
            </w:r>
            <w:r w:rsidR="00D2710E">
              <w:t>,000</w:t>
            </w:r>
            <w:r w:rsidR="008B5FDB">
              <w:t xml:space="preserve"> </w:t>
            </w:r>
            <w:r>
              <w:t xml:space="preserve">t </w:t>
            </w:r>
            <w:r w:rsidRPr="00830337">
              <w:t>CO</w:t>
            </w:r>
            <w:r w:rsidRPr="00830337">
              <w:rPr>
                <w:vertAlign w:val="subscript"/>
              </w:rPr>
              <w:t>2</w:t>
            </w:r>
            <w:r w:rsidRPr="00830337">
              <w:t>-e</w:t>
            </w:r>
            <w:r>
              <w:t xml:space="preserve"> or more, </w:t>
            </w:r>
            <w:r w:rsidR="00184249">
              <w:t xml:space="preserve">companies </w:t>
            </w:r>
            <w:r>
              <w:t xml:space="preserve">that are already required to report (due to meeting the reporting threshold) could also report agricultural emissions. Currently around 23 </w:t>
            </w:r>
            <w:r w:rsidR="00184249">
              <w:t xml:space="preserve">companies </w:t>
            </w:r>
            <w:r>
              <w:t>conducting agricultural activities report under the scheme.</w:t>
            </w:r>
          </w:p>
          <w:p w14:paraId="24DD5917" w14:textId="77777777" w:rsidR="00642BEE" w:rsidRPr="000D5CD5" w:rsidRDefault="00642BEE" w:rsidP="00642BEE">
            <w:pPr>
              <w:pStyle w:val="CCABodytext"/>
            </w:pPr>
            <w:r w:rsidRPr="00830337">
              <w:t xml:space="preserve">Adding </w:t>
            </w:r>
            <w:r>
              <w:t xml:space="preserve">5 per cent of </w:t>
            </w:r>
            <w:r w:rsidRPr="00830337">
              <w:t xml:space="preserve">emissions from agricultural sources would increase </w:t>
            </w:r>
            <w:r>
              <w:t xml:space="preserve">total </w:t>
            </w:r>
            <w:r w:rsidRPr="00830337">
              <w:t>coverage of the reporting scheme from 6</w:t>
            </w:r>
            <w:r>
              <w:t>3</w:t>
            </w:r>
            <w:r w:rsidRPr="00830337">
              <w:t>.</w:t>
            </w:r>
            <w:r>
              <w:t>40</w:t>
            </w:r>
            <w:r w:rsidRPr="00830337">
              <w:t xml:space="preserve"> per cent to 6</w:t>
            </w:r>
            <w:r>
              <w:t>4</w:t>
            </w:r>
            <w:r w:rsidRPr="00830337">
              <w:t>.</w:t>
            </w:r>
            <w:r>
              <w:t>09</w:t>
            </w:r>
            <w:r w:rsidRPr="00830337">
              <w:t xml:space="preserve"> per cent</w:t>
            </w:r>
            <w:r>
              <w:t xml:space="preserve"> of Australia’s national emissions</w:t>
            </w:r>
            <w:r w:rsidRPr="00830337">
              <w:t>.</w:t>
            </w:r>
          </w:p>
        </w:tc>
      </w:tr>
    </w:tbl>
    <w:p w14:paraId="19E56518" w14:textId="77777777" w:rsidR="00642BEE" w:rsidRDefault="00642BEE" w:rsidP="0097377F">
      <w:pPr>
        <w:pStyle w:val="CCABodytext"/>
      </w:pPr>
    </w:p>
    <w:p w14:paraId="106418B2" w14:textId="30B5F339" w:rsidR="0097377F" w:rsidRDefault="0097377F" w:rsidP="0097377F">
      <w:pPr>
        <w:pStyle w:val="CCABodytext"/>
      </w:pPr>
      <w:r>
        <w:t>Australia’s approach to excluding agricultural emissions is consistent with m</w:t>
      </w:r>
      <w:r w:rsidR="00B14742">
        <w:t>any</w:t>
      </w:r>
      <w:r>
        <w:t xml:space="preserve"> other emission</w:t>
      </w:r>
      <w:r w:rsidR="00DD4FD4">
        <w:t>s</w:t>
      </w:r>
      <w:r>
        <w:t xml:space="preserve"> reporting schemes around the world. New Zealand</w:t>
      </w:r>
      <w:r w:rsidR="0071282C">
        <w:t>, France</w:t>
      </w:r>
      <w:r>
        <w:t xml:space="preserve"> </w:t>
      </w:r>
      <w:r w:rsidR="0082680C">
        <w:t>and Mexico cover</w:t>
      </w:r>
      <w:r>
        <w:t xml:space="preserve"> agricultural emissions, but </w:t>
      </w:r>
      <w:r w:rsidR="0082680C">
        <w:t xml:space="preserve">New Zealand </w:t>
      </w:r>
      <w:r>
        <w:t xml:space="preserve">does so at a point in the supply chain </w:t>
      </w:r>
      <w:r w:rsidR="002F62ED">
        <w:t xml:space="preserve">that minimises the number of reporters (such as by fertiliser suppliers and abattoirs), </w:t>
      </w:r>
      <w:r>
        <w:t>as part of an emissions trading scheme</w:t>
      </w:r>
      <w:r w:rsidR="002F62ED">
        <w:t xml:space="preserve"> (</w:t>
      </w:r>
      <w:r w:rsidR="002F62ED">
        <w:fldChar w:fldCharType="begin"/>
      </w:r>
      <w:r w:rsidR="002F62ED">
        <w:instrText xml:space="preserve"> REF _Ref530474497 \r \h </w:instrText>
      </w:r>
      <w:r w:rsidR="002F62ED">
        <w:fldChar w:fldCharType="separate"/>
      </w:r>
      <w:r w:rsidR="009A203A">
        <w:t>Appendix D</w:t>
      </w:r>
      <w:r w:rsidR="002F62ED">
        <w:fldChar w:fldCharType="end"/>
      </w:r>
      <w:r w:rsidR="002F62ED">
        <w:t>)</w:t>
      </w:r>
      <w:r>
        <w:t>.</w:t>
      </w:r>
      <w:r w:rsidR="00B12E0B">
        <w:rPr>
          <w:rStyle w:val="FootnoteReference"/>
        </w:rPr>
        <w:footnoteReference w:id="25"/>
      </w:r>
      <w:r>
        <w:t xml:space="preserve"> </w:t>
      </w:r>
      <w:r w:rsidR="005E3DC0">
        <w:t>However, interest in understanding the emissions profile of agricultural producers is increasing internationally (</w:t>
      </w:r>
      <w:r w:rsidR="00AF18CA">
        <w:t>FAIRR Initiative 2018;</w:t>
      </w:r>
      <w:r w:rsidR="005E3DC0">
        <w:t>GRAIN and IATP 2018).</w:t>
      </w:r>
    </w:p>
    <w:p w14:paraId="6B14295F" w14:textId="77777777" w:rsidR="00952C82" w:rsidRDefault="002D2C08" w:rsidP="00A12ABB">
      <w:pPr>
        <w:pStyle w:val="CCABodytext"/>
      </w:pPr>
      <w:r>
        <w:t>The National Farmers</w:t>
      </w:r>
      <w:r w:rsidR="008B5FDB">
        <w:t>’</w:t>
      </w:r>
      <w:r>
        <w:t xml:space="preserve"> Federation </w:t>
      </w:r>
      <w:r w:rsidR="009B44EE">
        <w:t xml:space="preserve">has noted in its 2030 Roadmap </w:t>
      </w:r>
      <w:r w:rsidR="006F3044">
        <w:t>(NFF 2018)</w:t>
      </w:r>
      <w:r w:rsidR="009B44EE">
        <w:t xml:space="preserve"> the agriculture sector’s role in reducing greenhouse gas emissions. The Roadmap </w:t>
      </w:r>
      <w:r w:rsidR="00952C82">
        <w:t xml:space="preserve">envisages Australian agriculture trending towards carbon neutrality by 2030 and identifies analysing carbon footprints of individual farms as a step to reach this goal. </w:t>
      </w:r>
      <w:r w:rsidR="00A12ABB">
        <w:t xml:space="preserve">Meat and Livestock Australia </w:t>
      </w:r>
      <w:r w:rsidR="00BF22E0">
        <w:t>ha</w:t>
      </w:r>
      <w:r w:rsidR="00D07634">
        <w:t>s</w:t>
      </w:r>
      <w:r w:rsidR="00BF22E0">
        <w:t xml:space="preserve"> also stated</w:t>
      </w:r>
      <w:r w:rsidR="00560526">
        <w:t xml:space="preserve"> that</w:t>
      </w:r>
      <w:r w:rsidR="00BF22E0">
        <w:t xml:space="preserve"> </w:t>
      </w:r>
      <w:r w:rsidR="0061014E">
        <w:t xml:space="preserve">the </w:t>
      </w:r>
      <w:r w:rsidR="00A12ABB">
        <w:t xml:space="preserve">red meat industry </w:t>
      </w:r>
      <w:r w:rsidR="00BF22E0">
        <w:t xml:space="preserve">could </w:t>
      </w:r>
      <w:r w:rsidR="0061014E">
        <w:t xml:space="preserve">be </w:t>
      </w:r>
      <w:r w:rsidR="00A12ABB">
        <w:t xml:space="preserve">carbon neutral by 2030 </w:t>
      </w:r>
      <w:r w:rsidR="006F3044">
        <w:t>(MLA 2017)</w:t>
      </w:r>
      <w:r w:rsidR="00A12ABB">
        <w:t xml:space="preserve">. </w:t>
      </w:r>
    </w:p>
    <w:p w14:paraId="7F841100" w14:textId="5267BBEB" w:rsidR="00A12ABB" w:rsidRDefault="00FF37C7" w:rsidP="00A12ABB">
      <w:pPr>
        <w:pStyle w:val="CCABodytext"/>
      </w:pPr>
      <w:r>
        <w:t>In order to manage emissions and achieve th</w:t>
      </w:r>
      <w:r w:rsidR="00952C82">
        <w:t>ese</w:t>
      </w:r>
      <w:r>
        <w:t xml:space="preserve"> objective</w:t>
      </w:r>
      <w:r w:rsidR="00952C82">
        <w:t>s</w:t>
      </w:r>
      <w:r>
        <w:t xml:space="preserve">, the </w:t>
      </w:r>
      <w:r w:rsidR="00952C82">
        <w:t>agriculture sector</w:t>
      </w:r>
      <w:r>
        <w:t xml:space="preserve"> will need to measure emissions. </w:t>
      </w:r>
      <w:r w:rsidR="00924C5A">
        <w:t xml:space="preserve">Extending the measurement determination under the scheme </w:t>
      </w:r>
      <w:r w:rsidR="0097377F">
        <w:t>would</w:t>
      </w:r>
      <w:r w:rsidR="00924C5A">
        <w:t xml:space="preserve"> provide the </w:t>
      </w:r>
      <w:r w:rsidR="00952C82">
        <w:t>sector</w:t>
      </w:r>
      <w:r w:rsidR="00924C5A">
        <w:t xml:space="preserve"> with a national standard for measuring emissions. </w:t>
      </w:r>
      <w:r w:rsidR="00A12ABB">
        <w:t xml:space="preserve">Including agricultural emissions under the reporting scheme </w:t>
      </w:r>
      <w:r>
        <w:t>w</w:t>
      </w:r>
      <w:r w:rsidR="00ED6FBA">
        <w:t>ould</w:t>
      </w:r>
      <w:r>
        <w:t xml:space="preserve"> </w:t>
      </w:r>
      <w:r w:rsidR="00A12ABB">
        <w:t xml:space="preserve">support the red meat industry in meeting </w:t>
      </w:r>
      <w:r w:rsidR="00D07634">
        <w:t>its</w:t>
      </w:r>
      <w:r w:rsidR="00A12ABB">
        <w:t xml:space="preserve"> carbon neutral target and </w:t>
      </w:r>
      <w:r w:rsidR="00952C82">
        <w:t xml:space="preserve">help the entire sector track towards carbon neutrality. It will also </w:t>
      </w:r>
      <w:r w:rsidR="00A12ABB">
        <w:t xml:space="preserve">provide confidence in industry statements by providing evidence of emissions levels using a consistent measurement approach. </w:t>
      </w:r>
      <w:r w:rsidR="00924C5A">
        <w:t xml:space="preserve">Measurement and reporting of greenhouse gas emissions is also </w:t>
      </w:r>
      <w:r w:rsidR="00BD1DA0">
        <w:t xml:space="preserve">used by </w:t>
      </w:r>
      <w:r w:rsidR="00D07634">
        <w:t>companies</w:t>
      </w:r>
      <w:r w:rsidR="00BD1DA0">
        <w:t xml:space="preserve"> to demonstrate their </w:t>
      </w:r>
      <w:r w:rsidR="00D07634">
        <w:t xml:space="preserve">sustainability credentials </w:t>
      </w:r>
      <w:r w:rsidR="00ED6FBA">
        <w:t xml:space="preserve">and </w:t>
      </w:r>
      <w:r w:rsidR="001706F1">
        <w:t>inform</w:t>
      </w:r>
      <w:r w:rsidR="00924C5A">
        <w:t xml:space="preserve"> climate risk assessments of themselves and related </w:t>
      </w:r>
      <w:r w:rsidR="00184249">
        <w:t>companies</w:t>
      </w:r>
      <w:r w:rsidR="00924C5A">
        <w:t>.</w:t>
      </w:r>
      <w:r w:rsidR="00167F98">
        <w:t xml:space="preserve"> Finally, a nationally consistent approach to measuring agricultural emissions </w:t>
      </w:r>
      <w:r w:rsidR="0097377F">
        <w:t>could</w:t>
      </w:r>
      <w:r w:rsidR="00167F98">
        <w:t xml:space="preserve"> be used as the basis for develop</w:t>
      </w:r>
      <w:r w:rsidR="0097377F">
        <w:t>ing</w:t>
      </w:r>
      <w:r w:rsidR="00167F98">
        <w:t xml:space="preserve"> a farm-based measurement </w:t>
      </w:r>
      <w:r w:rsidR="00167F98" w:rsidRPr="00681041">
        <w:t>tool the</w:t>
      </w:r>
      <w:r w:rsidR="00167F98">
        <w:t xml:space="preserve"> Authority has previously recommended</w:t>
      </w:r>
      <w:r w:rsidR="0012775C">
        <w:t xml:space="preserve"> (</w:t>
      </w:r>
      <w:r w:rsidR="006F3044">
        <w:t>CCA</w:t>
      </w:r>
      <w:r w:rsidR="0012775C">
        <w:t xml:space="preserve"> 2018)</w:t>
      </w:r>
      <w:r w:rsidR="00167F98">
        <w:t>.</w:t>
      </w:r>
    </w:p>
    <w:p w14:paraId="088D37FF" w14:textId="77777777" w:rsidR="00A12ABB" w:rsidRPr="00212386" w:rsidRDefault="00A12ABB">
      <w:pPr>
        <w:pStyle w:val="CCABodytext"/>
      </w:pPr>
      <w:r>
        <w:t xml:space="preserve">The Authority </w:t>
      </w:r>
      <w:r w:rsidR="00E111B6">
        <w:t>understands estimating agricultural emissions</w:t>
      </w:r>
      <w:r w:rsidR="0097377F">
        <w:t xml:space="preserve"> at the </w:t>
      </w:r>
      <w:r w:rsidR="00BC477F">
        <w:t xml:space="preserve">company </w:t>
      </w:r>
      <w:r w:rsidR="0097377F">
        <w:t>level</w:t>
      </w:r>
      <w:r w:rsidR="00E111B6">
        <w:t xml:space="preserve">, using an approach consistent with Australia’s national greenhouse </w:t>
      </w:r>
      <w:r w:rsidR="000649B0">
        <w:t xml:space="preserve">gas </w:t>
      </w:r>
      <w:r w:rsidR="00E111B6">
        <w:t xml:space="preserve">inventory, is possible using information already held by most agricultural producers </w:t>
      </w:r>
      <w:r w:rsidR="009F0708">
        <w:t xml:space="preserve">(Eckard </w:t>
      </w:r>
      <w:r w:rsidR="00E111B6">
        <w:t>pers</w:t>
      </w:r>
      <w:r w:rsidR="00BE54E3">
        <w:t>.</w:t>
      </w:r>
      <w:r w:rsidR="00E111B6">
        <w:t xml:space="preserve"> comm</w:t>
      </w:r>
      <w:r w:rsidR="00BE54E3">
        <w:t>.</w:t>
      </w:r>
      <w:r w:rsidR="009F0708">
        <w:t>)</w:t>
      </w:r>
      <w:r>
        <w:t xml:space="preserve">. The Authority therefore </w:t>
      </w:r>
      <w:r w:rsidR="00D07634">
        <w:t xml:space="preserve">considers </w:t>
      </w:r>
      <w:r>
        <w:t xml:space="preserve">the National Greenhouse and Energy Reporting scheme should be extended to cover </w:t>
      </w:r>
      <w:r w:rsidRPr="00212386">
        <w:t>emissions arising from agricultural sources. The Authority is of the view that emissions from agricultural sources should be treated consistent</w:t>
      </w:r>
      <w:r w:rsidR="00D07634">
        <w:t>ly</w:t>
      </w:r>
      <w:r w:rsidRPr="00212386">
        <w:t xml:space="preserve"> with other emissions sources. </w:t>
      </w:r>
      <w:r w:rsidR="00D07634">
        <w:t>The t</w:t>
      </w:r>
      <w:r w:rsidRPr="00212386">
        <w:t xml:space="preserve">ransition towards an expanded reporting scheme </w:t>
      </w:r>
      <w:r w:rsidR="0097377F" w:rsidRPr="00212386">
        <w:t>could be achieved by</w:t>
      </w:r>
      <w:r w:rsidRPr="00212386">
        <w:t xml:space="preserve"> extend</w:t>
      </w:r>
      <w:r w:rsidR="0097377F" w:rsidRPr="00212386">
        <w:t>ing</w:t>
      </w:r>
      <w:r w:rsidRPr="00212386">
        <w:t xml:space="preserve"> the measurement determination to agricultural emissions sources and allow reporting on an opt-in voluntary basis.</w:t>
      </w:r>
      <w:r w:rsidR="00EB2D45" w:rsidRPr="00212386">
        <w:t xml:space="preserve"> </w:t>
      </w:r>
    </w:p>
    <w:p w14:paraId="2CA9E304" w14:textId="0B0EB202" w:rsidR="001E5C86" w:rsidRDefault="00A12ABB" w:rsidP="00A12ABB">
      <w:pPr>
        <w:pStyle w:val="CCABodytext"/>
      </w:pPr>
      <w:r w:rsidRPr="00212386">
        <w:t xml:space="preserve">The Authority </w:t>
      </w:r>
      <w:r w:rsidR="00C52583" w:rsidRPr="00212386">
        <w:t>therefore</w:t>
      </w:r>
      <w:r w:rsidRPr="00212386">
        <w:t xml:space="preserve"> recommends the Department </w:t>
      </w:r>
      <w:r w:rsidR="001605E2" w:rsidRPr="00212386">
        <w:t xml:space="preserve">work with industry to update the measurement determination to </w:t>
      </w:r>
      <w:r w:rsidRPr="00212386">
        <w:t>includ</w:t>
      </w:r>
      <w:r w:rsidR="001605E2" w:rsidRPr="00212386">
        <w:t>e</w:t>
      </w:r>
      <w:r w:rsidRPr="00212386">
        <w:t xml:space="preserve"> agricultural emissions </w:t>
      </w:r>
      <w:r w:rsidR="001605E2" w:rsidRPr="00212386">
        <w:t>within two years</w:t>
      </w:r>
      <w:r w:rsidR="00EB2D45" w:rsidRPr="00212386">
        <w:t xml:space="preserve"> and consider the feasibility of including </w:t>
      </w:r>
      <w:r w:rsidR="006A602C">
        <w:t xml:space="preserve">other land based activities, such as </w:t>
      </w:r>
      <w:r w:rsidR="00EB2D45" w:rsidRPr="00212386">
        <w:t>on-farm sequestration</w:t>
      </w:r>
      <w:r w:rsidR="001605E2" w:rsidRPr="00212386">
        <w:t xml:space="preserve">. </w:t>
      </w:r>
      <w:r w:rsidR="004232B0" w:rsidRPr="00212386">
        <w:t xml:space="preserve">Once developed, agricultural emissions will be able to be reported on a voluntary basis, with a review of </w:t>
      </w:r>
      <w:r w:rsidR="001706F1">
        <w:t xml:space="preserve">this </w:t>
      </w:r>
      <w:r w:rsidR="004232B0" w:rsidRPr="00212386">
        <w:t>reporting after five years</w:t>
      </w:r>
      <w:r w:rsidRPr="00212386">
        <w:t>.</w:t>
      </w:r>
      <w:r w:rsidR="006A602C">
        <w:t xml:space="preserve"> </w:t>
      </w:r>
    </w:p>
    <w:tbl>
      <w:tblPr>
        <w:tblStyle w:val="TableGrid"/>
        <w:tblW w:w="0" w:type="auto"/>
        <w:tblInd w:w="284" w:type="dxa"/>
        <w:tblLook w:val="04A0" w:firstRow="1" w:lastRow="0" w:firstColumn="1" w:lastColumn="0" w:noHBand="0" w:noVBand="1"/>
      </w:tblPr>
      <w:tblGrid>
        <w:gridCol w:w="9781"/>
      </w:tblGrid>
      <w:tr w:rsidR="004032A3" w:rsidRPr="00155241" w14:paraId="470B977D"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0C76DED5" w14:textId="77777777" w:rsidR="004032A3" w:rsidRPr="00027FFA" w:rsidRDefault="004032A3" w:rsidP="004032A3">
            <w:pPr>
              <w:pStyle w:val="CCAForRheading"/>
            </w:pPr>
            <w:r>
              <w:t>Recommendation</w:t>
            </w:r>
          </w:p>
          <w:p w14:paraId="474F44B4" w14:textId="77777777" w:rsidR="004032A3" w:rsidRPr="00E45370" w:rsidRDefault="006C644B" w:rsidP="004032A3">
            <w:pPr>
              <w:pStyle w:val="CCARecommendation"/>
            </w:pPr>
            <w:r w:rsidRPr="00212386">
              <w:t>The</w:t>
            </w:r>
            <w:r w:rsidRPr="00212386" w:rsidDel="000649B0">
              <w:t xml:space="preserve"> </w:t>
            </w:r>
            <w:r w:rsidRPr="00212386">
              <w:t>Department amend the measurement determination, in consultation with industry, to include emissions from agricultural sources to allow reporting on a voluntary basis. Voluntary reporting of agricultural emissions should be reviewed after five years</w:t>
            </w:r>
            <w:r w:rsidR="004032A3" w:rsidRPr="00E45370">
              <w:t>.</w:t>
            </w:r>
          </w:p>
        </w:tc>
      </w:tr>
    </w:tbl>
    <w:p w14:paraId="22BF780B" w14:textId="77777777" w:rsidR="004032A3" w:rsidRDefault="004032A3" w:rsidP="004032A3">
      <w:pPr>
        <w:pStyle w:val="CCABodytext"/>
      </w:pPr>
    </w:p>
    <w:p w14:paraId="266D0B79" w14:textId="77777777" w:rsidR="004F1C8B" w:rsidRPr="00212386" w:rsidRDefault="004F1C8B" w:rsidP="006773C0">
      <w:pPr>
        <w:pStyle w:val="CCAHeading4"/>
      </w:pPr>
      <w:r w:rsidRPr="00212386">
        <w:t>Indirect greenhouse gases and black carbon</w:t>
      </w:r>
    </w:p>
    <w:p w14:paraId="405DF3C1" w14:textId="77777777" w:rsidR="004F1C8B" w:rsidRDefault="004F1C8B" w:rsidP="005047BA">
      <w:pPr>
        <w:pStyle w:val="CCABodytext"/>
      </w:pPr>
      <w:r w:rsidRPr="00212386">
        <w:rPr>
          <w:rFonts w:cs="Arial"/>
        </w:rPr>
        <w:t>Information on some indirect greenhouse gases (short-lived climate force</w:t>
      </w:r>
      <w:r w:rsidR="005047BA" w:rsidRPr="00212386">
        <w:rPr>
          <w:rFonts w:cs="Arial"/>
        </w:rPr>
        <w:t>r</w:t>
      </w:r>
      <w:r w:rsidRPr="00212386">
        <w:rPr>
          <w:rFonts w:cs="Arial"/>
        </w:rPr>
        <w:t xml:space="preserve">s) </w:t>
      </w:r>
      <w:r w:rsidR="002A7534">
        <w:rPr>
          <w:rFonts w:cs="Arial"/>
        </w:rPr>
        <w:t>is</w:t>
      </w:r>
      <w:r w:rsidRPr="00212386">
        <w:t xml:space="preserve"> currently reported in</w:t>
      </w:r>
      <w:r w:rsidRPr="006F1639">
        <w:t xml:space="preserve"> Australia’s national inventory, </w:t>
      </w:r>
      <w:r>
        <w:t xml:space="preserve">although they are </w:t>
      </w:r>
      <w:r w:rsidRPr="006F1639">
        <w:t xml:space="preserve">not </w:t>
      </w:r>
      <w:r>
        <w:t>part of emissions targets</w:t>
      </w:r>
      <w:r w:rsidRPr="006F1639">
        <w:t xml:space="preserve"> under the Kyoto Protocol</w:t>
      </w:r>
      <w:r>
        <w:t xml:space="preserve"> (</w:t>
      </w:r>
      <w:r w:rsidR="006F3044">
        <w:t>Commonwealth of Australia</w:t>
      </w:r>
      <w:r>
        <w:t xml:space="preserve"> 2018</w:t>
      </w:r>
      <w:r w:rsidR="006F3044">
        <w:t>b</w:t>
      </w:r>
      <w:r>
        <w:t>)</w:t>
      </w:r>
      <w:r w:rsidRPr="006F1639">
        <w:t>.</w:t>
      </w:r>
      <w:r w:rsidR="00652A1E">
        <w:rPr>
          <w:rStyle w:val="FootnoteReference"/>
        </w:rPr>
        <w:footnoteReference w:id="26"/>
      </w:r>
      <w:r w:rsidRPr="006F1639">
        <w:t xml:space="preserve"> The rules for the </w:t>
      </w:r>
      <w:r>
        <w:t xml:space="preserve">treatment of these gases under the </w:t>
      </w:r>
      <w:r w:rsidRPr="006F1639">
        <w:t>Paris Agreement are yet to be determined; however, the requirement to report on the</w:t>
      </w:r>
      <w:r>
        <w:t xml:space="preserve">m </w:t>
      </w:r>
      <w:r w:rsidRPr="006F1639">
        <w:t>is likely to continue (</w:t>
      </w:r>
      <w:r w:rsidR="009F0708">
        <w:t>IPCC</w:t>
      </w:r>
      <w:r w:rsidR="006F3044">
        <w:t xml:space="preserve"> TFI WGI</w:t>
      </w:r>
      <w:r w:rsidR="009F0708">
        <w:t xml:space="preserve"> 2018</w:t>
      </w:r>
      <w:r w:rsidRPr="006F1639">
        <w:t xml:space="preserve">). </w:t>
      </w:r>
    </w:p>
    <w:p w14:paraId="6F5D01EF" w14:textId="53F9F520" w:rsidR="004F1C8B" w:rsidRPr="006F1639" w:rsidRDefault="004F1C8B" w:rsidP="005047BA">
      <w:pPr>
        <w:pStyle w:val="CCABodytext"/>
      </w:pPr>
      <w:r>
        <w:t>Additionally, i</w:t>
      </w:r>
      <w:r w:rsidRPr="006F1639">
        <w:t xml:space="preserve">n 2016 Australia made a commitment to the Climate and Clean Air Coalition to develop a black </w:t>
      </w:r>
      <w:r>
        <w:rPr>
          <w:rFonts w:cs="Arial"/>
        </w:rPr>
        <w:t>carbon</w:t>
      </w:r>
      <w:r w:rsidRPr="006F1639">
        <w:t xml:space="preserve"> inventory and associated projections (</w:t>
      </w:r>
      <w:r w:rsidRPr="006F1639">
        <w:rPr>
          <w:rStyle w:val="RefChar"/>
        </w:rPr>
        <w:t>CCAC 2016</w:t>
      </w:r>
      <w:r w:rsidRPr="006F1639">
        <w:t>).</w:t>
      </w:r>
      <w:r w:rsidR="009E592F" w:rsidRPr="006F1639">
        <w:rPr>
          <w:rStyle w:val="FootnoteReference"/>
          <w:rFonts w:cs="Arial"/>
        </w:rPr>
        <w:footnoteReference w:id="27"/>
      </w:r>
      <w:r w:rsidRPr="006F1639">
        <w:t xml:space="preserve"> The Department </w:t>
      </w:r>
      <w:r>
        <w:t xml:space="preserve">will publish its </w:t>
      </w:r>
      <w:r w:rsidR="00BF0179">
        <w:t>first</w:t>
      </w:r>
      <w:r>
        <w:t xml:space="preserve"> black carbon inventory as part of Australia’s national inventory in 2019</w:t>
      </w:r>
      <w:r w:rsidRPr="006F1639">
        <w:t xml:space="preserve">. </w:t>
      </w:r>
      <w:r>
        <w:t>T</w:t>
      </w:r>
      <w:r w:rsidRPr="006F1639">
        <w:t>wo data sources</w:t>
      </w:r>
      <w:r>
        <w:t xml:space="preserve"> </w:t>
      </w:r>
      <w:r w:rsidR="009E592F">
        <w:t xml:space="preserve">will be </w:t>
      </w:r>
      <w:r>
        <w:t>used</w:t>
      </w:r>
      <w:r w:rsidRPr="006D4854">
        <w:t xml:space="preserve"> </w:t>
      </w:r>
      <w:r>
        <w:t xml:space="preserve">to compile </w:t>
      </w:r>
      <w:r w:rsidR="009E592F">
        <w:t>it</w:t>
      </w:r>
      <w:r w:rsidRPr="006F1639">
        <w:t>, the National Greenhouse and Energy Reporting scheme and the National Pollutant Inventory.</w:t>
      </w:r>
      <w:r>
        <w:t xml:space="preserve"> Both these schemes include data on emissions arising from fuel combustion activities (</w:t>
      </w:r>
      <w:r w:rsidR="00BE6E38">
        <w:t>S</w:t>
      </w:r>
      <w:r>
        <w:t xml:space="preserve">ection </w:t>
      </w:r>
      <w:r w:rsidR="004912D9">
        <w:fldChar w:fldCharType="begin"/>
      </w:r>
      <w:r w:rsidR="004912D9">
        <w:instrText xml:space="preserve"> REF _Ref529391826 \r \h </w:instrText>
      </w:r>
      <w:r w:rsidR="004912D9">
        <w:fldChar w:fldCharType="separate"/>
      </w:r>
      <w:r w:rsidR="009A203A">
        <w:t>4.1.1</w:t>
      </w:r>
      <w:r w:rsidR="004912D9">
        <w:fldChar w:fldCharType="end"/>
      </w:r>
      <w:r>
        <w:t>).</w:t>
      </w:r>
      <w:r w:rsidRPr="006F1639">
        <w:t xml:space="preserve"> </w:t>
      </w:r>
      <w:r w:rsidR="002A7534">
        <w:t xml:space="preserve">Neither </w:t>
      </w:r>
      <w:r w:rsidRPr="006F1639">
        <w:t xml:space="preserve">framework </w:t>
      </w:r>
      <w:r w:rsidR="002A7534">
        <w:t xml:space="preserve">currently </w:t>
      </w:r>
      <w:r w:rsidRPr="006F1639">
        <w:t>provide</w:t>
      </w:r>
      <w:r w:rsidR="002A7534">
        <w:t>s</w:t>
      </w:r>
      <w:r w:rsidRPr="006F1639">
        <w:t xml:space="preserve"> a </w:t>
      </w:r>
      <w:r>
        <w:t>complete</w:t>
      </w:r>
      <w:r w:rsidRPr="006F1639">
        <w:t xml:space="preserve"> inventory of black carbon emissions. </w:t>
      </w:r>
    </w:p>
    <w:p w14:paraId="5E203152" w14:textId="77777777" w:rsidR="004F1C8B" w:rsidRDefault="004F1C8B" w:rsidP="005047BA">
      <w:pPr>
        <w:pStyle w:val="CCABodytext"/>
        <w:rPr>
          <w:rFonts w:cs="Arial"/>
        </w:rPr>
      </w:pPr>
      <w:r w:rsidRPr="006F1639">
        <w:rPr>
          <w:rFonts w:cs="Arial"/>
        </w:rPr>
        <w:t xml:space="preserve">The discussion paper released </w:t>
      </w:r>
      <w:r>
        <w:rPr>
          <w:rFonts w:cs="Arial"/>
        </w:rPr>
        <w:t xml:space="preserve">for the </w:t>
      </w:r>
      <w:r w:rsidR="009E592F">
        <w:rPr>
          <w:rFonts w:cs="Arial"/>
        </w:rPr>
        <w:t>2018</w:t>
      </w:r>
      <w:r w:rsidRPr="006F1639">
        <w:rPr>
          <w:rFonts w:cs="Arial"/>
        </w:rPr>
        <w:t xml:space="preserve"> review of the National Pollutant Inventory noted there are </w:t>
      </w:r>
      <w:r>
        <w:rPr>
          <w:rFonts w:cs="Arial"/>
        </w:rPr>
        <w:t xml:space="preserve">some perceived </w:t>
      </w:r>
      <w:r w:rsidRPr="006F1639">
        <w:rPr>
          <w:rFonts w:cs="Arial"/>
        </w:rPr>
        <w:t xml:space="preserve">concerns around the accuracy and reliability of </w:t>
      </w:r>
      <w:r>
        <w:rPr>
          <w:rFonts w:cs="Arial"/>
        </w:rPr>
        <w:t>air emissions</w:t>
      </w:r>
      <w:r w:rsidRPr="006F1639">
        <w:rPr>
          <w:rFonts w:cs="Arial"/>
        </w:rPr>
        <w:t xml:space="preserve"> data</w:t>
      </w:r>
      <w:r>
        <w:rPr>
          <w:rFonts w:cs="Arial"/>
        </w:rPr>
        <w:t xml:space="preserve"> </w:t>
      </w:r>
      <w:r w:rsidR="00BF0179">
        <w:rPr>
          <w:rFonts w:cs="Arial"/>
        </w:rPr>
        <w:t xml:space="preserve">from </w:t>
      </w:r>
      <w:r>
        <w:rPr>
          <w:rFonts w:cs="Arial"/>
        </w:rPr>
        <w:t>the pollutant inventory</w:t>
      </w:r>
      <w:r w:rsidRPr="006F1639">
        <w:rPr>
          <w:rFonts w:cs="Arial"/>
        </w:rPr>
        <w:t xml:space="preserve">. </w:t>
      </w:r>
      <w:r>
        <w:rPr>
          <w:rFonts w:cs="Arial"/>
        </w:rPr>
        <w:t>The reasons for this include</w:t>
      </w:r>
      <w:r w:rsidR="001435B2">
        <w:rPr>
          <w:rFonts w:cs="Arial"/>
        </w:rPr>
        <w:t xml:space="preserve"> that</w:t>
      </w:r>
      <w:r>
        <w:rPr>
          <w:rFonts w:cs="Arial"/>
        </w:rPr>
        <w:t xml:space="preserve"> methods for estimating pollutants are not routinely updated or </w:t>
      </w:r>
      <w:r w:rsidR="009E592F">
        <w:rPr>
          <w:rFonts w:cs="Arial"/>
        </w:rPr>
        <w:t xml:space="preserve">are </w:t>
      </w:r>
      <w:r>
        <w:rPr>
          <w:rFonts w:cs="Arial"/>
        </w:rPr>
        <w:t>inconsistently applied (</w:t>
      </w:r>
      <w:r w:rsidR="006F3044">
        <w:rPr>
          <w:rFonts w:cs="Arial"/>
        </w:rPr>
        <w:t>Commonwealth of Australia</w:t>
      </w:r>
      <w:r>
        <w:rPr>
          <w:rFonts w:cs="Arial"/>
        </w:rPr>
        <w:t xml:space="preserve"> 2018</w:t>
      </w:r>
      <w:r w:rsidR="006F3044">
        <w:rPr>
          <w:rFonts w:cs="Arial"/>
        </w:rPr>
        <w:t>c</w:t>
      </w:r>
      <w:r>
        <w:rPr>
          <w:rFonts w:cs="Arial"/>
        </w:rPr>
        <w:t>). Any potential data</w:t>
      </w:r>
      <w:r w:rsidRPr="006F1639">
        <w:rPr>
          <w:rFonts w:cs="Arial"/>
        </w:rPr>
        <w:t xml:space="preserve"> accuracy </w:t>
      </w:r>
      <w:r>
        <w:rPr>
          <w:rFonts w:cs="Arial"/>
        </w:rPr>
        <w:t>issues</w:t>
      </w:r>
      <w:r w:rsidRPr="006F1639">
        <w:rPr>
          <w:rFonts w:cs="Arial"/>
        </w:rPr>
        <w:t xml:space="preserve"> flowing from the pollutant inventory may negatively affect Australia’s ability to </w:t>
      </w:r>
      <w:r>
        <w:rPr>
          <w:rFonts w:cs="Arial"/>
        </w:rPr>
        <w:t>estimate</w:t>
      </w:r>
      <w:r w:rsidRPr="006F1639">
        <w:rPr>
          <w:rFonts w:cs="Arial"/>
        </w:rPr>
        <w:t xml:space="preserve"> and track black carbon and other indirect greenhouse gas emissions</w:t>
      </w:r>
      <w:r>
        <w:rPr>
          <w:rFonts w:cs="Arial"/>
        </w:rPr>
        <w:t xml:space="preserve"> in the future</w:t>
      </w:r>
      <w:r w:rsidRPr="006F1639">
        <w:rPr>
          <w:rFonts w:cs="Arial"/>
        </w:rPr>
        <w:t>.</w:t>
      </w:r>
    </w:p>
    <w:p w14:paraId="14110E9A" w14:textId="77777777" w:rsidR="00C41D2F" w:rsidRDefault="004F1C8B" w:rsidP="005047BA">
      <w:pPr>
        <w:pStyle w:val="CCABodytext"/>
      </w:pPr>
      <w:r w:rsidRPr="006F1639">
        <w:t>There may be an opportunity to extend the National Greenhouse and Energy Reporting scheme to include these substances</w:t>
      </w:r>
      <w:r>
        <w:t>, given fuel combustion activities are already reported under the scheme</w:t>
      </w:r>
      <w:r w:rsidRPr="006F1639">
        <w:t>.</w:t>
      </w:r>
      <w:r>
        <w:t xml:space="preserve"> In some cases, such as reporting on carbon monoxide, no further data would need to be collected by report</w:t>
      </w:r>
      <w:r w:rsidR="00FB47A6">
        <w:t>ers</w:t>
      </w:r>
      <w:r>
        <w:t xml:space="preserve">. </w:t>
      </w:r>
    </w:p>
    <w:p w14:paraId="6D69EE6D" w14:textId="77777777" w:rsidR="004032A3" w:rsidRPr="00C805C3" w:rsidRDefault="004F1C8B" w:rsidP="004032A3">
      <w:pPr>
        <w:pStyle w:val="CCABodytext"/>
      </w:pPr>
      <w:r w:rsidRPr="006F1639">
        <w:rPr>
          <w:rFonts w:cs="Arial"/>
        </w:rPr>
        <w:t xml:space="preserve">The Authority </w:t>
      </w:r>
      <w:r>
        <w:rPr>
          <w:rFonts w:cs="Arial"/>
        </w:rPr>
        <w:t xml:space="preserve">is of the view </w:t>
      </w:r>
      <w:r w:rsidRPr="006F1639">
        <w:rPr>
          <w:rFonts w:cs="Arial"/>
        </w:rPr>
        <w:t>that to future</w:t>
      </w:r>
      <w:r w:rsidR="007261D9">
        <w:rPr>
          <w:rFonts w:cs="Arial"/>
        </w:rPr>
        <w:t>-</w:t>
      </w:r>
      <w:r w:rsidRPr="006F1639">
        <w:rPr>
          <w:rFonts w:cs="Arial"/>
        </w:rPr>
        <w:t>proof the reporting scheme for these climate reporting requirements, the Department should consider ways to improve the quality of the data collected on aerosols and indirect greenhouse gases (including black carbon)</w:t>
      </w:r>
      <w:r w:rsidR="00C41D2F">
        <w:rPr>
          <w:rFonts w:cs="Arial"/>
        </w:rPr>
        <w:t>. This could include</w:t>
      </w:r>
      <w:r>
        <w:rPr>
          <w:rFonts w:cs="Arial"/>
        </w:rPr>
        <w:t xml:space="preserve"> examining </w:t>
      </w:r>
      <w:r w:rsidRPr="00212386">
        <w:rPr>
          <w:rFonts w:cs="Arial"/>
        </w:rPr>
        <w:t xml:space="preserve">opportunities to </w:t>
      </w:r>
      <w:r w:rsidR="00EB73B4" w:rsidRPr="00212386">
        <w:rPr>
          <w:rFonts w:cs="Arial"/>
        </w:rPr>
        <w:t xml:space="preserve">report this data in the </w:t>
      </w:r>
      <w:r w:rsidR="00CD23FE">
        <w:rPr>
          <w:rFonts w:cs="Arial"/>
        </w:rPr>
        <w:t>reporting scheme</w:t>
      </w:r>
      <w:r w:rsidRPr="00212386">
        <w:rPr>
          <w:rFonts w:cs="Arial"/>
        </w:rPr>
        <w:t>.</w:t>
      </w:r>
    </w:p>
    <w:tbl>
      <w:tblPr>
        <w:tblStyle w:val="TableGrid"/>
        <w:tblW w:w="0" w:type="auto"/>
        <w:tblInd w:w="284" w:type="dxa"/>
        <w:tblLook w:val="04A0" w:firstRow="1" w:lastRow="0" w:firstColumn="1" w:lastColumn="0" w:noHBand="0" w:noVBand="1"/>
      </w:tblPr>
      <w:tblGrid>
        <w:gridCol w:w="9781"/>
      </w:tblGrid>
      <w:tr w:rsidR="004032A3" w:rsidRPr="00155241" w14:paraId="2AECEC9C"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13ECCC8D" w14:textId="77777777" w:rsidR="004032A3" w:rsidRPr="00027FFA" w:rsidRDefault="004032A3" w:rsidP="004032A3">
            <w:pPr>
              <w:pStyle w:val="CCAForRheading"/>
            </w:pPr>
            <w:r>
              <w:t>Recommendation</w:t>
            </w:r>
          </w:p>
          <w:p w14:paraId="7E7007EC" w14:textId="77777777" w:rsidR="004032A3" w:rsidRPr="00E45370" w:rsidRDefault="006C644B" w:rsidP="004032A3">
            <w:pPr>
              <w:pStyle w:val="CCARecommendation"/>
            </w:pPr>
            <w:r w:rsidRPr="00212386">
              <w:t>The</w:t>
            </w:r>
            <w:r w:rsidRPr="00212386" w:rsidDel="009E592F">
              <w:t xml:space="preserve"> </w:t>
            </w:r>
            <w:r w:rsidRPr="00212386">
              <w:t>Department examine opportunities to improve the quality of data available on aerosols and indirect greenhouse gases (including black carbon) by assessing the merits of including these substances in the reporting scheme</w:t>
            </w:r>
            <w:r w:rsidR="004032A3" w:rsidRPr="00E45370">
              <w:t>.</w:t>
            </w:r>
          </w:p>
        </w:tc>
      </w:tr>
    </w:tbl>
    <w:p w14:paraId="5E3DEA85" w14:textId="77777777" w:rsidR="004032A3" w:rsidRDefault="004032A3" w:rsidP="004032A3">
      <w:pPr>
        <w:pStyle w:val="CCABodytext"/>
      </w:pPr>
    </w:p>
    <w:p w14:paraId="085AE5F5" w14:textId="77777777" w:rsidR="00A12ABB" w:rsidRPr="00212386" w:rsidRDefault="00B37FEC" w:rsidP="00C813C5">
      <w:pPr>
        <w:pStyle w:val="CCAHeading3"/>
      </w:pPr>
      <w:r w:rsidRPr="00212386">
        <w:t>Government agencies and local councils</w:t>
      </w:r>
    </w:p>
    <w:p w14:paraId="2234A23A" w14:textId="77777777" w:rsidR="000F626C" w:rsidRPr="00212386" w:rsidRDefault="00A12ABB" w:rsidP="000F626C">
      <w:pPr>
        <w:pStyle w:val="CCABodytext"/>
      </w:pPr>
      <w:r w:rsidRPr="00212386">
        <w:t xml:space="preserve">The reporting scheme places obligations on </w:t>
      </w:r>
      <w:r w:rsidR="00307051" w:rsidRPr="00212386">
        <w:t xml:space="preserve">constitutional </w:t>
      </w:r>
      <w:r w:rsidRPr="00212386">
        <w:t xml:space="preserve">corporations to report energy and emissions. </w:t>
      </w:r>
      <w:r w:rsidR="004F3D24" w:rsidRPr="00212386">
        <w:t>This excludes other types of legal entities including most government agencies and local councils.</w:t>
      </w:r>
      <w:r w:rsidR="00D519E8" w:rsidRPr="00212386">
        <w:t xml:space="preserve"> </w:t>
      </w:r>
      <w:r w:rsidR="000F626C" w:rsidRPr="00212386">
        <w:t xml:space="preserve">A few state government agencies classified as </w:t>
      </w:r>
      <w:r w:rsidR="00952401">
        <w:t xml:space="preserve">constitutional </w:t>
      </w:r>
      <w:r w:rsidR="000F626C" w:rsidRPr="00212386">
        <w:t>corporations, such as state</w:t>
      </w:r>
      <w:r w:rsidR="00266284">
        <w:t>-</w:t>
      </w:r>
      <w:r w:rsidR="000F626C" w:rsidRPr="00212386">
        <w:t xml:space="preserve">owned electricity generators or hospitals, currently report under the reporting scheme. Due to the nature of their governance and operations, seven local councils </w:t>
      </w:r>
      <w:r w:rsidR="00C36BEC">
        <w:t xml:space="preserve">are also considered to be </w:t>
      </w:r>
      <w:r w:rsidR="00BC477F">
        <w:t xml:space="preserve">constitutional </w:t>
      </w:r>
      <w:r w:rsidR="00C36BEC">
        <w:t>corporations and therefore</w:t>
      </w:r>
      <w:r w:rsidR="000F626C" w:rsidRPr="00212386">
        <w:t xml:space="preserve"> report under the scheme.</w:t>
      </w:r>
    </w:p>
    <w:p w14:paraId="584043B7" w14:textId="3339DFE1" w:rsidR="000F626C" w:rsidRPr="00212386" w:rsidRDefault="000F626C" w:rsidP="000F626C">
      <w:pPr>
        <w:pStyle w:val="CCABodytext"/>
      </w:pPr>
      <w:r w:rsidRPr="00212386">
        <w:t xml:space="preserve">The </w:t>
      </w:r>
      <w:r w:rsidR="00CF750E">
        <w:t>Australian</w:t>
      </w:r>
      <w:r w:rsidRPr="00212386">
        <w:t xml:space="preserve">, Australian Capital Territory, New South Wales and Western Australian governments currently have their own programs for reporting on emissions and energy use for some or all government operations. For example, </w:t>
      </w:r>
      <w:r w:rsidR="00A06A9F">
        <w:t>some</w:t>
      </w:r>
      <w:r w:rsidR="002B1759">
        <w:t xml:space="preserve"> </w:t>
      </w:r>
      <w:r w:rsidR="00746A82">
        <w:t>Australian</w:t>
      </w:r>
      <w:r w:rsidRPr="00212386">
        <w:t xml:space="preserve"> </w:t>
      </w:r>
      <w:r w:rsidR="00312BF2">
        <w:t>G</w:t>
      </w:r>
      <w:r w:rsidR="00312BF2" w:rsidRPr="00212386">
        <w:t>overnment</w:t>
      </w:r>
      <w:r w:rsidRPr="00212386">
        <w:t xml:space="preserve"> agencies </w:t>
      </w:r>
      <w:r w:rsidR="002B1759">
        <w:t xml:space="preserve">report on emissions and energy in their annual reports as part of their response to </w:t>
      </w:r>
      <w:r w:rsidRPr="00212386">
        <w:t xml:space="preserve">Section 516A of the </w:t>
      </w:r>
      <w:r w:rsidRPr="00212386">
        <w:rPr>
          <w:i/>
        </w:rPr>
        <w:t>Environment Protection and Biodiversity Conservation Act 1999</w:t>
      </w:r>
      <w:r w:rsidR="006F3044">
        <w:rPr>
          <w:i/>
        </w:rPr>
        <w:t xml:space="preserve"> </w:t>
      </w:r>
      <w:r w:rsidR="006F3044" w:rsidRPr="006C0ABD">
        <w:t>(Cth</w:t>
      </w:r>
      <w:r w:rsidRPr="00CF750E" w:rsidDel="002B1759">
        <w:t>)</w:t>
      </w:r>
      <w:r w:rsidRPr="00212386">
        <w:t>. The Act</w:t>
      </w:r>
      <w:r w:rsidR="002B1759">
        <w:t xml:space="preserve"> requires reporting on </w:t>
      </w:r>
      <w:r w:rsidR="002B1759" w:rsidRPr="00212386">
        <w:t>ecologically sustainable development and environmental performance</w:t>
      </w:r>
      <w:r w:rsidRPr="00212386">
        <w:t>, however</w:t>
      </w:r>
      <w:r w:rsidR="00C151F2">
        <w:t xml:space="preserve"> it</w:t>
      </w:r>
      <w:r w:rsidRPr="00212386">
        <w:t xml:space="preserve"> provides flexibility </w:t>
      </w:r>
      <w:r w:rsidR="00A06A9F">
        <w:t>o</w:t>
      </w:r>
      <w:r w:rsidRPr="00212386">
        <w:t>n what and how agencies report, meaning data cannot necessarily be aggregated or compared</w:t>
      </w:r>
      <w:r w:rsidR="0047013E" w:rsidRPr="00212386">
        <w:t xml:space="preserve">. Five councils currently </w:t>
      </w:r>
      <w:r w:rsidR="00652A1E">
        <w:t xml:space="preserve">also </w:t>
      </w:r>
      <w:r w:rsidR="0047013E" w:rsidRPr="00212386">
        <w:t>report under the National Carbon Offset Standard (DoEE</w:t>
      </w:r>
      <w:r w:rsidR="006F3044">
        <w:t xml:space="preserve"> n.d.a)</w:t>
      </w:r>
      <w:r w:rsidR="0047013E" w:rsidRPr="00212386">
        <w:t>.</w:t>
      </w:r>
      <w:r w:rsidRPr="00212386">
        <w:t xml:space="preserve"> </w:t>
      </w:r>
    </w:p>
    <w:p w14:paraId="3472A99C" w14:textId="77777777" w:rsidR="004F3D24" w:rsidRPr="00212386" w:rsidRDefault="004F3D24" w:rsidP="004F3D24">
      <w:pPr>
        <w:pStyle w:val="CCABodytext"/>
      </w:pPr>
      <w:r w:rsidRPr="00212386">
        <w:t xml:space="preserve">In </w:t>
      </w:r>
      <w:r w:rsidR="001435B2">
        <w:t>its</w:t>
      </w:r>
      <w:r w:rsidRPr="00212386">
        <w:t xml:space="preserve"> submission on this review, the National Waste and Recycling Industry Council called for the reporting scheme to be expanded to local councils so that privately and government-owned landfills are subject to the same requirements and </w:t>
      </w:r>
      <w:r w:rsidR="00307051" w:rsidRPr="00212386">
        <w:t xml:space="preserve">to </w:t>
      </w:r>
      <w:r w:rsidRPr="00212386">
        <w:t xml:space="preserve">increase data availability. </w:t>
      </w:r>
      <w:r w:rsidR="00647AD6" w:rsidRPr="00212386">
        <w:t>Further, t</w:t>
      </w:r>
      <w:r w:rsidR="00780A53" w:rsidRPr="00212386">
        <w:t xml:space="preserve">he Authority heard </w:t>
      </w:r>
      <w:r w:rsidR="00647AD6" w:rsidRPr="00212386">
        <w:t xml:space="preserve">from some state </w:t>
      </w:r>
      <w:r w:rsidR="00D519E8" w:rsidRPr="00212386">
        <w:t>government</w:t>
      </w:r>
      <w:r w:rsidR="00647AD6" w:rsidRPr="00212386">
        <w:t xml:space="preserve"> </w:t>
      </w:r>
      <w:r w:rsidR="00D519E8" w:rsidRPr="00212386">
        <w:t xml:space="preserve">officials </w:t>
      </w:r>
      <w:r w:rsidR="00652A1E">
        <w:t xml:space="preserve">that </w:t>
      </w:r>
      <w:r w:rsidR="00780A53" w:rsidRPr="00212386">
        <w:t>report</w:t>
      </w:r>
      <w:r w:rsidR="00D519E8" w:rsidRPr="00212386">
        <w:t>ing</w:t>
      </w:r>
      <w:r w:rsidR="00647AD6" w:rsidRPr="00212386">
        <w:t xml:space="preserve"> </w:t>
      </w:r>
      <w:r w:rsidR="00780A53" w:rsidRPr="00212386">
        <w:t xml:space="preserve">would </w:t>
      </w:r>
      <w:r w:rsidR="00647AD6" w:rsidRPr="00212386">
        <w:t xml:space="preserve">enable benchmarking of their </w:t>
      </w:r>
      <w:r w:rsidR="00D519E8" w:rsidRPr="00212386">
        <w:t xml:space="preserve">operations such as </w:t>
      </w:r>
      <w:r w:rsidR="00647AD6" w:rsidRPr="00212386">
        <w:t>hospitals and schools</w:t>
      </w:r>
      <w:r w:rsidR="00780A53" w:rsidRPr="00212386">
        <w:t xml:space="preserve">.  </w:t>
      </w:r>
    </w:p>
    <w:p w14:paraId="2DE18F41" w14:textId="77777777" w:rsidR="00CF557A" w:rsidRDefault="00780A53" w:rsidP="000D5FAE">
      <w:pPr>
        <w:pStyle w:val="CCABodytext"/>
      </w:pPr>
      <w:r w:rsidRPr="00212386">
        <w:t xml:space="preserve">The Authority is of the view </w:t>
      </w:r>
      <w:r w:rsidR="000E775F" w:rsidRPr="00681041">
        <w:t>that</w:t>
      </w:r>
      <w:r w:rsidR="000E775F">
        <w:t xml:space="preserve"> </w:t>
      </w:r>
      <w:r w:rsidRPr="00212386">
        <w:t>exp</w:t>
      </w:r>
      <w:r w:rsidR="000D5FAE" w:rsidRPr="00212386">
        <w:t>anding the reporting scheme to g</w:t>
      </w:r>
      <w:r w:rsidRPr="00212386">
        <w:t xml:space="preserve">overnment agencies and local councils </w:t>
      </w:r>
      <w:r w:rsidR="00336130" w:rsidRPr="00212386">
        <w:t xml:space="preserve">that exceed the reporting thresholds </w:t>
      </w:r>
      <w:r w:rsidRPr="00212386">
        <w:t xml:space="preserve">would have </w:t>
      </w:r>
      <w:r w:rsidR="000D5FAE" w:rsidRPr="00212386">
        <w:t>benefits</w:t>
      </w:r>
      <w:r w:rsidRPr="00212386">
        <w:t xml:space="preserve"> including broader coverage and increased information </w:t>
      </w:r>
      <w:r w:rsidR="00F45416" w:rsidRPr="00212386">
        <w:t>availab</w:t>
      </w:r>
      <w:r w:rsidR="00F45416">
        <w:t>le</w:t>
      </w:r>
      <w:r w:rsidR="00F45416" w:rsidRPr="00212386">
        <w:t xml:space="preserve"> </w:t>
      </w:r>
      <w:r w:rsidRPr="00212386">
        <w:t>to support policy making (such as updating the National Waste Policy). It would also build on existing momentum in government action on climate change such as carbon neutral commitments by metropolitan councils and state government commitments to reduce government emissions.</w:t>
      </w:r>
      <w:r w:rsidR="00647AD6" w:rsidRPr="00212386">
        <w:t xml:space="preserve"> </w:t>
      </w:r>
    </w:p>
    <w:p w14:paraId="41417253" w14:textId="77777777" w:rsidR="00780A53" w:rsidRPr="00212386" w:rsidRDefault="00647AD6" w:rsidP="000D5FAE">
      <w:pPr>
        <w:pStyle w:val="CCABodytext"/>
      </w:pPr>
      <w:r w:rsidRPr="00212386">
        <w:t>If</w:t>
      </w:r>
      <w:r w:rsidRPr="00212386" w:rsidDel="00CF750E">
        <w:t xml:space="preserve"> </w:t>
      </w:r>
      <w:r w:rsidRPr="00212386">
        <w:t>government agencies were included in the reporting scheme</w:t>
      </w:r>
      <w:r w:rsidR="00F45416">
        <w:t>,</w:t>
      </w:r>
      <w:r w:rsidRPr="00212386">
        <w:t xml:space="preserve"> the common measurement approach may allow for efficiency comparisons across jurisdictions and between government and private industry. It would also ensure that government agency emissions and energy efficiency performance information </w:t>
      </w:r>
      <w:r w:rsidR="00336130" w:rsidRPr="00212386">
        <w:t>was</w:t>
      </w:r>
      <w:r w:rsidRPr="00212386">
        <w:t xml:space="preserve"> readily available to the public. An expanded reporting scheme that included government entities would remove the need for the current separate reporting arrangements</w:t>
      </w:r>
      <w:r w:rsidR="00336130" w:rsidRPr="00212386">
        <w:t xml:space="preserve"> for energy and emissions</w:t>
      </w:r>
      <w:r w:rsidRPr="00212386">
        <w:t xml:space="preserve">. </w:t>
      </w:r>
      <w:r w:rsidR="00780A53" w:rsidRPr="00212386">
        <w:t>However, expanding the reporting sch</w:t>
      </w:r>
      <w:r w:rsidRPr="00212386">
        <w:t xml:space="preserve">eme would impose </w:t>
      </w:r>
      <w:r w:rsidR="00780A53" w:rsidRPr="00212386">
        <w:t>additional cost</w:t>
      </w:r>
      <w:r w:rsidRPr="00212386">
        <w:t>s</w:t>
      </w:r>
      <w:r w:rsidR="00780A53" w:rsidRPr="00212386">
        <w:t xml:space="preserve"> on those not already reporting.</w:t>
      </w:r>
    </w:p>
    <w:p w14:paraId="06CBBF76" w14:textId="77777777" w:rsidR="00307051" w:rsidRPr="00212386" w:rsidRDefault="00307051" w:rsidP="00307051">
      <w:pPr>
        <w:pStyle w:val="CCABodytext"/>
      </w:pPr>
      <w:r w:rsidRPr="00212386">
        <w:t>If the reporting scheme were expanded to local councils, it is likely the reporting threshold would exclude smaller councils. It is unknown how many additional councils would be covered as there is a lack of data on those not already reporting</w:t>
      </w:r>
      <w:r w:rsidR="00652A1E">
        <w:t>. I</w:t>
      </w:r>
      <w:r w:rsidR="00647AD6" w:rsidRPr="00212386">
        <w:t>t is likely</w:t>
      </w:r>
      <w:r w:rsidR="00652A1E">
        <w:t xml:space="preserve">, however, that </w:t>
      </w:r>
      <w:r w:rsidR="00647AD6" w:rsidRPr="00212386">
        <w:t>it would include some not already reporting</w:t>
      </w:r>
      <w:r w:rsidRPr="00212386">
        <w:t>.</w:t>
      </w:r>
      <w:r w:rsidR="00647AD6" w:rsidRPr="00212386">
        <w:t xml:space="preserve"> For example, t</w:t>
      </w:r>
      <w:r w:rsidRPr="00212386">
        <w:t>he carbon pricing mechanism</w:t>
      </w:r>
      <w:r w:rsidR="00647AD6" w:rsidRPr="00212386">
        <w:t>, which applied</w:t>
      </w:r>
      <w:r w:rsidRPr="00212386">
        <w:t xml:space="preserve"> to </w:t>
      </w:r>
      <w:r w:rsidR="00647AD6" w:rsidRPr="00212386">
        <w:t>all legal entities</w:t>
      </w:r>
      <w:r w:rsidRPr="00212386">
        <w:t xml:space="preserve"> </w:t>
      </w:r>
      <w:r w:rsidR="00647AD6" w:rsidRPr="00212386">
        <w:t>with scope 1 emissions over 25</w:t>
      </w:r>
      <w:r w:rsidR="00D2710E">
        <w:t>,000</w:t>
      </w:r>
      <w:r w:rsidR="0065703D">
        <w:t> </w:t>
      </w:r>
      <w:r w:rsidR="00647AD6" w:rsidRPr="00212386">
        <w:t>t CO</w:t>
      </w:r>
      <w:r w:rsidR="00647AD6" w:rsidRPr="00212386">
        <w:rPr>
          <w:vertAlign w:val="subscript"/>
        </w:rPr>
        <w:t>2</w:t>
      </w:r>
      <w:r w:rsidR="00647AD6" w:rsidRPr="00212386">
        <w:t>-e</w:t>
      </w:r>
      <w:r w:rsidR="00D519E8" w:rsidRPr="00212386">
        <w:t xml:space="preserve"> per year</w:t>
      </w:r>
      <w:r w:rsidR="00647AD6" w:rsidRPr="00212386">
        <w:t xml:space="preserve">, covered 27 local councils. Expanding the reporting scheme to local councils would likely include a greater number than those covered by the carbon pricing mechanism as the reporting scheme also applies to energy use and scope 2 emissions. </w:t>
      </w:r>
    </w:p>
    <w:p w14:paraId="517CB528" w14:textId="3F4BE277" w:rsidR="004032A3" w:rsidRPr="00C805C3" w:rsidRDefault="000D5FAE" w:rsidP="004032A3">
      <w:pPr>
        <w:pStyle w:val="CCABodytext"/>
      </w:pPr>
      <w:r w:rsidRPr="00212386">
        <w:t xml:space="preserve">The Authority recommends the Department undertake analysis to determine which additional government agencies and local councils would be captured </w:t>
      </w:r>
      <w:r w:rsidR="000178EB" w:rsidRPr="00212386">
        <w:t>by an expanded reporting scheme</w:t>
      </w:r>
      <w:r w:rsidRPr="00212386">
        <w:t xml:space="preserve"> and what </w:t>
      </w:r>
      <w:r w:rsidR="00D519E8" w:rsidRPr="00212386">
        <w:t xml:space="preserve">the </w:t>
      </w:r>
      <w:r w:rsidRPr="00212386">
        <w:t xml:space="preserve">costs </w:t>
      </w:r>
      <w:r w:rsidR="00D519E8" w:rsidRPr="00212386">
        <w:t>and benefits of an expanded scheme would be</w:t>
      </w:r>
      <w:r w:rsidRPr="00212386">
        <w:t xml:space="preserve">. </w:t>
      </w:r>
      <w:r w:rsidR="00740A25" w:rsidRPr="00212386">
        <w:t xml:space="preserve">To </w:t>
      </w:r>
      <w:r w:rsidR="00EA5DB3">
        <w:t>alleviate concerns over</w:t>
      </w:r>
      <w:r w:rsidR="00740A25" w:rsidRPr="00212386">
        <w:t xml:space="preserve"> cost</w:t>
      </w:r>
      <w:r w:rsidR="00EA5DB3">
        <w:t>,</w:t>
      </w:r>
      <w:r w:rsidR="00740A25" w:rsidRPr="00212386">
        <w:t xml:space="preserve"> o</w:t>
      </w:r>
      <w:r w:rsidR="00A12ABB" w:rsidRPr="00212386">
        <w:t>ne option for transitioning may be to allow government</w:t>
      </w:r>
      <w:r w:rsidR="00336130" w:rsidRPr="00212386">
        <w:t xml:space="preserve"> agencie</w:t>
      </w:r>
      <w:r w:rsidR="00A12ABB" w:rsidRPr="00212386">
        <w:t>s</w:t>
      </w:r>
      <w:r w:rsidRPr="00212386">
        <w:t xml:space="preserve"> and local councils</w:t>
      </w:r>
      <w:r w:rsidR="00A12ABB" w:rsidRPr="00212386">
        <w:t xml:space="preserve"> to use the reporting scheme on a voluntary basis. Careful consideration would be needed to determine how the current definitions of facilities and controlling corporations would apply to government entities</w:t>
      </w:r>
      <w:r w:rsidRPr="00212386">
        <w:t>.</w:t>
      </w:r>
    </w:p>
    <w:tbl>
      <w:tblPr>
        <w:tblStyle w:val="TableGrid"/>
        <w:tblW w:w="0" w:type="auto"/>
        <w:tblInd w:w="284" w:type="dxa"/>
        <w:tblLook w:val="04A0" w:firstRow="1" w:lastRow="0" w:firstColumn="1" w:lastColumn="0" w:noHBand="0" w:noVBand="1"/>
      </w:tblPr>
      <w:tblGrid>
        <w:gridCol w:w="9781"/>
      </w:tblGrid>
      <w:tr w:rsidR="004032A3" w:rsidRPr="00155241" w14:paraId="66EE2A85"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383EAE93" w14:textId="77777777" w:rsidR="004032A3" w:rsidRPr="00027FFA" w:rsidRDefault="004032A3" w:rsidP="004032A3">
            <w:pPr>
              <w:pStyle w:val="CCAForRheading"/>
            </w:pPr>
            <w:r>
              <w:t>Recommendation</w:t>
            </w:r>
          </w:p>
          <w:p w14:paraId="57BC1E95" w14:textId="77777777" w:rsidR="004032A3" w:rsidRPr="00E45370" w:rsidRDefault="006C644B" w:rsidP="004032A3">
            <w:pPr>
              <w:pStyle w:val="CCARecommendation"/>
            </w:pPr>
            <w:r w:rsidRPr="00212386">
              <w:t>The</w:t>
            </w:r>
            <w:r w:rsidRPr="00212386" w:rsidDel="00652A1E">
              <w:t xml:space="preserve"> </w:t>
            </w:r>
            <w:r w:rsidRPr="00212386">
              <w:t xml:space="preserve">Department undertake analysis to determine whether the benefits of extending the reporting scheme to </w:t>
            </w:r>
            <w:r>
              <w:t>Australian</w:t>
            </w:r>
            <w:r w:rsidRPr="00212386">
              <w:t>, and state and territory government agencies and local councils exceed the costs (for those that do not currently report under the scheme)</w:t>
            </w:r>
            <w:r w:rsidR="004032A3" w:rsidRPr="00E45370">
              <w:t>.</w:t>
            </w:r>
          </w:p>
        </w:tc>
      </w:tr>
    </w:tbl>
    <w:p w14:paraId="59E21BD6" w14:textId="77777777" w:rsidR="004032A3" w:rsidRDefault="004032A3" w:rsidP="004032A3">
      <w:pPr>
        <w:pStyle w:val="CCABodytext"/>
      </w:pPr>
    </w:p>
    <w:p w14:paraId="5252D3AE" w14:textId="6A0ECC8A" w:rsidR="00C17909" w:rsidRPr="00212386" w:rsidRDefault="00EA5DB3" w:rsidP="00C813C5">
      <w:pPr>
        <w:pStyle w:val="CCAHeading3"/>
      </w:pPr>
      <w:r>
        <w:t>C</w:t>
      </w:r>
      <w:r w:rsidR="00073B1D">
        <w:t>ompany-</w:t>
      </w:r>
      <w:r w:rsidR="005B6119" w:rsidRPr="00212386">
        <w:t xml:space="preserve">specific emissions factors in </w:t>
      </w:r>
      <w:r w:rsidR="0034746B" w:rsidRPr="00212386">
        <w:t>s</w:t>
      </w:r>
      <w:r w:rsidR="00C17909" w:rsidRPr="00212386">
        <w:t xml:space="preserve">cope 2 emissions </w:t>
      </w:r>
      <w:r w:rsidR="005B6119" w:rsidRPr="00212386">
        <w:t>reporting</w:t>
      </w:r>
    </w:p>
    <w:p w14:paraId="4E8FAC7A" w14:textId="5F4DCFA6" w:rsidR="00C17909" w:rsidRDefault="00C17909" w:rsidP="00C17909">
      <w:pPr>
        <w:pStyle w:val="CCABodytext"/>
      </w:pPr>
      <w:r w:rsidRPr="00212386">
        <w:t xml:space="preserve">Reporting of scope 2 emissions </w:t>
      </w:r>
      <w:r w:rsidR="007F59AC">
        <w:t>provides a more complete picture of</w:t>
      </w:r>
      <w:r w:rsidRPr="00212386">
        <w:t xml:space="preserve"> the emissions profile of a facility</w:t>
      </w:r>
      <w:r w:rsidR="0034746B" w:rsidRPr="00212386">
        <w:t xml:space="preserve"> or </w:t>
      </w:r>
      <w:r w:rsidR="00184249" w:rsidRPr="00212386">
        <w:t>corporat</w:t>
      </w:r>
      <w:r w:rsidR="00184249">
        <w:t>e group</w:t>
      </w:r>
      <w:r w:rsidRPr="00212386">
        <w:t xml:space="preserve">, including the emissions produced elsewhere but driven by the </w:t>
      </w:r>
      <w:r w:rsidR="008B6B76" w:rsidRPr="00212386">
        <w:t>facility</w:t>
      </w:r>
      <w:r w:rsidRPr="00212386">
        <w:t xml:space="preserve">’s demand for electricity. </w:t>
      </w:r>
      <w:r w:rsidR="0034746B" w:rsidRPr="00212386">
        <w:t xml:space="preserve">Current </w:t>
      </w:r>
      <w:r w:rsidRPr="00212386">
        <w:t xml:space="preserve">reporting </w:t>
      </w:r>
      <w:r w:rsidR="0034746B" w:rsidRPr="00212386">
        <w:t>of</w:t>
      </w:r>
      <w:r w:rsidRPr="00212386">
        <w:t xml:space="preserve"> scope 2 emissions </w:t>
      </w:r>
      <w:r w:rsidR="0034746B" w:rsidRPr="00212386">
        <w:t xml:space="preserve">is based on </w:t>
      </w:r>
      <w:r w:rsidRPr="00212386">
        <w:t>electricity consumption and a state</w:t>
      </w:r>
      <w:r w:rsidR="002F1C35">
        <w:noBreakHyphen/>
      </w:r>
      <w:r w:rsidRPr="00212386">
        <w:t>average emissions factor for electricity generation. While this</w:t>
      </w:r>
      <w:r w:rsidR="005B6119" w:rsidRPr="00212386">
        <w:t xml:space="preserve"> approach </w:t>
      </w:r>
      <w:r w:rsidRPr="00212386">
        <w:t xml:space="preserve">adequately captures all electricity </w:t>
      </w:r>
      <w:r w:rsidR="005B6119" w:rsidRPr="00212386">
        <w:t>emissions</w:t>
      </w:r>
      <w:r w:rsidRPr="00212386">
        <w:t xml:space="preserve"> within a particular jurisdiction (</w:t>
      </w:r>
      <w:r w:rsidR="006F3044">
        <w:rPr>
          <w:rStyle w:val="RefChar"/>
        </w:rPr>
        <w:t>Commonwealth of Australia</w:t>
      </w:r>
      <w:r w:rsidRPr="00212386">
        <w:rPr>
          <w:rStyle w:val="RefChar"/>
        </w:rPr>
        <w:t xml:space="preserve"> 2018</w:t>
      </w:r>
      <w:r w:rsidR="006F3044">
        <w:rPr>
          <w:rStyle w:val="RefChar"/>
        </w:rPr>
        <w:t>a</w:t>
      </w:r>
      <w:r w:rsidRPr="00212386">
        <w:t xml:space="preserve">), </w:t>
      </w:r>
      <w:r w:rsidR="006629BA">
        <w:t xml:space="preserve">reporting of scope 2 emissions at the facility level does not reflect the emissions intensity of the electricity supply arrangements in place for each facility. </w:t>
      </w:r>
      <w:r w:rsidRPr="00212386">
        <w:t>This means that even if a facility sources its electricity from a low</w:t>
      </w:r>
      <w:r w:rsidR="00C8127E">
        <w:noBreakHyphen/>
      </w:r>
      <w:r w:rsidRPr="00212386">
        <w:t>emissions source</w:t>
      </w:r>
      <w:r w:rsidR="008B6B76" w:rsidRPr="00212386">
        <w:t>,</w:t>
      </w:r>
      <w:r w:rsidRPr="00212386">
        <w:t xml:space="preserve"> such as through a power purchase agreement with a wind farm, this is not reflected in </w:t>
      </w:r>
      <w:r w:rsidR="006629BA">
        <w:t>its</w:t>
      </w:r>
      <w:r w:rsidRPr="001A4A20">
        <w:t xml:space="preserve"> scope 2 emissions number.</w:t>
      </w:r>
    </w:p>
    <w:p w14:paraId="78D89E3B" w14:textId="77777777" w:rsidR="00C17909" w:rsidRPr="00277FEE" w:rsidRDefault="005B6119" w:rsidP="005B6119">
      <w:pPr>
        <w:pStyle w:val="CCABodytext"/>
      </w:pPr>
      <w:r>
        <w:t xml:space="preserve">The Authority heard some would prefer scope 2 emissions to be reported using </w:t>
      </w:r>
      <w:r w:rsidR="00CD3516">
        <w:t>a</w:t>
      </w:r>
      <w:r w:rsidR="0075055D">
        <w:t>n</w:t>
      </w:r>
      <w:r>
        <w:t xml:space="preserve"> approach which reflects contractual agreements for electricity </w:t>
      </w:r>
      <w:r w:rsidR="00155F2F">
        <w:t>supply.</w:t>
      </w:r>
      <w:r w:rsidR="00155F2F">
        <w:rPr>
          <w:rStyle w:val="CommentReference"/>
          <w:color w:val="414141"/>
        </w:rPr>
        <w:t xml:space="preserve"> </w:t>
      </w:r>
      <w:r w:rsidR="00155F2F">
        <w:t>It</w:t>
      </w:r>
      <w:r>
        <w:t xml:space="preserve"> should be noted that companies can report their purchases of lower emissions power and associated scope 2 emissions (contract</w:t>
      </w:r>
      <w:r w:rsidR="00F45416">
        <w:t>-</w:t>
      </w:r>
      <w:r>
        <w:t>based approach) in fora other than the reporting scheme, such as in their own sustainability reports</w:t>
      </w:r>
      <w:r w:rsidR="002F25A6">
        <w:t>.</w:t>
      </w:r>
    </w:p>
    <w:p w14:paraId="293B3C70" w14:textId="77777777" w:rsidR="003467C1" w:rsidRDefault="008B6B76" w:rsidP="00C17909">
      <w:pPr>
        <w:pStyle w:val="CCABodytext"/>
      </w:pPr>
      <w:r>
        <w:t xml:space="preserve">The Department </w:t>
      </w:r>
      <w:r w:rsidR="00BD1F37">
        <w:t xml:space="preserve">advised </w:t>
      </w:r>
      <w:r>
        <w:t xml:space="preserve">the Authority </w:t>
      </w:r>
      <w:r w:rsidR="00BD1F37">
        <w:t>it has</w:t>
      </w:r>
      <w:r>
        <w:t xml:space="preserve"> previously considered the merits of using a contract</w:t>
      </w:r>
      <w:r w:rsidR="00B13A09">
        <w:t>-</w:t>
      </w:r>
      <w:r w:rsidR="005B6119">
        <w:t xml:space="preserve">based </w:t>
      </w:r>
      <w:r>
        <w:t>approach to measuring scope 2 emissions, including an extensive consultation process</w:t>
      </w:r>
      <w:r w:rsidR="005D06F8">
        <w:t xml:space="preserve"> in 2010 (D</w:t>
      </w:r>
      <w:r w:rsidR="006F3044">
        <w:t>IICCSRTE n.d.b)</w:t>
      </w:r>
      <w:r>
        <w:t xml:space="preserve">. </w:t>
      </w:r>
      <w:r w:rsidR="007F59AC">
        <w:t>Its</w:t>
      </w:r>
      <w:r w:rsidR="005B6119">
        <w:t xml:space="preserve"> p</w:t>
      </w:r>
      <w:r>
        <w:t>revious analysis f</w:t>
      </w:r>
      <w:r w:rsidR="00A77C5C">
        <w:t>o</w:t>
      </w:r>
      <w:r>
        <w:t xml:space="preserve">und that </w:t>
      </w:r>
      <w:r w:rsidR="00652A1E">
        <w:t xml:space="preserve">the </w:t>
      </w:r>
      <w:r>
        <w:t>benefits of using a contract</w:t>
      </w:r>
      <w:r w:rsidR="00B13A09">
        <w:t>-</w:t>
      </w:r>
      <w:r>
        <w:t xml:space="preserve">based approach </w:t>
      </w:r>
      <w:r w:rsidR="00652A1E">
        <w:t>we</w:t>
      </w:r>
      <w:r>
        <w:t xml:space="preserve">re outweighed </w:t>
      </w:r>
      <w:r w:rsidR="00652A1E">
        <w:t xml:space="preserve">at the time </w:t>
      </w:r>
      <w:r>
        <w:t>by the additional complexity and lack of transparency</w:t>
      </w:r>
      <w:r w:rsidRPr="003467C1">
        <w:t>.</w:t>
      </w:r>
      <w:r w:rsidR="00AF7089">
        <w:t xml:space="preserve"> </w:t>
      </w:r>
      <w:r w:rsidR="003467C1" w:rsidRPr="005F1EFE">
        <w:t xml:space="preserve">Part of the complexity with using an approach that takes into account contractual arrangements is determining the emissions factor for residual electricity not covered by contracts. </w:t>
      </w:r>
    </w:p>
    <w:p w14:paraId="608A6A07" w14:textId="77777777" w:rsidR="00AF7089" w:rsidRDefault="00CC3258" w:rsidP="00C17909">
      <w:pPr>
        <w:pStyle w:val="CCABodytext"/>
      </w:pPr>
      <w:r>
        <w:t xml:space="preserve">The Authority understands the importance of maintaining the current approach to reporting scope 2 emissions </w:t>
      </w:r>
      <w:r w:rsidR="005B6119">
        <w:t xml:space="preserve">to prevent </w:t>
      </w:r>
      <w:r>
        <w:t xml:space="preserve">double counting, or under reporting, </w:t>
      </w:r>
      <w:r w:rsidR="00CF750E">
        <w:t xml:space="preserve">and </w:t>
      </w:r>
      <w:r w:rsidR="003A508A">
        <w:t xml:space="preserve">to preserve the existing </w:t>
      </w:r>
      <w:r>
        <w:t xml:space="preserve">reliable </w:t>
      </w:r>
      <w:r w:rsidR="00AF20E9">
        <w:t>dataset</w:t>
      </w:r>
      <w:r>
        <w:t>.</w:t>
      </w:r>
    </w:p>
    <w:p w14:paraId="39128A7A" w14:textId="77777777" w:rsidR="008B6B76" w:rsidRDefault="00AF7089" w:rsidP="00C17909">
      <w:pPr>
        <w:pStyle w:val="CCABodytext"/>
      </w:pPr>
      <w:r>
        <w:t xml:space="preserve">The Authority </w:t>
      </w:r>
      <w:r w:rsidR="00CC3258">
        <w:t>also recognises the importance of allowing companies to reflect the efforts and investments they are making to c</w:t>
      </w:r>
      <w:r>
        <w:t>ontribute to reduced emissions</w:t>
      </w:r>
      <w:r w:rsidR="003E5485">
        <w:t xml:space="preserve"> using nationally consistent measures</w:t>
      </w:r>
      <w:r>
        <w:t xml:space="preserve">. </w:t>
      </w:r>
      <w:r w:rsidR="00A77C5C">
        <w:t xml:space="preserve">Reporters currently have the option to provide </w:t>
      </w:r>
      <w:r w:rsidR="002F25A6">
        <w:t xml:space="preserve">the Regulator with </w:t>
      </w:r>
      <w:r w:rsidR="00A77C5C">
        <w:t>additional information</w:t>
      </w:r>
      <w:r w:rsidR="009D18DC">
        <w:t xml:space="preserve"> on purchases of Green</w:t>
      </w:r>
      <w:r w:rsidR="00155F2F">
        <w:t>P</w:t>
      </w:r>
      <w:r w:rsidR="009D18DC">
        <w:t>ower and renewable energy certificates</w:t>
      </w:r>
      <w:r w:rsidR="00B13A09" w:rsidRPr="00681041">
        <w:t>,</w:t>
      </w:r>
      <w:r w:rsidR="00A77C5C">
        <w:t xml:space="preserve"> </w:t>
      </w:r>
      <w:r w:rsidR="002F25A6">
        <w:t>which is published</w:t>
      </w:r>
      <w:r w:rsidR="004D0AFF">
        <w:t xml:space="preserve">. This </w:t>
      </w:r>
      <w:r w:rsidR="002F25A6">
        <w:t>provides</w:t>
      </w:r>
      <w:r w:rsidR="00A77C5C">
        <w:t xml:space="preserve"> context </w:t>
      </w:r>
      <w:r w:rsidR="002F25A6">
        <w:t>for</w:t>
      </w:r>
      <w:r w:rsidR="00A77C5C">
        <w:t xml:space="preserve"> the </w:t>
      </w:r>
      <w:r w:rsidR="004D0AFF">
        <w:t xml:space="preserve">other </w:t>
      </w:r>
      <w:r w:rsidR="00A77C5C">
        <w:t xml:space="preserve">data that is reported and published under the reporting scheme. </w:t>
      </w:r>
      <w:r w:rsidR="009D18DC">
        <w:t>I</w:t>
      </w:r>
      <w:r w:rsidR="00A77C5C">
        <w:t>n 2016</w:t>
      </w:r>
      <w:r w:rsidR="00DC316F">
        <w:t>–</w:t>
      </w:r>
      <w:r w:rsidR="00A77C5C">
        <w:t>17 no reporters chose to report this information.</w:t>
      </w:r>
      <w:r w:rsidR="009D18DC">
        <w:t xml:space="preserve"> </w:t>
      </w:r>
      <w:r w:rsidR="00BD1F37">
        <w:t>Also</w:t>
      </w:r>
      <w:r w:rsidR="009D18DC">
        <w:t>, this information does not extend to other means of contracting low</w:t>
      </w:r>
      <w:r w:rsidR="00C8127E">
        <w:noBreakHyphen/>
      </w:r>
      <w:r w:rsidR="009D18DC">
        <w:t>emissions electricity (for example</w:t>
      </w:r>
      <w:r w:rsidR="00B13A09">
        <w:t>,</w:t>
      </w:r>
      <w:r w:rsidR="009D18DC">
        <w:t xml:space="preserve"> through power </w:t>
      </w:r>
      <w:r w:rsidR="003E5485">
        <w:t xml:space="preserve">purchase </w:t>
      </w:r>
      <w:r w:rsidR="009D18DC">
        <w:t>agreements). Furthermore, the information on purchase</w:t>
      </w:r>
      <w:r w:rsidR="00D64D39">
        <w:t>s</w:t>
      </w:r>
      <w:r w:rsidR="009D18DC">
        <w:t xml:space="preserve"> of Green</w:t>
      </w:r>
      <w:r w:rsidR="00155F2F">
        <w:t>P</w:t>
      </w:r>
      <w:r w:rsidR="009D18DC">
        <w:t>ower and renewable energy certificates is published on the Regulator’s website</w:t>
      </w:r>
      <w:r w:rsidR="00F15530" w:rsidRPr="00F15530">
        <w:t xml:space="preserve"> </w:t>
      </w:r>
      <w:r w:rsidR="00F15530">
        <w:t>separate to</w:t>
      </w:r>
      <w:r w:rsidR="00B13A09">
        <w:t>—</w:t>
      </w:r>
      <w:r w:rsidR="00B13A09" w:rsidRPr="009D18DC">
        <w:t>and</w:t>
      </w:r>
      <w:r w:rsidR="00B13A09">
        <w:t xml:space="preserve"> </w:t>
      </w:r>
      <w:r w:rsidR="00B13A09" w:rsidRPr="009D18DC">
        <w:t>not easily matched with</w:t>
      </w:r>
      <w:r w:rsidR="00B13A09">
        <w:t>—</w:t>
      </w:r>
      <w:r w:rsidR="00F15530">
        <w:t>reported emissions</w:t>
      </w:r>
      <w:r w:rsidR="009D18DC" w:rsidRPr="009D18DC">
        <w:t>.</w:t>
      </w:r>
    </w:p>
    <w:p w14:paraId="17572E6F" w14:textId="4E4E9853" w:rsidR="004032A3" w:rsidRPr="00C805C3" w:rsidRDefault="00AF7089" w:rsidP="004032A3">
      <w:pPr>
        <w:pStyle w:val="CCABodytext"/>
      </w:pPr>
      <w:r w:rsidRPr="005F1EFE">
        <w:t xml:space="preserve">The Authority </w:t>
      </w:r>
      <w:r w:rsidR="00652A1E">
        <w:t xml:space="preserve">therefore </w:t>
      </w:r>
      <w:r w:rsidRPr="005F1EFE">
        <w:t>recommends the Department</w:t>
      </w:r>
      <w:r w:rsidRPr="005F1EFE" w:rsidDel="00652A1E">
        <w:t xml:space="preserve"> </w:t>
      </w:r>
      <w:r w:rsidR="005F0CEA">
        <w:t>re-</w:t>
      </w:r>
      <w:r w:rsidRPr="005F1EFE">
        <w:t xml:space="preserve">investigate the feasibility of </w:t>
      </w:r>
      <w:r w:rsidR="009D18DC" w:rsidRPr="005F1EFE">
        <w:t xml:space="preserve">allowing for optional </w:t>
      </w:r>
      <w:r w:rsidRPr="005F1EFE">
        <w:t>alternative approaches to measuring scope 2 emissions that more accurately reflect companies’ use of low</w:t>
      </w:r>
      <w:r w:rsidR="00C8127E">
        <w:noBreakHyphen/>
      </w:r>
      <w:r w:rsidRPr="005F1EFE">
        <w:t>emissions electricity</w:t>
      </w:r>
      <w:r w:rsidR="005F0CEA">
        <w:t xml:space="preserve"> given the recent growth in investment in renewable generation</w:t>
      </w:r>
      <w:r w:rsidRPr="005F1EFE">
        <w:t xml:space="preserve">. </w:t>
      </w:r>
      <w:r w:rsidR="005F0CEA">
        <w:t>Alternative reporting</w:t>
      </w:r>
      <w:r w:rsidRPr="005F1EFE">
        <w:t xml:space="preserve"> allow</w:t>
      </w:r>
      <w:r w:rsidR="00BD1F37">
        <w:t>s</w:t>
      </w:r>
      <w:r w:rsidRPr="005F1EFE">
        <w:t xml:space="preserve"> published </w:t>
      </w:r>
      <w:r w:rsidR="00EE5FD2">
        <w:t xml:space="preserve">scope 2 </w:t>
      </w:r>
      <w:r w:rsidRPr="005F1EFE">
        <w:t xml:space="preserve">emissions data to </w:t>
      </w:r>
      <w:r w:rsidR="005B6119">
        <w:t xml:space="preserve">better </w:t>
      </w:r>
      <w:r w:rsidRPr="005F1EFE">
        <w:t>reflect efforts to reduce emissions</w:t>
      </w:r>
      <w:r w:rsidR="005B6119">
        <w:t xml:space="preserve"> through </w:t>
      </w:r>
      <w:r w:rsidR="00B66E33">
        <w:t xml:space="preserve">the </w:t>
      </w:r>
      <w:r w:rsidR="005B6119">
        <w:t>pur</w:t>
      </w:r>
      <w:r w:rsidR="00EB2A9C">
        <w:t>chase</w:t>
      </w:r>
      <w:r w:rsidR="005B6119">
        <w:t xml:space="preserve"> of lower emissions power</w:t>
      </w:r>
      <w:r w:rsidRPr="005F1EFE">
        <w:t>.</w:t>
      </w:r>
      <w:r w:rsidR="009D18DC" w:rsidRPr="009D18DC">
        <w:t xml:space="preserve"> The Authority also recommends the Regulator improve the way additional information is published</w:t>
      </w:r>
      <w:r w:rsidR="009D18DC">
        <w:t>, so that it can easily be matched with the reported emissions data</w:t>
      </w:r>
      <w:r w:rsidR="00931979">
        <w:t xml:space="preserve"> (</w:t>
      </w:r>
      <w:r w:rsidR="00B13A09">
        <w:t>R</w:t>
      </w:r>
      <w:r w:rsidR="00931979">
        <w:t xml:space="preserve">ecommendation </w:t>
      </w:r>
      <w:r w:rsidR="007006CB">
        <w:fldChar w:fldCharType="begin"/>
      </w:r>
      <w:r w:rsidR="007006CB">
        <w:instrText xml:space="preserve"> REF _Ref532894156 \r \h </w:instrText>
      </w:r>
      <w:r w:rsidR="007006CB">
        <w:fldChar w:fldCharType="separate"/>
      </w:r>
      <w:r w:rsidR="009A203A">
        <w:t>R.15</w:t>
      </w:r>
      <w:r w:rsidR="007006CB">
        <w:fldChar w:fldCharType="end"/>
      </w:r>
      <w:r w:rsidR="002F25A6">
        <w:t>)</w:t>
      </w:r>
      <w:r w:rsidR="009D18DC">
        <w:t>.</w:t>
      </w:r>
      <w:r w:rsidR="002F25A6">
        <w:t xml:space="preserve"> </w:t>
      </w:r>
    </w:p>
    <w:tbl>
      <w:tblPr>
        <w:tblStyle w:val="TableGrid"/>
        <w:tblW w:w="0" w:type="auto"/>
        <w:tblInd w:w="284" w:type="dxa"/>
        <w:tblLook w:val="04A0" w:firstRow="1" w:lastRow="0" w:firstColumn="1" w:lastColumn="0" w:noHBand="0" w:noVBand="1"/>
      </w:tblPr>
      <w:tblGrid>
        <w:gridCol w:w="9781"/>
      </w:tblGrid>
      <w:tr w:rsidR="004032A3" w:rsidRPr="00155241" w14:paraId="5579BD99"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069D1013" w14:textId="77777777" w:rsidR="004032A3" w:rsidRPr="00027FFA" w:rsidRDefault="004032A3" w:rsidP="004032A3">
            <w:pPr>
              <w:pStyle w:val="CCAForRheading"/>
            </w:pPr>
            <w:r>
              <w:t>Recommendation</w:t>
            </w:r>
          </w:p>
          <w:p w14:paraId="527E61C6" w14:textId="77777777" w:rsidR="004032A3" w:rsidRPr="00E45370" w:rsidRDefault="006C644B" w:rsidP="004032A3">
            <w:pPr>
              <w:pStyle w:val="CCARecommendation"/>
            </w:pPr>
            <w:r w:rsidRPr="00DE00B3">
              <w:t>The Department test the feasibility of optional reporting for scope 2 emissions (from electricity use) that accounts for direct sourcing of low</w:t>
            </w:r>
            <w:r>
              <w:noBreakHyphen/>
            </w:r>
            <w:r w:rsidRPr="00DE00B3">
              <w:t>emissions energy</w:t>
            </w:r>
            <w:r w:rsidR="004032A3" w:rsidRPr="00E45370">
              <w:t>.</w:t>
            </w:r>
          </w:p>
        </w:tc>
      </w:tr>
    </w:tbl>
    <w:p w14:paraId="3A6B7A2A" w14:textId="77777777" w:rsidR="004032A3" w:rsidRDefault="004032A3" w:rsidP="004032A3">
      <w:pPr>
        <w:pStyle w:val="CCABodytext"/>
      </w:pPr>
    </w:p>
    <w:p w14:paraId="483A6018" w14:textId="77777777" w:rsidR="00C17909" w:rsidRDefault="005F0CEA" w:rsidP="00C813C5">
      <w:pPr>
        <w:pStyle w:val="CCAHeading3"/>
      </w:pPr>
      <w:r>
        <w:t>S</w:t>
      </w:r>
      <w:r w:rsidR="00C17909">
        <w:t>cope 3 emissions reporting</w:t>
      </w:r>
    </w:p>
    <w:p w14:paraId="02855376" w14:textId="4CAD6CA1" w:rsidR="000F6611" w:rsidRDefault="003A1012" w:rsidP="000F6611">
      <w:pPr>
        <w:pStyle w:val="CCABodytext"/>
      </w:pPr>
      <w:r>
        <w:t>S</w:t>
      </w:r>
      <w:r w:rsidR="000F6611">
        <w:t xml:space="preserve">ome companies in Australia are currently </w:t>
      </w:r>
      <w:r>
        <w:t xml:space="preserve">measuring and </w:t>
      </w:r>
      <w:r w:rsidR="000F6611">
        <w:t xml:space="preserve">reporting </w:t>
      </w:r>
      <w:r>
        <w:t xml:space="preserve">on </w:t>
      </w:r>
      <w:r w:rsidRPr="00B80986">
        <w:t>scope 3 emissions</w:t>
      </w:r>
      <w:r w:rsidR="00CF2134">
        <w:t>,</w:t>
      </w:r>
      <w:r w:rsidR="000F6611">
        <w:t xml:space="preserve"> either </w:t>
      </w:r>
      <w:r w:rsidR="00B66E33">
        <w:t>as part of</w:t>
      </w:r>
      <w:r w:rsidR="000F6611">
        <w:t xml:space="preserve"> </w:t>
      </w:r>
      <w:r w:rsidR="00F15530">
        <w:t>meet</w:t>
      </w:r>
      <w:r w:rsidR="00B66E33">
        <w:t>ing</w:t>
      </w:r>
      <w:r w:rsidR="000F6611">
        <w:t xml:space="preserve"> shareholder </w:t>
      </w:r>
      <w:r w:rsidR="00B66E33">
        <w:t>calls</w:t>
      </w:r>
      <w:r w:rsidR="000F6611">
        <w:t xml:space="preserve"> </w:t>
      </w:r>
      <w:r w:rsidR="00F15530">
        <w:t xml:space="preserve">for </w:t>
      </w:r>
      <w:r w:rsidR="000F6611">
        <w:t xml:space="preserve">sustainability disclosures, </w:t>
      </w:r>
      <w:r w:rsidR="006638F1">
        <w:t xml:space="preserve">to implement the recommendations of the </w:t>
      </w:r>
      <w:r w:rsidR="00C34A61">
        <w:t xml:space="preserve">Financial Stability Board’s </w:t>
      </w:r>
      <w:r w:rsidR="006638F1">
        <w:t xml:space="preserve">Task Force on Climate-related Financial Disclosures, </w:t>
      </w:r>
      <w:r w:rsidR="000F6611">
        <w:t xml:space="preserve">or through the </w:t>
      </w:r>
      <w:r w:rsidR="000F6611" w:rsidRPr="00B80986">
        <w:t>National Carbon Offset Standard</w:t>
      </w:r>
      <w:r w:rsidR="00782092">
        <w:t xml:space="preserve"> </w:t>
      </w:r>
      <w:r w:rsidR="00782092" w:rsidRPr="00B80986">
        <w:t>(</w:t>
      </w:r>
      <w:r w:rsidR="006F3044">
        <w:t xml:space="preserve">BHP 2018, </w:t>
      </w:r>
      <w:r w:rsidR="00782092" w:rsidRPr="00B80986">
        <w:t xml:space="preserve">BHP </w:t>
      </w:r>
      <w:r w:rsidR="006F3044">
        <w:t>Billiton n.d.</w:t>
      </w:r>
      <w:r w:rsidR="00782092" w:rsidRPr="00B80986">
        <w:t>)</w:t>
      </w:r>
      <w:r w:rsidR="000F6611">
        <w:t xml:space="preserve">. </w:t>
      </w:r>
    </w:p>
    <w:p w14:paraId="4FDF8812" w14:textId="44136AC1" w:rsidR="000F6611" w:rsidRPr="00B80986" w:rsidRDefault="000F6611" w:rsidP="00C17909">
      <w:pPr>
        <w:pStyle w:val="CCABodytext"/>
      </w:pPr>
      <w:r>
        <w:t xml:space="preserve">The Authority heard </w:t>
      </w:r>
      <w:r w:rsidRPr="00B80986">
        <w:t xml:space="preserve">reporting </w:t>
      </w:r>
      <w:r>
        <w:t xml:space="preserve">of scope 3 emissions </w:t>
      </w:r>
      <w:r w:rsidRPr="00B80986">
        <w:t xml:space="preserve">through a system managed by the </w:t>
      </w:r>
      <w:r w:rsidR="00A22384">
        <w:t>G</w:t>
      </w:r>
      <w:r w:rsidR="00A22384" w:rsidRPr="00B80986">
        <w:t>overnment</w:t>
      </w:r>
      <w:r w:rsidRPr="00B80986">
        <w:t>, such as the National Greenhouse and Energy Reporting scheme, would increase the consi</w:t>
      </w:r>
      <w:r w:rsidR="00782092">
        <w:t>stency of reports and act as a ‘</w:t>
      </w:r>
      <w:r w:rsidRPr="00B80986">
        <w:t>government sanctioned source of truth</w:t>
      </w:r>
      <w:r w:rsidR="00782092">
        <w:t>’</w:t>
      </w:r>
      <w:r w:rsidRPr="00B80986">
        <w:t xml:space="preserve"> compared </w:t>
      </w:r>
      <w:r w:rsidR="00931979">
        <w:t>with</w:t>
      </w:r>
      <w:r w:rsidRPr="00B80986">
        <w:t xml:space="preserve"> the current system of voluntary reporting using a variety of different methods. </w:t>
      </w:r>
      <w:r w:rsidR="00931979">
        <w:t>The Authority was told i</w:t>
      </w:r>
      <w:r w:rsidR="00765996">
        <w:t>t would also help companies meet requirements for climate</w:t>
      </w:r>
      <w:r w:rsidR="00B13A09">
        <w:t>-</w:t>
      </w:r>
      <w:r w:rsidR="00765996">
        <w:t>related financial disclosures</w:t>
      </w:r>
      <w:r w:rsidR="00965C1B">
        <w:t>. The Financial Stability Board’s Task Force</w:t>
      </w:r>
      <w:r w:rsidR="00765996">
        <w:t xml:space="preserve"> recommends disclosure of sc</w:t>
      </w:r>
      <w:r w:rsidR="00077BD0">
        <w:t xml:space="preserve">ope 3 emissions if appropriate </w:t>
      </w:r>
      <w:r w:rsidR="006F3044">
        <w:t>(TCFD 2017b)</w:t>
      </w:r>
      <w:r w:rsidR="00765996">
        <w:t xml:space="preserve">. </w:t>
      </w:r>
    </w:p>
    <w:p w14:paraId="4D73E8D7" w14:textId="6F44C503" w:rsidR="00D40CFD" w:rsidRDefault="00782092" w:rsidP="00BF23FC">
      <w:pPr>
        <w:pStyle w:val="CCABodytext"/>
        <w:keepNext/>
      </w:pPr>
      <w:r>
        <w:t>Other companies had the view that</w:t>
      </w:r>
      <w:r w:rsidR="00C17909" w:rsidRPr="00B80986">
        <w:t xml:space="preserve"> scope 3 emissions data collection was time-intensive, unreliable and inconsistent and that little could be done to manage the emissions</w:t>
      </w:r>
      <w:r w:rsidR="00AF18CA">
        <w:t xml:space="preserve">. </w:t>
      </w:r>
      <w:r w:rsidR="00D40CFD">
        <w:t xml:space="preserve">For example, </w:t>
      </w:r>
      <w:r w:rsidR="00C17909" w:rsidRPr="00B80986">
        <w:t xml:space="preserve">AGL </w:t>
      </w:r>
      <w:r w:rsidR="00D40CFD">
        <w:t>said they did not support including scope 3 emissions in the reporting scheme,</w:t>
      </w:r>
      <w:r w:rsidR="00C17909" w:rsidRPr="00B80986">
        <w:t xml:space="preserve"> stating that</w:t>
      </w:r>
      <w:r w:rsidR="00745F06">
        <w:t>:</w:t>
      </w:r>
      <w:r w:rsidR="00C17909" w:rsidRPr="00B80986">
        <w:t xml:space="preserve"> </w:t>
      </w:r>
    </w:p>
    <w:p w14:paraId="72B869D4" w14:textId="77777777" w:rsidR="000F6611" w:rsidRPr="003A1012" w:rsidRDefault="00931979" w:rsidP="003A4D92">
      <w:pPr>
        <w:pStyle w:val="CCAquote"/>
      </w:pPr>
      <w:r>
        <w:t>…</w:t>
      </w:r>
      <w:r w:rsidRPr="00931979">
        <w:t xml:space="preserve"> we would caution against extending the requirements of the scheme; for example, to include Scope 3 emissions</w:t>
      </w:r>
      <w:r>
        <w:t>…</w:t>
      </w:r>
      <w:r w:rsidRPr="00931979">
        <w:t xml:space="preserve"> care needs to be taken that extending the reach of the NGER scheme does in fact assist in provid</w:t>
      </w:r>
      <w:r>
        <w:t>ing</w:t>
      </w:r>
      <w:r w:rsidRPr="00931979">
        <w:t xml:space="preserve"> useful information in a more efficient and economic manner</w:t>
      </w:r>
      <w:r>
        <w:t>.</w:t>
      </w:r>
      <w:r w:rsidR="00C17909" w:rsidRPr="003A1012">
        <w:t xml:space="preserve"> </w:t>
      </w:r>
    </w:p>
    <w:p w14:paraId="27C0CF2C" w14:textId="77777777" w:rsidR="00D40CFD" w:rsidRDefault="00D40CFD" w:rsidP="00DE00B3">
      <w:pPr>
        <w:pStyle w:val="CCAquotesource"/>
      </w:pPr>
      <w:r>
        <w:t>AGL</w:t>
      </w:r>
      <w:r w:rsidR="005F0CEA">
        <w:t>, submission on this review</w:t>
      </w:r>
      <w:r w:rsidR="00427A36">
        <w:t xml:space="preserve"> </w:t>
      </w:r>
      <w:r w:rsidR="00652A1E">
        <w:t>(</w:t>
      </w:r>
      <w:r w:rsidR="00427A36">
        <w:t>p</w:t>
      </w:r>
      <w:r w:rsidR="00190737">
        <w:t>.</w:t>
      </w:r>
      <w:r w:rsidR="00427A36">
        <w:t xml:space="preserve"> 2</w:t>
      </w:r>
      <w:r w:rsidR="00652A1E">
        <w:t>)</w:t>
      </w:r>
    </w:p>
    <w:p w14:paraId="2AD886DB" w14:textId="3EAF3A93" w:rsidR="00DD490C" w:rsidRDefault="00DD490C" w:rsidP="00C17909">
      <w:pPr>
        <w:pStyle w:val="CCABodytext"/>
      </w:pPr>
      <w:r>
        <w:t>The challenges and burden of reporting scope 3 emissions ha</w:t>
      </w:r>
      <w:r w:rsidR="009D34B0">
        <w:t>ve</w:t>
      </w:r>
      <w:r>
        <w:t xml:space="preserve"> also been recognised in the past by the Government (Department of Climate Change 2009).</w:t>
      </w:r>
    </w:p>
    <w:p w14:paraId="4FBA380E" w14:textId="77777777" w:rsidR="00C17909" w:rsidRDefault="00C17909" w:rsidP="00C17909">
      <w:pPr>
        <w:pStyle w:val="CCABodytext"/>
      </w:pPr>
      <w:r w:rsidRPr="00B80986">
        <w:t xml:space="preserve">While </w:t>
      </w:r>
      <w:r w:rsidR="00765996">
        <w:t xml:space="preserve">reporting on </w:t>
      </w:r>
      <w:r w:rsidRPr="00B80986">
        <w:t xml:space="preserve">scope 3 emissions would assist </w:t>
      </w:r>
      <w:r w:rsidR="00782092">
        <w:t xml:space="preserve">in meeting the scheme’s objective of </w:t>
      </w:r>
      <w:r w:rsidR="00782092" w:rsidRPr="00B80986">
        <w:t>inform</w:t>
      </w:r>
      <w:r w:rsidR="002774A7">
        <w:t>ing</w:t>
      </w:r>
      <w:r w:rsidR="00782092" w:rsidRPr="00B80986">
        <w:t xml:space="preserve"> governments and the public</w:t>
      </w:r>
      <w:r w:rsidRPr="00B80986">
        <w:t xml:space="preserve">, the </w:t>
      </w:r>
      <w:r w:rsidR="00931979">
        <w:t xml:space="preserve">Authority is of the view </w:t>
      </w:r>
      <w:r w:rsidR="000E775F">
        <w:t xml:space="preserve">that </w:t>
      </w:r>
      <w:r w:rsidR="00931979">
        <w:t xml:space="preserve">the </w:t>
      </w:r>
      <w:r w:rsidRPr="00B80986">
        <w:t>resources required to collect and analyse these emissions is unlikely to be proportionate to its value for data users at this stage.</w:t>
      </w:r>
      <w:r>
        <w:t xml:space="preserve"> Additionally, t</w:t>
      </w:r>
      <w:r w:rsidRPr="00B80986">
        <w:t>here are alternative for</w:t>
      </w:r>
      <w:r w:rsidR="00931979">
        <w:t>a</w:t>
      </w:r>
      <w:r w:rsidRPr="00B80986">
        <w:t xml:space="preserve"> </w:t>
      </w:r>
      <w:r>
        <w:t xml:space="preserve">currently </w:t>
      </w:r>
      <w:r w:rsidRPr="00B80986">
        <w:t xml:space="preserve">available for companies to </w:t>
      </w:r>
      <w:r w:rsidR="00F15530">
        <w:t xml:space="preserve">voluntarily </w:t>
      </w:r>
      <w:r w:rsidRPr="00B80986">
        <w:t xml:space="preserve">report scope 3 emissions, </w:t>
      </w:r>
      <w:r w:rsidR="002774A7">
        <w:t xml:space="preserve">including </w:t>
      </w:r>
      <w:r w:rsidR="00931979">
        <w:t xml:space="preserve">through </w:t>
      </w:r>
      <w:r w:rsidR="002774A7">
        <w:t xml:space="preserve">the </w:t>
      </w:r>
      <w:r w:rsidR="00CF2134">
        <w:t>Australian G</w:t>
      </w:r>
      <w:r w:rsidR="002774A7">
        <w:t>overnmen</w:t>
      </w:r>
      <w:r w:rsidR="002774A7" w:rsidRPr="001A77D7">
        <w:t>t</w:t>
      </w:r>
      <w:r w:rsidR="002774A7">
        <w:t xml:space="preserve"> supported </w:t>
      </w:r>
      <w:r w:rsidRPr="00B80986">
        <w:t>National Carbon Offset Standard</w:t>
      </w:r>
      <w:r w:rsidR="00CF2134">
        <w:t>, and work going on at the international level to support scope 3 reporting</w:t>
      </w:r>
      <w:r w:rsidR="005F0CEA">
        <w:t>,</w:t>
      </w:r>
      <w:r w:rsidR="00CF2134">
        <w:t xml:space="preserve"> such as through the Global Reporting Standards and United Nations Environment Programme Finance Initiative.</w:t>
      </w:r>
    </w:p>
    <w:p w14:paraId="36054947" w14:textId="77777777" w:rsidR="00C17909" w:rsidRDefault="00F15530" w:rsidP="00D87C8A">
      <w:pPr>
        <w:pStyle w:val="CCABodytext"/>
        <w:rPr>
          <w:rFonts w:cs="Arial"/>
        </w:rPr>
      </w:pPr>
      <w:r>
        <w:t xml:space="preserve">The Authority has concluded, therefore, </w:t>
      </w:r>
      <w:r w:rsidR="00931979">
        <w:t>that reporting of scope 3 emissions should not be required at this stage under the National Greenhouse and Energy Reporting scheme</w:t>
      </w:r>
      <w:r>
        <w:t>.</w:t>
      </w:r>
    </w:p>
    <w:p w14:paraId="03D8FA9E" w14:textId="77777777" w:rsidR="008F6DA7" w:rsidRDefault="00692FD0" w:rsidP="00C813C5">
      <w:pPr>
        <w:pStyle w:val="CCAHeading2"/>
      </w:pPr>
      <w:bookmarkStart w:id="699" w:name="_Toc528770246"/>
      <w:bookmarkStart w:id="700" w:name="_Toc529183875"/>
      <w:bookmarkStart w:id="701" w:name="_Toc529187687"/>
      <w:bookmarkStart w:id="702" w:name="_Toc529188113"/>
      <w:bookmarkStart w:id="703" w:name="_Toc529377763"/>
      <w:bookmarkStart w:id="704" w:name="_Toc529389707"/>
      <w:bookmarkStart w:id="705" w:name="_Toc531095579"/>
      <w:bookmarkStart w:id="706" w:name="_Toc531099345"/>
      <w:bookmarkStart w:id="707" w:name="_Toc531101754"/>
      <w:bookmarkStart w:id="708" w:name="_Toc531764022"/>
      <w:bookmarkStart w:id="709" w:name="_Toc532912114"/>
      <w:bookmarkStart w:id="710" w:name="_Toc532914956"/>
      <w:r>
        <w:t>Enabling v</w:t>
      </w:r>
      <w:r w:rsidR="008F6DA7" w:rsidRPr="00797775">
        <w:t>oluntary reporting</w:t>
      </w:r>
      <w:bookmarkEnd w:id="699"/>
      <w:bookmarkEnd w:id="700"/>
      <w:bookmarkEnd w:id="701"/>
      <w:bookmarkEnd w:id="702"/>
      <w:bookmarkEnd w:id="703"/>
      <w:bookmarkEnd w:id="704"/>
      <w:bookmarkEnd w:id="705"/>
      <w:bookmarkEnd w:id="706"/>
      <w:bookmarkEnd w:id="707"/>
      <w:bookmarkEnd w:id="708"/>
      <w:bookmarkEnd w:id="709"/>
      <w:bookmarkEnd w:id="710"/>
    </w:p>
    <w:p w14:paraId="3613405D" w14:textId="77777777" w:rsidR="008F6DA7" w:rsidRDefault="001733E7" w:rsidP="008F6DA7">
      <w:pPr>
        <w:pStyle w:val="CCABodytext"/>
      </w:pPr>
      <w:r>
        <w:t xml:space="preserve">Some submissions supported </w:t>
      </w:r>
      <w:r w:rsidR="00937AA4">
        <w:t xml:space="preserve">the idea of voluntary reporting of emissions and energy data by </w:t>
      </w:r>
      <w:r w:rsidR="008F6DA7">
        <w:t xml:space="preserve">companies that currently </w:t>
      </w:r>
      <w:r w:rsidR="00B96F22">
        <w:t>sit outside</w:t>
      </w:r>
      <w:r w:rsidR="008F6DA7">
        <w:t xml:space="preserve"> the scope of the scheme. This would include companies that currently cannot report because their emissions and energy use are below the reporting threshold, their company structure does not fit the </w:t>
      </w:r>
      <w:r w:rsidR="00411140">
        <w:t xml:space="preserve">constitutional </w:t>
      </w:r>
      <w:r w:rsidR="008F6DA7">
        <w:t xml:space="preserve">corporation definition or their emissions sources are not </w:t>
      </w:r>
      <w:r w:rsidR="00937AA4">
        <w:t xml:space="preserve">currently </w:t>
      </w:r>
      <w:r w:rsidR="008F6DA7">
        <w:t xml:space="preserve">covered by the measurement determination. </w:t>
      </w:r>
      <w:r w:rsidR="00F411C1">
        <w:t>Voluntary reporting would provide companies that currently do</w:t>
      </w:r>
      <w:r w:rsidR="008864EE">
        <w:t xml:space="preserve"> </w:t>
      </w:r>
      <w:r w:rsidR="00F411C1">
        <w:t>n</w:t>
      </w:r>
      <w:r w:rsidR="008864EE">
        <w:t>o</w:t>
      </w:r>
      <w:r w:rsidR="00F411C1">
        <w:t>t report a forum in which to publish their emissions and energy use.</w:t>
      </w:r>
    </w:p>
    <w:p w14:paraId="1B98F5C5" w14:textId="77777777" w:rsidR="00937AA4" w:rsidRDefault="008864EE" w:rsidP="008F6DA7">
      <w:pPr>
        <w:pStyle w:val="CCABodytext"/>
      </w:pPr>
      <w:r>
        <w:t xml:space="preserve">Some </w:t>
      </w:r>
      <w:r w:rsidR="00931979">
        <w:t xml:space="preserve">Australian </w:t>
      </w:r>
      <w:r>
        <w:t xml:space="preserve">and state government data users </w:t>
      </w:r>
      <w:r w:rsidR="008F6DA7">
        <w:t>indicated they would find increased reporting, in particular by companies under the energy reporting threshold, valuable for their data analysis (DoEE pers. comm.).</w:t>
      </w:r>
      <w:r w:rsidR="00D64D39">
        <w:t xml:space="preserve"> </w:t>
      </w:r>
      <w:r w:rsidR="00937AA4">
        <w:t xml:space="preserve">The Australian Petroleum Production and Exploration Association said voluntary reporting might be appropriate so long as voluntary inputs were clearly identified and data quality was maintained. Ensuring data reported voluntarily was of a high standard </w:t>
      </w:r>
      <w:r w:rsidR="005F0CEA">
        <w:t>c</w:t>
      </w:r>
      <w:r w:rsidR="00937AA4">
        <w:t>ould impose substantive costs on the Regulator in conducting quality assurance.</w:t>
      </w:r>
    </w:p>
    <w:p w14:paraId="56195311" w14:textId="63BD4636" w:rsidR="008F6DA7" w:rsidRDefault="008F6DA7" w:rsidP="008F6DA7">
      <w:pPr>
        <w:pStyle w:val="CCABodytext"/>
      </w:pPr>
      <w:r w:rsidRPr="00F876EE">
        <w:t xml:space="preserve">The Regulator also reported </w:t>
      </w:r>
      <w:r w:rsidR="00F75488" w:rsidRPr="00F876EE">
        <w:t xml:space="preserve">little interest </w:t>
      </w:r>
      <w:r w:rsidR="00E11C53">
        <w:t xml:space="preserve">by businesses </w:t>
      </w:r>
      <w:r w:rsidR="00F75488" w:rsidRPr="00F876EE">
        <w:t xml:space="preserve">in voluntary reporting </w:t>
      </w:r>
      <w:r w:rsidR="00F411C1" w:rsidRPr="00F876EE">
        <w:t>initiatives</w:t>
      </w:r>
      <w:r w:rsidR="00F75488" w:rsidRPr="00F876EE">
        <w:t>. For example,</w:t>
      </w:r>
      <w:r w:rsidR="00F411C1" w:rsidRPr="00F876EE">
        <w:t xml:space="preserve"> </w:t>
      </w:r>
      <w:r w:rsidR="00731E40">
        <w:t xml:space="preserve">there was little demand from industry for </w:t>
      </w:r>
      <w:r w:rsidRPr="00F876EE">
        <w:t>voluntary reporting of GreenPower, renewable energy certificates and offset scope 2 emissions from industry</w:t>
      </w:r>
      <w:r w:rsidR="005F0CEA">
        <w:t>.</w:t>
      </w:r>
      <w:r w:rsidR="00652A1E" w:rsidRPr="00F876EE">
        <w:rPr>
          <w:rStyle w:val="FootnoteReference"/>
        </w:rPr>
        <w:footnoteReference w:id="28"/>
      </w:r>
      <w:r w:rsidR="005F0CEA">
        <w:t xml:space="preserve"> </w:t>
      </w:r>
      <w:r w:rsidRPr="00F876EE">
        <w:t>There are also already other mechanisms</w:t>
      </w:r>
      <w:r w:rsidR="00F411C1" w:rsidRPr="00F876EE">
        <w:t xml:space="preserve"> </w:t>
      </w:r>
      <w:r w:rsidR="00F75488" w:rsidRPr="00F876EE">
        <w:t xml:space="preserve">non-reporting </w:t>
      </w:r>
      <w:r w:rsidR="00F411C1" w:rsidRPr="00F876EE">
        <w:t>companies can use to publish and promote their progress in reducing emissions and energy use</w:t>
      </w:r>
      <w:r w:rsidR="00B13A09">
        <w:t>,</w:t>
      </w:r>
      <w:r w:rsidRPr="00F876EE">
        <w:t xml:space="preserve"> such as sustainability reporting.</w:t>
      </w:r>
    </w:p>
    <w:p w14:paraId="24949E7A" w14:textId="565A8412" w:rsidR="001733E7" w:rsidRDefault="008F6DA7" w:rsidP="001733E7">
      <w:pPr>
        <w:pStyle w:val="CCABodytext"/>
      </w:pPr>
      <w:r>
        <w:t xml:space="preserve">The Authority is of the view </w:t>
      </w:r>
      <w:r w:rsidR="000E775F">
        <w:t xml:space="preserve">that </w:t>
      </w:r>
      <w:r>
        <w:t xml:space="preserve">the costs </w:t>
      </w:r>
      <w:r w:rsidR="00652A1E">
        <w:t xml:space="preserve">to the Regulator </w:t>
      </w:r>
      <w:r>
        <w:t xml:space="preserve">of voluntary reporting </w:t>
      </w:r>
      <w:r w:rsidR="00652A1E">
        <w:t>by</w:t>
      </w:r>
      <w:r w:rsidR="005F0CEA">
        <w:t xml:space="preserve"> those </w:t>
      </w:r>
      <w:r w:rsidR="00D64D39">
        <w:t>not within the scope of the current scheme</w:t>
      </w:r>
      <w:r w:rsidR="005F0CEA">
        <w:t xml:space="preserve"> </w:t>
      </w:r>
      <w:r>
        <w:t xml:space="preserve">are likely to outweigh its benefits and recommends </w:t>
      </w:r>
      <w:r w:rsidR="00B14894">
        <w:t xml:space="preserve">against generally providing for </w:t>
      </w:r>
      <w:r>
        <w:t xml:space="preserve">voluntary reporting of emissions and energy data for now. </w:t>
      </w:r>
      <w:r w:rsidR="001733E7">
        <w:t xml:space="preserve">However, the Authority sees benefits in using voluntary reporting as a means of extending the scheme in a targeted and staged manner. For example, the Authority has recommended </w:t>
      </w:r>
      <w:r w:rsidR="00E11C53">
        <w:t xml:space="preserve">voluntary reporting for agriculture and that </w:t>
      </w:r>
      <w:r w:rsidR="001733E7">
        <w:t xml:space="preserve">the </w:t>
      </w:r>
      <w:r w:rsidR="00F75488">
        <w:t>benefits of</w:t>
      </w:r>
      <w:r w:rsidR="001733E7">
        <w:t xml:space="preserve"> including government agencies</w:t>
      </w:r>
      <w:r w:rsidR="00E11C53">
        <w:t xml:space="preserve"> and</w:t>
      </w:r>
      <w:r w:rsidR="00652A1E">
        <w:t xml:space="preserve"> local councils</w:t>
      </w:r>
      <w:r w:rsidR="001733E7">
        <w:t xml:space="preserve"> be assessed by the Department. The </w:t>
      </w:r>
      <w:r w:rsidR="005F0CEA">
        <w:t>Authority considers the</w:t>
      </w:r>
      <w:r w:rsidR="001733E7">
        <w:t xml:space="preserve"> scheme could initially be extended in these areas on a voluntary basis to build capacity before requiring mandatory reporting</w:t>
      </w:r>
      <w:r w:rsidR="00931979">
        <w:t xml:space="preserve"> if appropriate</w:t>
      </w:r>
      <w:r w:rsidR="001733E7">
        <w:t>.</w:t>
      </w:r>
    </w:p>
    <w:p w14:paraId="749065FD" w14:textId="77777777" w:rsidR="00F75488" w:rsidRDefault="00F75488" w:rsidP="00C813C5">
      <w:pPr>
        <w:pStyle w:val="CCAHeading2"/>
      </w:pPr>
      <w:bookmarkStart w:id="711" w:name="_Toc529183876"/>
      <w:bookmarkStart w:id="712" w:name="_Toc529187688"/>
      <w:bookmarkStart w:id="713" w:name="_Toc529188114"/>
      <w:bookmarkStart w:id="714" w:name="_Toc529377764"/>
      <w:bookmarkStart w:id="715" w:name="_Toc529389708"/>
      <w:bookmarkStart w:id="716" w:name="_Toc531095580"/>
      <w:bookmarkStart w:id="717" w:name="_Toc531099346"/>
      <w:bookmarkStart w:id="718" w:name="_Toc531101755"/>
      <w:bookmarkStart w:id="719" w:name="_Toc531764023"/>
      <w:bookmarkStart w:id="720" w:name="_Toc532912115"/>
      <w:bookmarkStart w:id="721" w:name="_Toc532914957"/>
      <w:r>
        <w:t>Improve the usefulness of the data for governments</w:t>
      </w:r>
      <w:bookmarkEnd w:id="711"/>
      <w:bookmarkEnd w:id="712"/>
      <w:bookmarkEnd w:id="713"/>
      <w:bookmarkEnd w:id="714"/>
      <w:bookmarkEnd w:id="715"/>
      <w:bookmarkEnd w:id="716"/>
      <w:bookmarkEnd w:id="717"/>
      <w:bookmarkEnd w:id="718"/>
      <w:bookmarkEnd w:id="719"/>
      <w:bookmarkEnd w:id="720"/>
      <w:bookmarkEnd w:id="721"/>
    </w:p>
    <w:p w14:paraId="62A5998A" w14:textId="77777777" w:rsidR="00F75488" w:rsidRDefault="00B81BDE" w:rsidP="00B81BDE">
      <w:pPr>
        <w:pStyle w:val="CCABodytext"/>
      </w:pPr>
      <w:r>
        <w:t xml:space="preserve">The current energy and emissions </w:t>
      </w:r>
      <w:r w:rsidR="00AF20E9">
        <w:t>dataset</w:t>
      </w:r>
      <w:r>
        <w:t xml:space="preserve"> arising from the reporting scheme is highly valued by government agencies as it is comprehensive, consistent, </w:t>
      </w:r>
      <w:r w:rsidR="00155F2F">
        <w:t>timely</w:t>
      </w:r>
      <w:r>
        <w:t xml:space="preserve"> and supported by robust measurement approaches. </w:t>
      </w:r>
      <w:r w:rsidR="00F75488">
        <w:t xml:space="preserve">However, </w:t>
      </w:r>
      <w:r w:rsidR="00F75488" w:rsidRPr="00CF7393">
        <w:t xml:space="preserve">the </w:t>
      </w:r>
      <w:r>
        <w:t xml:space="preserve">Authority heard the reliability and consistency </w:t>
      </w:r>
      <w:r w:rsidR="00F75488" w:rsidRPr="00CF7393">
        <w:t xml:space="preserve">of </w:t>
      </w:r>
      <w:r w:rsidR="00F75488">
        <w:t>ancillary</w:t>
      </w:r>
      <w:r w:rsidR="00F75488" w:rsidRPr="00CF7393">
        <w:t xml:space="preserve"> </w:t>
      </w:r>
      <w:r w:rsidR="00E81E80">
        <w:t xml:space="preserve">(descriptive) </w:t>
      </w:r>
      <w:r w:rsidR="00F75488" w:rsidRPr="00CF7393">
        <w:t>data</w:t>
      </w:r>
      <w:r w:rsidR="00E81E80">
        <w:t xml:space="preserve"> </w:t>
      </w:r>
      <w:r w:rsidR="00F75488" w:rsidRPr="00CF7393">
        <w:t>is poorer. This data is not audited and input errors can easily creep in</w:t>
      </w:r>
      <w:r w:rsidR="00F75488">
        <w:t>, which often remain undetected until the data is used</w:t>
      </w:r>
      <w:r w:rsidR="00F75488" w:rsidRPr="00CF7393">
        <w:t xml:space="preserve">. However, </w:t>
      </w:r>
      <w:r w:rsidR="00F75488">
        <w:t>ancillary data</w:t>
      </w:r>
      <w:r w:rsidR="00F75488" w:rsidRPr="00CF7393">
        <w:t xml:space="preserve"> is vital </w:t>
      </w:r>
      <w:r w:rsidR="00F75488">
        <w:t>to</w:t>
      </w:r>
      <w:r w:rsidR="00F75488" w:rsidRPr="00CF7393">
        <w:t xml:space="preserve"> </w:t>
      </w:r>
      <w:r w:rsidR="00F75488">
        <w:t>inform government policy development</w:t>
      </w:r>
      <w:r w:rsidR="00F75488" w:rsidRPr="00CF7393">
        <w:t xml:space="preserve">. </w:t>
      </w:r>
      <w:r w:rsidR="00F75488">
        <w:t>Multiple</w:t>
      </w:r>
      <w:r w:rsidR="00F75488" w:rsidRPr="00CF7393">
        <w:t xml:space="preserve"> government data user</w:t>
      </w:r>
      <w:r w:rsidR="00F75488">
        <w:t>s</w:t>
      </w:r>
      <w:r w:rsidR="00F75488" w:rsidRPr="00CF7393">
        <w:t xml:space="preserve"> noted the importance of con</w:t>
      </w:r>
      <w:r w:rsidR="00731E40">
        <w:t xml:space="preserve">tinuity </w:t>
      </w:r>
      <w:r>
        <w:t>in</w:t>
      </w:r>
      <w:r w:rsidR="00F75488">
        <w:t xml:space="preserve"> how</w:t>
      </w:r>
      <w:r w:rsidR="00F75488" w:rsidRPr="00CF7393">
        <w:t xml:space="preserve"> </w:t>
      </w:r>
      <w:r w:rsidR="00F75488">
        <w:t xml:space="preserve">a </w:t>
      </w:r>
      <w:r w:rsidR="00F75488" w:rsidRPr="00CF7393">
        <w:t xml:space="preserve">facility </w:t>
      </w:r>
      <w:r w:rsidR="00F75488">
        <w:t>is</w:t>
      </w:r>
      <w:r w:rsidR="00F75488" w:rsidRPr="00CF7393">
        <w:t xml:space="preserve"> name</w:t>
      </w:r>
      <w:r w:rsidR="00F75488">
        <w:t>d</w:t>
      </w:r>
      <w:r w:rsidR="00F75488" w:rsidRPr="00CF7393">
        <w:t xml:space="preserve"> over time to allow for </w:t>
      </w:r>
      <w:r w:rsidR="00F75488">
        <w:t>longitudinal</w:t>
      </w:r>
      <w:r w:rsidR="00F75488" w:rsidRPr="00CF7393">
        <w:t xml:space="preserve"> analysis.</w:t>
      </w:r>
      <w:r w:rsidR="00F75488">
        <w:t xml:space="preserve"> In </w:t>
      </w:r>
      <w:r w:rsidR="00BE6E38">
        <w:t>S</w:t>
      </w:r>
      <w:r w:rsidR="00F75488">
        <w:t>ection</w:t>
      </w:r>
      <w:r w:rsidR="004912D9">
        <w:t xml:space="preserve"> </w:t>
      </w:r>
      <w:r w:rsidR="004912D9">
        <w:fldChar w:fldCharType="begin"/>
      </w:r>
      <w:r w:rsidR="004912D9">
        <w:instrText xml:space="preserve"> REF _Ref529391958 \r \h </w:instrText>
      </w:r>
      <w:r w:rsidR="004912D9">
        <w:fldChar w:fldCharType="separate"/>
      </w:r>
      <w:r w:rsidR="009A203A">
        <w:t>4.2</w:t>
      </w:r>
      <w:r w:rsidR="004912D9">
        <w:fldChar w:fldCharType="end"/>
      </w:r>
      <w:r w:rsidR="00F75488">
        <w:t xml:space="preserve"> the Authority has made some recommendations to improve the system reporters use to enter data. These enhancements to the reporting system are expected to improve the quality of data entered by reporters in the future.</w:t>
      </w:r>
    </w:p>
    <w:p w14:paraId="06001C14" w14:textId="69899701" w:rsidR="00F75488" w:rsidRDefault="00E65E37" w:rsidP="00F75488">
      <w:pPr>
        <w:pStyle w:val="CCABodytext"/>
      </w:pPr>
      <w:r>
        <w:t xml:space="preserve">Problems with the data, such as the identified issues with ancillary data, </w:t>
      </w:r>
      <w:r w:rsidR="00F75488" w:rsidRPr="00CF7393">
        <w:t xml:space="preserve">can affect users’ trust in the data and reduce the quality and impact of analysis conducted. It can also mean </w:t>
      </w:r>
      <w:r w:rsidR="00652A1E">
        <w:t xml:space="preserve">multiple </w:t>
      </w:r>
      <w:r w:rsidR="00F75488" w:rsidRPr="00CF7393">
        <w:t>data users spend time identifying errors</w:t>
      </w:r>
      <w:r w:rsidR="00AF20E9">
        <w:t xml:space="preserve"> and</w:t>
      </w:r>
      <w:r w:rsidR="00F75488" w:rsidRPr="00CF7393">
        <w:t xml:space="preserve"> cleaning and verifying the data. </w:t>
      </w:r>
      <w:r>
        <w:t>The Authority understands that currently a number of different government data users conduct their own process</w:t>
      </w:r>
      <w:r w:rsidR="00931979">
        <w:t>es</w:t>
      </w:r>
      <w:r>
        <w:t xml:space="preserve"> to identify and address errors.</w:t>
      </w:r>
    </w:p>
    <w:p w14:paraId="4D41CFAE" w14:textId="3FFBE425" w:rsidR="00F75488" w:rsidRDefault="00F75488" w:rsidP="00F75488">
      <w:pPr>
        <w:pStyle w:val="CCABodytext"/>
      </w:pPr>
      <w:r>
        <w:t>The Authority is of the view that efficiencies could be realised by e</w:t>
      </w:r>
      <w:r w:rsidRPr="00CF7393">
        <w:t>stablishing a single</w:t>
      </w:r>
      <w:r w:rsidR="00B14894">
        <w:t>,</w:t>
      </w:r>
      <w:r w:rsidRPr="00CF7393">
        <w:t xml:space="preserve"> clean analytical </w:t>
      </w:r>
      <w:r w:rsidR="00AF20E9">
        <w:t>dataset</w:t>
      </w:r>
      <w:r w:rsidRPr="00CF7393">
        <w:t xml:space="preserve"> each year </w:t>
      </w:r>
      <w:r w:rsidR="005F0CEA">
        <w:t xml:space="preserve">(for use by all relevant government agencies) </w:t>
      </w:r>
      <w:r w:rsidRPr="00CF7393">
        <w:t xml:space="preserve">in which known errors are corrected before the data is used. </w:t>
      </w:r>
      <w:r w:rsidR="00AF20E9">
        <w:t>The correction of e</w:t>
      </w:r>
      <w:r w:rsidRPr="00CF7393">
        <w:t>rrors</w:t>
      </w:r>
      <w:r w:rsidRPr="00CF7393" w:rsidDel="00AF20E9">
        <w:t xml:space="preserve"> </w:t>
      </w:r>
      <w:r w:rsidR="00AF20E9">
        <w:t xml:space="preserve">and consolidation of the dataset by the Regulator </w:t>
      </w:r>
      <w:r w:rsidRPr="00CF7393">
        <w:t xml:space="preserve">would ensure consistency </w:t>
      </w:r>
      <w:r>
        <w:t xml:space="preserve">in </w:t>
      </w:r>
      <w:r w:rsidR="00411140" w:rsidRPr="00CF7393">
        <w:t>co</w:t>
      </w:r>
      <w:r w:rsidR="00411140">
        <w:t>rporate group</w:t>
      </w:r>
      <w:r w:rsidR="00411140" w:rsidRPr="00CF7393">
        <w:t xml:space="preserve"> </w:t>
      </w:r>
      <w:r w:rsidRPr="00CF7393">
        <w:t>and facility names and categorisation of the activities of these facilities</w:t>
      </w:r>
      <w:r>
        <w:t xml:space="preserve">. </w:t>
      </w:r>
      <w:r w:rsidRPr="00CF7393">
        <w:t xml:space="preserve">There would also be value in </w:t>
      </w:r>
      <w:r>
        <w:t>undertaking</w:t>
      </w:r>
      <w:r w:rsidRPr="00CF7393">
        <w:t xml:space="preserve"> this process </w:t>
      </w:r>
      <w:r>
        <w:t>to collect</w:t>
      </w:r>
      <w:r w:rsidRPr="00CF7393">
        <w:t xml:space="preserve"> </w:t>
      </w:r>
      <w:r>
        <w:t>and clean</w:t>
      </w:r>
      <w:r w:rsidRPr="00CF7393">
        <w:t xml:space="preserve"> </w:t>
      </w:r>
      <w:r>
        <w:t>historical</w:t>
      </w:r>
      <w:r w:rsidRPr="00CF7393">
        <w:t xml:space="preserve"> data.</w:t>
      </w:r>
    </w:p>
    <w:p w14:paraId="70C92AB0" w14:textId="69D40BC5" w:rsidR="004032A3" w:rsidRPr="00C805C3" w:rsidRDefault="00F75488" w:rsidP="004032A3">
      <w:pPr>
        <w:pStyle w:val="CCABodytext"/>
      </w:pPr>
      <w:r>
        <w:t xml:space="preserve">Improvements to the analytical </w:t>
      </w:r>
      <w:r w:rsidR="00AF20E9">
        <w:t>dataset</w:t>
      </w:r>
      <w:r>
        <w:t xml:space="preserve"> </w:t>
      </w:r>
      <w:r w:rsidRPr="00CF7393">
        <w:t xml:space="preserve">would reduce </w:t>
      </w:r>
      <w:r w:rsidR="00931979">
        <w:t xml:space="preserve">the </w:t>
      </w:r>
      <w:r w:rsidRPr="00CF7393">
        <w:t>need for each individual user to conduct their own data</w:t>
      </w:r>
      <w:r w:rsidR="00663EC5">
        <w:t>-</w:t>
      </w:r>
      <w:r w:rsidRPr="00CF7393">
        <w:t>cleaning process</w:t>
      </w:r>
      <w:r w:rsidR="00663EC5">
        <w:t>;</w:t>
      </w:r>
      <w:r w:rsidRPr="00CF7393">
        <w:t xml:space="preserve"> there would be greater consistency between various </w:t>
      </w:r>
      <w:r w:rsidR="00AF20E9">
        <w:t>dataset</w:t>
      </w:r>
      <w:r w:rsidRPr="00CF7393">
        <w:t>s</w:t>
      </w:r>
      <w:r w:rsidR="00663EC5">
        <w:t>;</w:t>
      </w:r>
      <w:r>
        <w:t xml:space="preserve"> and consistency over time would allow for greater longitudinal data analysis</w:t>
      </w:r>
      <w:r w:rsidRPr="00CF7393">
        <w:t xml:space="preserve">. The Authority understands the Regulator and the Department are currently working together to </w:t>
      </w:r>
      <w:r w:rsidR="00E11C53">
        <w:t xml:space="preserve">progress </w:t>
      </w:r>
      <w:r w:rsidRPr="00CF7393">
        <w:t>develop</w:t>
      </w:r>
      <w:r w:rsidR="00E11C53">
        <w:t>ment of</w:t>
      </w:r>
      <w:r w:rsidRPr="00CF7393">
        <w:t xml:space="preserve"> </w:t>
      </w:r>
      <w:r w:rsidR="00931979">
        <w:t>such a</w:t>
      </w:r>
      <w:r w:rsidRPr="00CF7393">
        <w:t xml:space="preserve"> dataset.</w:t>
      </w:r>
    </w:p>
    <w:tbl>
      <w:tblPr>
        <w:tblStyle w:val="TableGrid"/>
        <w:tblW w:w="0" w:type="auto"/>
        <w:tblInd w:w="284" w:type="dxa"/>
        <w:tblLook w:val="04A0" w:firstRow="1" w:lastRow="0" w:firstColumn="1" w:lastColumn="0" w:noHBand="0" w:noVBand="1"/>
      </w:tblPr>
      <w:tblGrid>
        <w:gridCol w:w="9781"/>
      </w:tblGrid>
      <w:tr w:rsidR="004032A3" w:rsidRPr="00155241" w14:paraId="063080BA"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70779207" w14:textId="77777777" w:rsidR="004032A3" w:rsidRPr="00027FFA" w:rsidRDefault="004032A3" w:rsidP="004032A3">
            <w:pPr>
              <w:pStyle w:val="CCAForRheading"/>
            </w:pPr>
            <w:r>
              <w:t>Recommendation</w:t>
            </w:r>
          </w:p>
          <w:p w14:paraId="362A0C8E" w14:textId="77777777" w:rsidR="004032A3" w:rsidRPr="00E45370" w:rsidRDefault="006C644B" w:rsidP="004032A3">
            <w:pPr>
              <w:pStyle w:val="CCARecommendation"/>
            </w:pPr>
            <w:r w:rsidRPr="00DE00B3">
              <w:t>The</w:t>
            </w:r>
            <w:r w:rsidRPr="00DE00B3" w:rsidDel="00652A1E">
              <w:t xml:space="preserve"> </w:t>
            </w:r>
            <w:r w:rsidRPr="00DE00B3">
              <w:t xml:space="preserve">Regulator, supported by the Department, be allocated funding to enhance the </w:t>
            </w:r>
            <w:r>
              <w:t>dataset</w:t>
            </w:r>
            <w:r w:rsidRPr="00DE00B3">
              <w:t xml:space="preserve"> for time series analysis</w:t>
            </w:r>
            <w:r>
              <w:t>. The dataset should be</w:t>
            </w:r>
            <w:r w:rsidRPr="00DE00B3">
              <w:t xml:space="preserve"> updated each year within </w:t>
            </w:r>
            <w:r>
              <w:t>three</w:t>
            </w:r>
            <w:r w:rsidRPr="00DE00B3">
              <w:t xml:space="preserve"> months of the data being </w:t>
            </w:r>
            <w:r>
              <w:t>reported</w:t>
            </w:r>
            <w:r w:rsidRPr="00DE00B3">
              <w:t>, for use by Australian governments</w:t>
            </w:r>
            <w:r w:rsidR="004032A3" w:rsidRPr="00E45370">
              <w:t>.</w:t>
            </w:r>
          </w:p>
        </w:tc>
      </w:tr>
    </w:tbl>
    <w:p w14:paraId="0DC70A95" w14:textId="77777777" w:rsidR="004032A3" w:rsidRDefault="004032A3" w:rsidP="00F75488">
      <w:pPr>
        <w:pStyle w:val="CCABodytext"/>
      </w:pPr>
    </w:p>
    <w:p w14:paraId="27EDB3A6" w14:textId="77777777" w:rsidR="00B31837" w:rsidRDefault="00D5338C" w:rsidP="00C813C5">
      <w:pPr>
        <w:pStyle w:val="CCAHeading3"/>
      </w:pPr>
      <w:r>
        <w:t>D</w:t>
      </w:r>
      <w:r w:rsidR="00B31837">
        <w:t>ata sharing rules</w:t>
      </w:r>
    </w:p>
    <w:p w14:paraId="65119FA6" w14:textId="77777777" w:rsidR="00B31837" w:rsidRPr="00B15B2C" w:rsidRDefault="00B31837" w:rsidP="001733E7">
      <w:pPr>
        <w:pStyle w:val="CCABodytext"/>
        <w:rPr>
          <w:i/>
        </w:rPr>
      </w:pPr>
      <w:r>
        <w:t xml:space="preserve">Currently, the Regulator </w:t>
      </w:r>
      <w:r w:rsidR="007F1728">
        <w:t>relies on powers conferred by</w:t>
      </w:r>
      <w:r>
        <w:t xml:space="preserve"> the </w:t>
      </w:r>
      <w:r>
        <w:rPr>
          <w:i/>
        </w:rPr>
        <w:t>Clean Energy (Consequential Amendments) Regulation 2012</w:t>
      </w:r>
      <w:r w:rsidR="000725F6">
        <w:t xml:space="preserve"> (Cth)</w:t>
      </w:r>
      <w:r w:rsidR="007F1728">
        <w:t xml:space="preserve"> to support the </w:t>
      </w:r>
      <w:r w:rsidR="005E1DA9">
        <w:t>dissemination</w:t>
      </w:r>
      <w:r w:rsidR="007F1728">
        <w:t xml:space="preserve"> of </w:t>
      </w:r>
      <w:r w:rsidR="00696C16">
        <w:t>emissions and energy information</w:t>
      </w:r>
      <w:r w:rsidR="005E1DA9">
        <w:t xml:space="preserve"> </w:t>
      </w:r>
      <w:r w:rsidR="001B6020">
        <w:t xml:space="preserve">collected prior to </w:t>
      </w:r>
      <w:r w:rsidR="00B14894">
        <w:t>2 </w:t>
      </w:r>
      <w:r w:rsidR="001B6020">
        <w:t xml:space="preserve">April 2012 </w:t>
      </w:r>
      <w:r w:rsidR="005E1DA9">
        <w:t xml:space="preserve">to </w:t>
      </w:r>
      <w:r w:rsidR="00746A82">
        <w:t>Australian</w:t>
      </w:r>
      <w:r w:rsidR="005E1DA9">
        <w:t xml:space="preserve"> and state and territory government agencies</w:t>
      </w:r>
      <w:r w:rsidR="00555413">
        <w:t>.</w:t>
      </w:r>
      <w:r w:rsidR="00555413">
        <w:rPr>
          <w:rStyle w:val="FootnoteReference"/>
          <w:i/>
        </w:rPr>
        <w:footnoteReference w:id="29"/>
      </w:r>
      <w:r w:rsidR="00555413">
        <w:t xml:space="preserve"> Regulations also</w:t>
      </w:r>
      <w:r w:rsidR="005E1DA9" w:rsidDel="00555413">
        <w:t xml:space="preserve"> </w:t>
      </w:r>
      <w:r w:rsidR="005E1DA9">
        <w:t xml:space="preserve">allow </w:t>
      </w:r>
      <w:r w:rsidR="00D64D39">
        <w:t>Australian Government</w:t>
      </w:r>
      <w:r w:rsidR="004E3EAF">
        <w:t xml:space="preserve"> </w:t>
      </w:r>
      <w:r w:rsidR="00663EC5">
        <w:t>m</w:t>
      </w:r>
      <w:r w:rsidR="004E3EAF">
        <w:t xml:space="preserve">inisters and </w:t>
      </w:r>
      <w:r w:rsidR="005E1DA9">
        <w:t>agencies to publish such information in an aggregated form</w:t>
      </w:r>
      <w:r w:rsidR="00696C16">
        <w:t xml:space="preserve">. </w:t>
      </w:r>
    </w:p>
    <w:p w14:paraId="702693EB" w14:textId="77777777" w:rsidR="004032A3" w:rsidRPr="00C805C3" w:rsidRDefault="00CA79A5" w:rsidP="004032A3">
      <w:pPr>
        <w:pStyle w:val="CCABodytext"/>
      </w:pPr>
      <w:r>
        <w:t>Regulation</w:t>
      </w:r>
      <w:r w:rsidR="001A1904">
        <w:t>s</w:t>
      </w:r>
      <w:r w:rsidR="007F1728">
        <w:t xml:space="preserve"> of that kind automatically sunset, or come to an end, ten years after they are made. If no action is taken, on </w:t>
      </w:r>
      <w:r w:rsidR="001A1904">
        <w:t>1</w:t>
      </w:r>
      <w:r w:rsidR="007F1728">
        <w:t xml:space="preserve"> </w:t>
      </w:r>
      <w:r w:rsidR="001A1904">
        <w:t>April</w:t>
      </w:r>
      <w:r w:rsidR="007F1728">
        <w:t xml:space="preserve"> 2022, the Regulator would no longer have a legislative power </w:t>
      </w:r>
      <w:r w:rsidR="007F1728" w:rsidDel="005E1DA9">
        <w:t xml:space="preserve">to </w:t>
      </w:r>
      <w:r w:rsidR="005E1DA9">
        <w:t xml:space="preserve">disseminate </w:t>
      </w:r>
      <w:r w:rsidR="00696C16">
        <w:t xml:space="preserve">emissions and energy </w:t>
      </w:r>
      <w:r w:rsidR="007F1728">
        <w:t xml:space="preserve">information obtained prior to </w:t>
      </w:r>
      <w:r>
        <w:t>2</w:t>
      </w:r>
      <w:r w:rsidR="007F1728">
        <w:t xml:space="preserve"> </w:t>
      </w:r>
      <w:r>
        <w:t>April</w:t>
      </w:r>
      <w:r w:rsidR="007F1728">
        <w:t xml:space="preserve"> 2012</w:t>
      </w:r>
      <w:r w:rsidR="00696C16">
        <w:t xml:space="preserve"> </w:t>
      </w:r>
      <w:r w:rsidR="005E1DA9">
        <w:t xml:space="preserve">and </w:t>
      </w:r>
      <w:r w:rsidR="00D64D39">
        <w:t xml:space="preserve">Australian Government </w:t>
      </w:r>
      <w:r w:rsidR="00663EC5">
        <w:t>m</w:t>
      </w:r>
      <w:r w:rsidR="004E3EAF">
        <w:t xml:space="preserve">inisters and </w:t>
      </w:r>
      <w:r w:rsidR="00696C16">
        <w:t>agencies</w:t>
      </w:r>
      <w:r w:rsidR="005E1DA9">
        <w:t xml:space="preserve"> would no longer be permitted to publish this information.</w:t>
      </w:r>
      <w:r w:rsidR="00B14894">
        <w:t xml:space="preserve"> The Authority recommends this legislative power be preserved. </w:t>
      </w:r>
    </w:p>
    <w:tbl>
      <w:tblPr>
        <w:tblStyle w:val="TableGrid"/>
        <w:tblW w:w="0" w:type="auto"/>
        <w:tblInd w:w="284" w:type="dxa"/>
        <w:tblLook w:val="04A0" w:firstRow="1" w:lastRow="0" w:firstColumn="1" w:lastColumn="0" w:noHBand="0" w:noVBand="1"/>
      </w:tblPr>
      <w:tblGrid>
        <w:gridCol w:w="9781"/>
      </w:tblGrid>
      <w:tr w:rsidR="004032A3" w:rsidRPr="00155241" w14:paraId="64D692B4"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13059ECD" w14:textId="77777777" w:rsidR="004032A3" w:rsidRPr="00027FFA" w:rsidRDefault="004032A3" w:rsidP="004032A3">
            <w:pPr>
              <w:pStyle w:val="CCAForRheading"/>
            </w:pPr>
            <w:r>
              <w:t>Recommendation</w:t>
            </w:r>
          </w:p>
          <w:p w14:paraId="59A9DED6" w14:textId="77777777" w:rsidR="004032A3" w:rsidRPr="00E45370" w:rsidRDefault="006C644B" w:rsidP="004032A3">
            <w:pPr>
              <w:pStyle w:val="CCARecommendation"/>
            </w:pPr>
            <w:r w:rsidRPr="00DE00B3">
              <w:t>The</w:t>
            </w:r>
            <w:r w:rsidRPr="00DE00B3" w:rsidDel="004E3EAF">
              <w:t xml:space="preserve"> </w:t>
            </w:r>
            <w:r>
              <w:t>Government legislate arrangements to ensure the Regulator retains its ability to disseminate emissions and energy information obtained prior to 2 April 2012 and Australian Government ministers and agencies retain their ability to publish this information</w:t>
            </w:r>
            <w:r w:rsidR="004032A3" w:rsidRPr="00E45370">
              <w:t>.</w:t>
            </w:r>
          </w:p>
        </w:tc>
      </w:tr>
    </w:tbl>
    <w:p w14:paraId="16C6F0DD" w14:textId="77777777" w:rsidR="00C34A61" w:rsidRDefault="00C34A61" w:rsidP="001733E7">
      <w:pPr>
        <w:pStyle w:val="CCABodytext"/>
      </w:pPr>
    </w:p>
    <w:p w14:paraId="69131038" w14:textId="77777777" w:rsidR="00A3536E" w:rsidRDefault="00655665" w:rsidP="00C813C5">
      <w:pPr>
        <w:pStyle w:val="CCAHeading2"/>
      </w:pPr>
      <w:bookmarkStart w:id="722" w:name="_Toc531095581"/>
      <w:bookmarkStart w:id="723" w:name="_Toc531099347"/>
      <w:bookmarkStart w:id="724" w:name="_Toc531101756"/>
      <w:bookmarkStart w:id="725" w:name="_Toc531764024"/>
      <w:bookmarkStart w:id="726" w:name="_Toc532912116"/>
      <w:bookmarkStart w:id="727" w:name="_Toc532914958"/>
      <w:bookmarkStart w:id="728" w:name="_Toc528770247"/>
      <w:bookmarkStart w:id="729" w:name="_Toc529183877"/>
      <w:bookmarkStart w:id="730" w:name="_Toc529187689"/>
      <w:bookmarkStart w:id="731" w:name="_Toc529188115"/>
      <w:bookmarkStart w:id="732" w:name="_Toc529377765"/>
      <w:bookmarkStart w:id="733" w:name="_Toc529389709"/>
      <w:r>
        <w:t>I</w:t>
      </w:r>
      <w:r w:rsidR="00DB5B38">
        <w:t xml:space="preserve">mprove </w:t>
      </w:r>
      <w:r>
        <w:t xml:space="preserve">public access to </w:t>
      </w:r>
      <w:r w:rsidR="00DB5B38">
        <w:t xml:space="preserve">the </w:t>
      </w:r>
      <w:r>
        <w:t>data</w:t>
      </w:r>
      <w:bookmarkEnd w:id="722"/>
      <w:bookmarkEnd w:id="723"/>
      <w:bookmarkEnd w:id="724"/>
      <w:bookmarkEnd w:id="725"/>
      <w:bookmarkEnd w:id="726"/>
      <w:bookmarkEnd w:id="727"/>
      <w:r w:rsidR="00DB5B38">
        <w:t xml:space="preserve"> </w:t>
      </w:r>
      <w:bookmarkEnd w:id="728"/>
      <w:bookmarkEnd w:id="729"/>
      <w:bookmarkEnd w:id="730"/>
      <w:bookmarkEnd w:id="731"/>
      <w:bookmarkEnd w:id="732"/>
      <w:bookmarkEnd w:id="733"/>
    </w:p>
    <w:p w14:paraId="1B622E8E" w14:textId="77777777" w:rsidR="00A3536E" w:rsidRDefault="00655665" w:rsidP="00A3536E">
      <w:pPr>
        <w:pStyle w:val="CCABodytext"/>
      </w:pPr>
      <w:r>
        <w:t xml:space="preserve">As noted in </w:t>
      </w:r>
      <w:r w:rsidR="004717F5">
        <w:t>C</w:t>
      </w:r>
      <w:r>
        <w:t xml:space="preserve">hapter 2, the Regulator publishes only a small </w:t>
      </w:r>
      <w:r w:rsidR="00742225">
        <w:t>amount</w:t>
      </w:r>
      <w:r>
        <w:t xml:space="preserve"> of </w:t>
      </w:r>
      <w:r w:rsidR="000A01F5">
        <w:t xml:space="preserve">the </w:t>
      </w:r>
      <w:r>
        <w:t>data reported</w:t>
      </w:r>
      <w:r w:rsidR="000A01F5">
        <w:t xml:space="preserve">. </w:t>
      </w:r>
      <w:r w:rsidR="005B437F">
        <w:t>D</w:t>
      </w:r>
      <w:r w:rsidR="00A3536E">
        <w:t xml:space="preserve">ata users </w:t>
      </w:r>
      <w:r w:rsidR="005B437F">
        <w:t xml:space="preserve">have told the Authority the </w:t>
      </w:r>
      <w:r w:rsidR="00A3536E">
        <w:t xml:space="preserve">lack of </w:t>
      </w:r>
      <w:r w:rsidR="005B437F">
        <w:t xml:space="preserve">publicly available </w:t>
      </w:r>
      <w:r w:rsidR="00A3536E">
        <w:t>facility</w:t>
      </w:r>
      <w:r w:rsidR="00663EC5">
        <w:t>-</w:t>
      </w:r>
      <w:r w:rsidR="00A3536E">
        <w:t xml:space="preserve">level data limits </w:t>
      </w:r>
      <w:r w:rsidR="005B437F">
        <w:t xml:space="preserve">the </w:t>
      </w:r>
      <w:r w:rsidR="00A3536E">
        <w:t xml:space="preserve">use </w:t>
      </w:r>
      <w:r w:rsidR="005B437F">
        <w:t>of reporting data</w:t>
      </w:r>
      <w:r w:rsidR="00A3536E">
        <w:t xml:space="preserve">. Data at the facility level is currently only published </w:t>
      </w:r>
      <w:r w:rsidR="00A207C1">
        <w:t xml:space="preserve">on scope 1 emissions </w:t>
      </w:r>
      <w:r w:rsidR="00A3536E">
        <w:t xml:space="preserve">for safeguard facilities </w:t>
      </w:r>
      <w:r w:rsidR="005B437F">
        <w:t>and designated electricity</w:t>
      </w:r>
      <w:r w:rsidR="00C471ED">
        <w:t>-</w:t>
      </w:r>
      <w:r w:rsidR="00831B23">
        <w:t xml:space="preserve">generation facilities. There is </w:t>
      </w:r>
      <w:r w:rsidR="00A3536E">
        <w:t xml:space="preserve">no data </w:t>
      </w:r>
      <w:r w:rsidR="00A207C1">
        <w:t>published</w:t>
      </w:r>
      <w:r w:rsidR="00A3536E">
        <w:t xml:space="preserve"> on </w:t>
      </w:r>
      <w:r w:rsidR="00831B23">
        <w:t xml:space="preserve">scope 2 emissions or </w:t>
      </w:r>
      <w:r w:rsidR="00A3536E">
        <w:t xml:space="preserve">energy use by individual facilities. </w:t>
      </w:r>
      <w:r w:rsidR="000B75B0">
        <w:t xml:space="preserve">The Regulator </w:t>
      </w:r>
      <w:r w:rsidR="00931979">
        <w:t>does publish</w:t>
      </w:r>
      <w:r w:rsidR="000B75B0">
        <w:t xml:space="preserve"> some key data highlights based on the reported data, summarising scope 1 emissions by state and industry, listing the top emitters and noting total net energy consumption.</w:t>
      </w:r>
    </w:p>
    <w:p w14:paraId="20A0BAE1" w14:textId="77777777" w:rsidR="00A3536E" w:rsidRDefault="00931979" w:rsidP="000C2DB6">
      <w:pPr>
        <w:pStyle w:val="CCABodytext"/>
      </w:pPr>
      <w:r>
        <w:t xml:space="preserve">The Authority heard </w:t>
      </w:r>
      <w:r w:rsidR="00B14894">
        <w:t xml:space="preserve">publication of </w:t>
      </w:r>
      <w:r>
        <w:t>e</w:t>
      </w:r>
      <w:r w:rsidR="00A3536E">
        <w:t>missions and energy data by facility would be useful for informing</w:t>
      </w:r>
      <w:r w:rsidR="00831B23">
        <w:t xml:space="preserve"> </w:t>
      </w:r>
      <w:r w:rsidR="00A3536E">
        <w:t>investors and financial institutions to support decision making</w:t>
      </w:r>
      <w:r w:rsidR="00831B23">
        <w:t xml:space="preserve">, and </w:t>
      </w:r>
      <w:r w:rsidR="000A01F5">
        <w:t>may support</w:t>
      </w:r>
      <w:r w:rsidR="00831B23">
        <w:t xml:space="preserve"> b</w:t>
      </w:r>
      <w:r w:rsidR="00A3536E">
        <w:t>enchmarking of emissions and energy performance by researchers and report</w:t>
      </w:r>
      <w:r w:rsidR="00FB47A6">
        <w:t>ers</w:t>
      </w:r>
      <w:r w:rsidR="00A3536E">
        <w:t>.</w:t>
      </w:r>
    </w:p>
    <w:p w14:paraId="512E138B" w14:textId="77777777" w:rsidR="00D24441" w:rsidRDefault="009325FE" w:rsidP="00F81377">
      <w:pPr>
        <w:pStyle w:val="CCABodytext"/>
      </w:pPr>
      <w:r>
        <w:t xml:space="preserve">Some reporters told the Authority they </w:t>
      </w:r>
      <w:r w:rsidR="001179AB">
        <w:t xml:space="preserve">support </w:t>
      </w:r>
      <w:r>
        <w:t xml:space="preserve">more data </w:t>
      </w:r>
      <w:r w:rsidR="000A01F5">
        <w:t xml:space="preserve">being </w:t>
      </w:r>
      <w:r>
        <w:t>made available</w:t>
      </w:r>
      <w:r w:rsidR="00663CD2">
        <w:t xml:space="preserve"> to better inform the public, increase transparency, support climate-related financial risk disclosures and facilitate benchmarking</w:t>
      </w:r>
      <w:r>
        <w:t>. Others</w:t>
      </w:r>
      <w:r w:rsidR="00A3536E">
        <w:t xml:space="preserve"> raised concerns about </w:t>
      </w:r>
      <w:r w:rsidR="00A207C1">
        <w:t>the</w:t>
      </w:r>
      <w:r w:rsidR="00F81377">
        <w:t xml:space="preserve"> release of facility</w:t>
      </w:r>
      <w:r w:rsidR="00663EC5">
        <w:t>-</w:t>
      </w:r>
      <w:r w:rsidR="00F81377">
        <w:t xml:space="preserve">level data, </w:t>
      </w:r>
      <w:r w:rsidR="00A207C1">
        <w:t xml:space="preserve">due to </w:t>
      </w:r>
      <w:r w:rsidR="00A3536E">
        <w:t>commercial sensitivit</w:t>
      </w:r>
      <w:r w:rsidR="00B14894">
        <w:t>ies</w:t>
      </w:r>
      <w:r w:rsidR="00D24441">
        <w:t xml:space="preserve">. </w:t>
      </w:r>
    </w:p>
    <w:p w14:paraId="6FB0921C" w14:textId="77777777" w:rsidR="000A01F5" w:rsidRDefault="001B38D2">
      <w:pPr>
        <w:pStyle w:val="CCABodytext"/>
      </w:pPr>
      <w:r>
        <w:t xml:space="preserve">Increasing the availability of reported data to the public is consistent with the Australian Government’s </w:t>
      </w:r>
      <w:r w:rsidRPr="001B38D2">
        <w:t>Public Data Policy Statement</w:t>
      </w:r>
      <w:r>
        <w:t xml:space="preserve"> released in 2015. The policy commits government entities to, among other things, make anonymised data open by default </w:t>
      </w:r>
      <w:r w:rsidR="006F3044">
        <w:t>(PMC 2015)</w:t>
      </w:r>
      <w:r>
        <w:t xml:space="preserve">. </w:t>
      </w:r>
    </w:p>
    <w:p w14:paraId="63E23B79" w14:textId="77777777" w:rsidR="000A01F5" w:rsidRDefault="000A01F5">
      <w:pPr>
        <w:pStyle w:val="CCABodytext"/>
      </w:pPr>
      <w:r>
        <w:t>The Authority recommends the Regulator examine options for increasing the usefulness of data published under the scheme. Some options the Authority has considered include:</w:t>
      </w:r>
    </w:p>
    <w:p w14:paraId="7910822C" w14:textId="77777777" w:rsidR="00D24441" w:rsidRDefault="005969E8" w:rsidP="000D7F42">
      <w:pPr>
        <w:pStyle w:val="ListBullet"/>
      </w:pPr>
      <w:r>
        <w:t>Providing report</w:t>
      </w:r>
      <w:r w:rsidR="00FB47A6">
        <w:t>ers</w:t>
      </w:r>
      <w:r>
        <w:t xml:space="preserve"> with the ability to allow disclosure of facility</w:t>
      </w:r>
      <w:r w:rsidR="00663EC5">
        <w:t>-</w:t>
      </w:r>
      <w:r>
        <w:t xml:space="preserve">level data on </w:t>
      </w:r>
      <w:r w:rsidR="00001211">
        <w:t xml:space="preserve">total scope 1 and 2 </w:t>
      </w:r>
      <w:r>
        <w:t xml:space="preserve">emissions and energy use, through a simple tick-box approach. This </w:t>
      </w:r>
      <w:r w:rsidR="00056728">
        <w:t>could</w:t>
      </w:r>
      <w:r>
        <w:t xml:space="preserve"> be on an opt-in or opt-out basis.</w:t>
      </w:r>
      <w:r w:rsidR="00D24441">
        <w:t xml:space="preserve"> The approach w</w:t>
      </w:r>
      <w:r w:rsidR="00931979">
        <w:t>ould</w:t>
      </w:r>
      <w:r w:rsidR="00D24441">
        <w:t xml:space="preserve"> increase the amount of data available </w:t>
      </w:r>
      <w:r w:rsidR="00F81377">
        <w:t>to the public</w:t>
      </w:r>
      <w:r w:rsidR="00D24441">
        <w:t xml:space="preserve">, </w:t>
      </w:r>
      <w:r w:rsidR="00931979">
        <w:t>but allow</w:t>
      </w:r>
      <w:r w:rsidR="00D24441">
        <w:t xml:space="preserve"> companies to protect the information they know to be commercially sensitive without high administrative burdens for either the company or the Regulator.</w:t>
      </w:r>
    </w:p>
    <w:p w14:paraId="095EBD6F" w14:textId="77777777" w:rsidR="00A3536E" w:rsidRDefault="00D24441" w:rsidP="000D7F42">
      <w:pPr>
        <w:pStyle w:val="ListBullet"/>
      </w:pPr>
      <w:r>
        <w:t>Releasing</w:t>
      </w:r>
      <w:r w:rsidR="00A3536E">
        <w:t xml:space="preserve"> anonymised, but detailed data in a similar manner to how the A</w:t>
      </w:r>
      <w:r w:rsidR="00D64D39">
        <w:t xml:space="preserve">ustralian </w:t>
      </w:r>
      <w:r w:rsidR="00A3536E">
        <w:t>B</w:t>
      </w:r>
      <w:r w:rsidR="00D64D39">
        <w:t xml:space="preserve">ureau of </w:t>
      </w:r>
      <w:r w:rsidR="00A3536E">
        <w:t>S</w:t>
      </w:r>
      <w:r w:rsidR="00D64D39">
        <w:t>tatistics</w:t>
      </w:r>
      <w:r w:rsidR="00A3536E">
        <w:t xml:space="preserve"> releases census data. This data would allow for some more detailed analysis of emissions and energy by industry or region that may be useful for policy analysis. However, as many sectors with significant emissions profiles are also characterised by a small number of operators, it </w:t>
      </w:r>
      <w:r>
        <w:t xml:space="preserve">may be </w:t>
      </w:r>
      <w:r w:rsidR="00A3536E">
        <w:t xml:space="preserve">the </w:t>
      </w:r>
      <w:r>
        <w:t xml:space="preserve">case that </w:t>
      </w:r>
      <w:r w:rsidR="00A3536E">
        <w:t xml:space="preserve">data for these sectors </w:t>
      </w:r>
      <w:r>
        <w:t>would not be able to</w:t>
      </w:r>
      <w:r w:rsidR="00A3536E">
        <w:t xml:space="preserve"> be published in an anonymous way.</w:t>
      </w:r>
    </w:p>
    <w:p w14:paraId="12961116" w14:textId="161CA903" w:rsidR="003E530B" w:rsidRDefault="00E11C53" w:rsidP="000D7F42">
      <w:pPr>
        <w:pStyle w:val="ListBullet"/>
      </w:pPr>
      <w:r>
        <w:t>Publishing more detailed analyse</w:t>
      </w:r>
      <w:r w:rsidR="00D24441">
        <w:t>s</w:t>
      </w:r>
      <w:r w:rsidR="00663EC5">
        <w:t>—</w:t>
      </w:r>
      <w:r w:rsidR="00F81377">
        <w:t>directly or through an intermediary</w:t>
      </w:r>
      <w:r w:rsidR="00663EC5">
        <w:t>—</w:t>
      </w:r>
      <w:r w:rsidR="00D24441">
        <w:t xml:space="preserve">of key findings and trends. </w:t>
      </w:r>
      <w:r w:rsidR="00742225">
        <w:t xml:space="preserve">This was recommended by several data users. </w:t>
      </w:r>
      <w:r w:rsidR="00D24441">
        <w:t>As custodian of the data, the Regulator would be able to publish data in an accurate and informative way, while still preserving the confidentiality of reporters. The Regulator should consult with reporters and data users to determine what data and analysis would be useful but not raise confidentiality concerns.</w:t>
      </w:r>
    </w:p>
    <w:p w14:paraId="221A3097" w14:textId="77777777" w:rsidR="00663EC5" w:rsidRDefault="003E530B" w:rsidP="00A3536E">
      <w:pPr>
        <w:pStyle w:val="CCABodytext"/>
      </w:pPr>
      <w:r>
        <w:t xml:space="preserve">Some </w:t>
      </w:r>
      <w:r w:rsidR="00D64D39">
        <w:t xml:space="preserve">data users </w:t>
      </w:r>
      <w:r>
        <w:t>also</w:t>
      </w:r>
      <w:r w:rsidR="00325E82">
        <w:t xml:space="preserve"> indicated an interest in the development of industry benchmarks based on the emissions and energy data (for example</w:t>
      </w:r>
      <w:r w:rsidR="00CD347A">
        <w:t>,</w:t>
      </w:r>
      <w:r w:rsidR="00325E82">
        <w:t xml:space="preserve"> </w:t>
      </w:r>
      <w:r w:rsidR="00261F63">
        <w:t>UnitingCare Queensland submission on this review).</w:t>
      </w:r>
      <w:r w:rsidR="00325E82">
        <w:t xml:space="preserve"> </w:t>
      </w:r>
      <w:r w:rsidR="00A3536E">
        <w:t xml:space="preserve">The Authority </w:t>
      </w:r>
      <w:r w:rsidR="00325E82">
        <w:t xml:space="preserve">agrees there </w:t>
      </w:r>
      <w:r w:rsidR="000965B8">
        <w:t>is</w:t>
      </w:r>
      <w:r w:rsidR="00325E82">
        <w:t xml:space="preserve"> value in establishing industry benchmarks, but is also aware of </w:t>
      </w:r>
      <w:r w:rsidR="00663EC5">
        <w:t xml:space="preserve">the following </w:t>
      </w:r>
      <w:r w:rsidR="00A3536E">
        <w:t xml:space="preserve">challenges </w:t>
      </w:r>
      <w:r w:rsidR="00325E82">
        <w:t xml:space="preserve">associated with calculating </w:t>
      </w:r>
      <w:r w:rsidR="00A3536E">
        <w:t>emissions or energy intensities for use as benchmarks</w:t>
      </w:r>
      <w:r w:rsidR="00663EC5">
        <w:t>:</w:t>
      </w:r>
      <w:r w:rsidR="00A3536E">
        <w:t xml:space="preserve"> </w:t>
      </w:r>
    </w:p>
    <w:p w14:paraId="61C6E227" w14:textId="77777777" w:rsidR="00663EC5" w:rsidRDefault="00A3536E" w:rsidP="00D64D39">
      <w:pPr>
        <w:pStyle w:val="ListBullet"/>
      </w:pPr>
      <w:r>
        <w:t>The Regulator does not currently hold production information required to calculate intensity values</w:t>
      </w:r>
      <w:r w:rsidR="00AB4B2B">
        <w:t>.</w:t>
      </w:r>
    </w:p>
    <w:p w14:paraId="25DECF15" w14:textId="77777777" w:rsidR="00663EC5" w:rsidRDefault="00663EC5" w:rsidP="00D64D39">
      <w:pPr>
        <w:pStyle w:val="ListBullet"/>
      </w:pPr>
      <w:r>
        <w:t>T</w:t>
      </w:r>
      <w:r w:rsidR="00A3536E">
        <w:t xml:space="preserve">here are many different approaches to calculating intensities </w:t>
      </w:r>
      <w:r w:rsidR="00A3536E" w:rsidRPr="00212386">
        <w:t>based on various input and output measures</w:t>
      </w:r>
      <w:r w:rsidR="00AB4B2B">
        <w:t>.</w:t>
      </w:r>
    </w:p>
    <w:p w14:paraId="6FBB1518" w14:textId="77777777" w:rsidR="00A3536E" w:rsidRPr="00212386" w:rsidRDefault="00663EC5" w:rsidP="00D64D39">
      <w:pPr>
        <w:pStyle w:val="ListBullet"/>
      </w:pPr>
      <w:r>
        <w:t>P</w:t>
      </w:r>
      <w:r w:rsidR="00325E82" w:rsidRPr="00212386">
        <w:t>ublishing benchmark data may lead to further concerns around release of commercially sensitive information</w:t>
      </w:r>
      <w:r w:rsidR="00A3536E" w:rsidRPr="00212386">
        <w:t>.</w:t>
      </w:r>
    </w:p>
    <w:p w14:paraId="772529F5" w14:textId="77777777" w:rsidR="00151E32" w:rsidRPr="00212386" w:rsidRDefault="003E530B" w:rsidP="00A3536E">
      <w:pPr>
        <w:pStyle w:val="CCABodytext"/>
      </w:pPr>
      <w:r w:rsidRPr="00212386">
        <w:t xml:space="preserve">In addition </w:t>
      </w:r>
      <w:r w:rsidR="00151E32" w:rsidRPr="00212386">
        <w:t>to</w:t>
      </w:r>
      <w:r w:rsidRPr="00212386">
        <w:t xml:space="preserve"> considering options to increase the availab</w:t>
      </w:r>
      <w:r w:rsidR="00742225">
        <w:t>ility of</w:t>
      </w:r>
      <w:r w:rsidRPr="00212386">
        <w:t xml:space="preserve"> data, the Authority also </w:t>
      </w:r>
      <w:r w:rsidR="00742225">
        <w:t>considers</w:t>
      </w:r>
      <w:r w:rsidRPr="00212386">
        <w:t xml:space="preserve"> the data could be presented in a format that improves </w:t>
      </w:r>
      <w:r w:rsidR="00742225">
        <w:t>its</w:t>
      </w:r>
      <w:r w:rsidRPr="00212386">
        <w:t xml:space="preserve"> </w:t>
      </w:r>
      <w:r w:rsidR="000965B8" w:rsidRPr="00212386">
        <w:t>usefulness</w:t>
      </w:r>
      <w:r w:rsidR="00742225">
        <w:t xml:space="preserve">, for example </w:t>
      </w:r>
      <w:r w:rsidR="008E1AD0">
        <w:t>by consolidating various pieces of data on a single webpage</w:t>
      </w:r>
      <w:r w:rsidRPr="00212386">
        <w:t xml:space="preserve">. </w:t>
      </w:r>
    </w:p>
    <w:p w14:paraId="67C7A01A" w14:textId="77777777" w:rsidR="000965B8" w:rsidRPr="00212386" w:rsidRDefault="000965B8" w:rsidP="000965B8">
      <w:pPr>
        <w:pStyle w:val="CCABodytext"/>
      </w:pPr>
      <w:r w:rsidRPr="00212386">
        <w:t xml:space="preserve">One stakeholder indicated an interest in being able to report the cancellation of offsets, so that information about emissions would be reported in the context of action </w:t>
      </w:r>
      <w:r w:rsidR="008E1AD0">
        <w:t>taken</w:t>
      </w:r>
      <w:r w:rsidRPr="00212386">
        <w:t xml:space="preserve"> to reduce net emissions. The legislation for the reporting scheme allows for </w:t>
      </w:r>
      <w:r w:rsidR="00184249">
        <w:t>companies</w:t>
      </w:r>
      <w:r w:rsidRPr="00212386">
        <w:t xml:space="preserve"> to report on offsets or greenhouse gas projects (</w:t>
      </w:r>
      <w:r w:rsidRPr="006C0ABD">
        <w:rPr>
          <w:i/>
        </w:rPr>
        <w:t>N</w:t>
      </w:r>
      <w:r w:rsidR="000725F6" w:rsidRPr="006E75C1">
        <w:rPr>
          <w:i/>
        </w:rPr>
        <w:t xml:space="preserve">ational </w:t>
      </w:r>
      <w:r w:rsidRPr="006E75C1">
        <w:rPr>
          <w:i/>
        </w:rPr>
        <w:t>G</w:t>
      </w:r>
      <w:r w:rsidR="000725F6" w:rsidRPr="006E75C1">
        <w:rPr>
          <w:i/>
        </w:rPr>
        <w:t xml:space="preserve">reenhouse and </w:t>
      </w:r>
      <w:r w:rsidRPr="006E75C1">
        <w:rPr>
          <w:i/>
        </w:rPr>
        <w:t>E</w:t>
      </w:r>
      <w:r w:rsidR="000725F6" w:rsidRPr="006E75C1">
        <w:rPr>
          <w:i/>
        </w:rPr>
        <w:t xml:space="preserve">nergy </w:t>
      </w:r>
      <w:r w:rsidRPr="006E75C1">
        <w:rPr>
          <w:i/>
        </w:rPr>
        <w:t>R</w:t>
      </w:r>
      <w:r w:rsidR="000725F6" w:rsidRPr="006E75C1">
        <w:rPr>
          <w:i/>
        </w:rPr>
        <w:t>eporting</w:t>
      </w:r>
      <w:r w:rsidRPr="006E75C1">
        <w:rPr>
          <w:i/>
        </w:rPr>
        <w:t xml:space="preserve"> Act</w:t>
      </w:r>
      <w:r w:rsidR="000725F6" w:rsidRPr="009947F2">
        <w:rPr>
          <w:i/>
        </w:rPr>
        <w:t xml:space="preserve"> 2007</w:t>
      </w:r>
      <w:r w:rsidR="000725F6">
        <w:t xml:space="preserve"> (Cth) </w:t>
      </w:r>
      <w:r w:rsidR="0065703D">
        <w:t>s</w:t>
      </w:r>
      <w:r w:rsidR="00AB4B2B">
        <w:t>.</w:t>
      </w:r>
      <w:r w:rsidR="0065703D">
        <w:t> </w:t>
      </w:r>
      <w:r w:rsidRPr="00212386">
        <w:t>21A), however, this has not been implemented. Currently</w:t>
      </w:r>
      <w:r w:rsidR="008E1AD0">
        <w:t>,</w:t>
      </w:r>
      <w:r w:rsidRPr="00212386">
        <w:t xml:space="preserve"> the Regulator publishes voluntary cancellations or surrender of offsets </w:t>
      </w:r>
      <w:r w:rsidR="004E3EAF">
        <w:t>in</w:t>
      </w:r>
      <w:r w:rsidRPr="00212386">
        <w:t xml:space="preserve"> the Australian National Registry of Emissions Units.</w:t>
      </w:r>
      <w:r w:rsidRPr="00212386">
        <w:rPr>
          <w:rStyle w:val="FootnoteReference"/>
        </w:rPr>
        <w:footnoteReference w:id="30"/>
      </w:r>
      <w:r w:rsidRPr="00212386">
        <w:t xml:space="preserve"> However, the published cancellations are often listed against the broker or agent that generates, purchases and manages offsets on behalf of a company. It is not currently possible </w:t>
      </w:r>
      <w:r w:rsidR="0071282C">
        <w:t xml:space="preserve">for the public </w:t>
      </w:r>
      <w:r w:rsidRPr="00212386">
        <w:t xml:space="preserve">to </w:t>
      </w:r>
      <w:r w:rsidR="008E1AD0">
        <w:t>match</w:t>
      </w:r>
      <w:r w:rsidRPr="00212386" w:rsidDel="0071282C">
        <w:t xml:space="preserve"> </w:t>
      </w:r>
      <w:r w:rsidR="004E3EAF">
        <w:t xml:space="preserve">all </w:t>
      </w:r>
      <w:r w:rsidRPr="00212386">
        <w:t>cancelled units to the companies responsible for the offsets.</w:t>
      </w:r>
    </w:p>
    <w:p w14:paraId="7055E846" w14:textId="77777777" w:rsidR="000965B8" w:rsidRPr="00212386" w:rsidRDefault="000965B8" w:rsidP="000965B8">
      <w:pPr>
        <w:pStyle w:val="CCABodytext"/>
      </w:pPr>
      <w:r w:rsidRPr="00212386">
        <w:t>The Regulator also provides the opportunity for reporters to report and publish their purchases of GreenPower and surrendered Renewable Energy Certificates (and the extent their scope 2 emissions are offset as a result). However, this information is not presented with scope 1 and 2 emissions information and there has been limited and declining interest in this reporting option from reporters.</w:t>
      </w:r>
    </w:p>
    <w:p w14:paraId="2ABCB5AD" w14:textId="77777777" w:rsidR="004032A3" w:rsidRPr="00C805C3" w:rsidRDefault="000965B8" w:rsidP="004032A3">
      <w:pPr>
        <w:pStyle w:val="CCABodytext"/>
      </w:pPr>
      <w:r w:rsidRPr="00212386">
        <w:t>In the context of increasing scrutiny of corporate action to manage and offset emissions</w:t>
      </w:r>
      <w:r w:rsidR="008563BA">
        <w:t>,</w:t>
      </w:r>
      <w:r w:rsidRPr="00212386">
        <w:t xml:space="preserve"> the Authority sees value for businesses and the public in </w:t>
      </w:r>
      <w:r w:rsidR="003E530B" w:rsidRPr="00212386">
        <w:t>provid</w:t>
      </w:r>
      <w:r w:rsidRPr="00212386">
        <w:t>ing</w:t>
      </w:r>
      <w:r w:rsidR="003E530B" w:rsidRPr="00212386">
        <w:t xml:space="preserve"> a broad</w:t>
      </w:r>
      <w:r w:rsidRPr="00212386">
        <w:t>er</w:t>
      </w:r>
      <w:r w:rsidR="003E530B" w:rsidRPr="00212386">
        <w:t xml:space="preserve"> picture of a company’s net carbon position. Bringing this data together will help both data users and reporters </w:t>
      </w:r>
      <w:r w:rsidRPr="00212386">
        <w:t>increase the use of information published by the Regulator.</w:t>
      </w:r>
    </w:p>
    <w:tbl>
      <w:tblPr>
        <w:tblStyle w:val="TableGrid"/>
        <w:tblW w:w="0" w:type="auto"/>
        <w:tblInd w:w="284" w:type="dxa"/>
        <w:tblLook w:val="04A0" w:firstRow="1" w:lastRow="0" w:firstColumn="1" w:lastColumn="0" w:noHBand="0" w:noVBand="1"/>
      </w:tblPr>
      <w:tblGrid>
        <w:gridCol w:w="9781"/>
      </w:tblGrid>
      <w:tr w:rsidR="004032A3" w:rsidRPr="00155241" w14:paraId="40D7C05B"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24926539" w14:textId="77777777" w:rsidR="004032A3" w:rsidRPr="00027FFA" w:rsidRDefault="004032A3" w:rsidP="004032A3">
            <w:pPr>
              <w:pStyle w:val="CCAForRheading"/>
            </w:pPr>
            <w:r>
              <w:t>Recommendation</w:t>
            </w:r>
          </w:p>
          <w:p w14:paraId="1F41F81A" w14:textId="77777777" w:rsidR="004032A3" w:rsidRPr="00E45370" w:rsidRDefault="006C644B" w:rsidP="004032A3">
            <w:pPr>
              <w:pStyle w:val="CCARecommendation"/>
            </w:pPr>
            <w:bookmarkStart w:id="734" w:name="_Ref532894156"/>
            <w:r w:rsidRPr="00212386">
              <w:t>The</w:t>
            </w:r>
            <w:r w:rsidRPr="00212386" w:rsidDel="004E3EAF">
              <w:t xml:space="preserve"> </w:t>
            </w:r>
            <w:r w:rsidRPr="00212386">
              <w:t>Regulator identify ways to better meet data users’ needs by publishing more detailed analyses of key findings and trends, increasing the volume of data reported publicly and improving the presentation of data on the website</w:t>
            </w:r>
            <w:r w:rsidR="004032A3" w:rsidRPr="00E45370">
              <w:t>.</w:t>
            </w:r>
            <w:bookmarkEnd w:id="734"/>
          </w:p>
        </w:tc>
      </w:tr>
    </w:tbl>
    <w:p w14:paraId="2FFB44C4" w14:textId="77777777" w:rsidR="00CF7393" w:rsidRDefault="00CF7393" w:rsidP="00CF7393">
      <w:pPr>
        <w:pStyle w:val="CCABodytext"/>
      </w:pPr>
    </w:p>
    <w:p w14:paraId="5589E7A5" w14:textId="77777777" w:rsidR="00CF7393" w:rsidRPr="002E2D6E" w:rsidRDefault="00CF7393" w:rsidP="00D339A3">
      <w:pPr>
        <w:pStyle w:val="CCABodytext"/>
        <w:sectPr w:rsidR="00CF7393" w:rsidRPr="002E2D6E" w:rsidSect="00041493">
          <w:pgSz w:w="11907" w:h="16840" w:code="9"/>
          <w:pgMar w:top="1418" w:right="1077" w:bottom="851" w:left="1077" w:header="850" w:footer="720" w:gutter="0"/>
          <w:pgNumType w:chapStyle="1" w:chapSep="emDash"/>
          <w:cols w:space="720"/>
          <w:docGrid w:linePitch="360"/>
        </w:sectPr>
      </w:pPr>
    </w:p>
    <w:p w14:paraId="268899FB" w14:textId="77777777" w:rsidR="002E5024" w:rsidRDefault="002E5024" w:rsidP="00C813C5">
      <w:pPr>
        <w:pStyle w:val="CCAHeading1"/>
      </w:pPr>
      <w:bookmarkStart w:id="735" w:name="_Toc525642983"/>
      <w:bookmarkStart w:id="736" w:name="_Toc525644051"/>
      <w:bookmarkStart w:id="737" w:name="_Toc525661499"/>
      <w:bookmarkStart w:id="738" w:name="_Toc526430707"/>
      <w:bookmarkStart w:id="739" w:name="_Toc528140803"/>
      <w:bookmarkStart w:id="740" w:name="_Toc528143284"/>
      <w:bookmarkStart w:id="741" w:name="_Toc528770249"/>
      <w:bookmarkStart w:id="742" w:name="_Toc529183878"/>
      <w:bookmarkStart w:id="743" w:name="_Toc529187690"/>
      <w:bookmarkStart w:id="744" w:name="_Toc529188116"/>
      <w:bookmarkStart w:id="745" w:name="_Toc529377766"/>
      <w:bookmarkStart w:id="746" w:name="_Toc529389710"/>
      <w:bookmarkStart w:id="747" w:name="_Toc531095582"/>
      <w:bookmarkStart w:id="748" w:name="_Toc531099348"/>
      <w:bookmarkStart w:id="749" w:name="_Toc531101757"/>
      <w:bookmarkStart w:id="750" w:name="_Toc531764025"/>
      <w:bookmarkStart w:id="751" w:name="_Toc532912117"/>
      <w:bookmarkStart w:id="752" w:name="_Toc532914959"/>
      <w:r>
        <w:t xml:space="preserve">The </w:t>
      </w:r>
      <w:r w:rsidR="00C500A7">
        <w:t>s</w:t>
      </w:r>
      <w:r>
        <w:t xml:space="preserve">afeguard </w:t>
      </w:r>
      <w:r w:rsidR="00B30A82">
        <w:t>m</w:t>
      </w:r>
      <w:r>
        <w:t>echanism</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1880162" w14:textId="77777777" w:rsidR="007C1BF6" w:rsidRDefault="005076E3" w:rsidP="00C813C5">
      <w:pPr>
        <w:pStyle w:val="CCAHeading2"/>
      </w:pPr>
      <w:bookmarkStart w:id="753" w:name="_Toc529183879"/>
      <w:bookmarkStart w:id="754" w:name="_Toc529187691"/>
      <w:bookmarkStart w:id="755" w:name="_Toc529188117"/>
      <w:bookmarkStart w:id="756" w:name="_Toc529377767"/>
      <w:bookmarkStart w:id="757" w:name="_Toc529389711"/>
      <w:bookmarkStart w:id="758" w:name="_Ref529392159"/>
      <w:bookmarkStart w:id="759" w:name="_Toc531095583"/>
      <w:bookmarkStart w:id="760" w:name="_Toc531099349"/>
      <w:bookmarkStart w:id="761" w:name="_Toc531101758"/>
      <w:bookmarkStart w:id="762" w:name="_Ref531551000"/>
      <w:bookmarkStart w:id="763" w:name="_Toc531764026"/>
      <w:bookmarkStart w:id="764" w:name="_Toc532912118"/>
      <w:bookmarkStart w:id="765" w:name="_Toc532914960"/>
      <w:bookmarkStart w:id="766" w:name="_Toc528770250"/>
      <w:r>
        <w:t>W</w:t>
      </w:r>
      <w:r w:rsidR="006549E2">
        <w:t>orking as intended</w:t>
      </w:r>
      <w:bookmarkEnd w:id="753"/>
      <w:bookmarkEnd w:id="754"/>
      <w:bookmarkEnd w:id="755"/>
      <w:bookmarkEnd w:id="756"/>
      <w:bookmarkEnd w:id="757"/>
      <w:bookmarkEnd w:id="758"/>
      <w:bookmarkEnd w:id="759"/>
      <w:bookmarkEnd w:id="760"/>
      <w:bookmarkEnd w:id="761"/>
      <w:bookmarkEnd w:id="762"/>
      <w:bookmarkEnd w:id="763"/>
      <w:bookmarkEnd w:id="764"/>
      <w:bookmarkEnd w:id="765"/>
    </w:p>
    <w:p w14:paraId="39A9E637" w14:textId="77777777" w:rsidR="00E4517C" w:rsidRDefault="00E4517C" w:rsidP="00C813C5">
      <w:pPr>
        <w:pStyle w:val="CCAHeading3"/>
      </w:pPr>
      <w:r>
        <w:t xml:space="preserve">The industrial </w:t>
      </w:r>
      <w:r w:rsidR="00C30C84">
        <w:t xml:space="preserve">and off-grid electricity </w:t>
      </w:r>
      <w:r>
        <w:t>sector</w:t>
      </w:r>
    </w:p>
    <w:p w14:paraId="45F1AF1C" w14:textId="77777777" w:rsidR="001126DE" w:rsidRDefault="00C5086A" w:rsidP="001126DE">
      <w:pPr>
        <w:pStyle w:val="CCABodytext"/>
      </w:pPr>
      <w:r>
        <w:t>In its first year of operation</w:t>
      </w:r>
      <w:r w:rsidR="001126DE">
        <w:t>, 2016</w:t>
      </w:r>
      <w:r w:rsidR="00DC316F">
        <w:t>–</w:t>
      </w:r>
      <w:r w:rsidR="001126DE">
        <w:t xml:space="preserve">17, </w:t>
      </w:r>
      <w:r w:rsidR="00382BF4">
        <w:t xml:space="preserve">all 203 </w:t>
      </w:r>
      <w:r w:rsidR="006C44D1">
        <w:t xml:space="preserve">industrial </w:t>
      </w:r>
      <w:r w:rsidR="00382BF4">
        <w:t xml:space="preserve">facilities </w:t>
      </w:r>
      <w:r w:rsidR="00C30C84">
        <w:t>and off-grid electricity generators</w:t>
      </w:r>
      <w:r w:rsidR="00382BF4">
        <w:t xml:space="preserve"> </w:t>
      </w:r>
      <w:r w:rsidR="00B95327">
        <w:t xml:space="preserve">covered by the safeguard </w:t>
      </w:r>
      <w:r w:rsidR="00382BF4" w:rsidRPr="00315341">
        <w:t>had net emissions at or below their baseline</w:t>
      </w:r>
      <w:r w:rsidR="00AE62F6">
        <w:t xml:space="preserve"> (CER 2</w:t>
      </w:r>
      <w:r w:rsidR="006F3044">
        <w:t>01</w:t>
      </w:r>
      <w:r w:rsidR="00AE62F6">
        <w:t>8</w:t>
      </w:r>
      <w:r w:rsidR="00D776E8">
        <w:t>j</w:t>
      </w:r>
      <w:r w:rsidR="00AE62F6">
        <w:t>)</w:t>
      </w:r>
      <w:r w:rsidR="00D64D39">
        <w:t xml:space="preserve"> and the sectoral baseline for electricity was not breached.</w:t>
      </w:r>
    </w:p>
    <w:p w14:paraId="63D7AAEC" w14:textId="425C2F58" w:rsidR="001126DE" w:rsidRDefault="00144333" w:rsidP="001126DE">
      <w:pPr>
        <w:pStyle w:val="CCABodytext"/>
      </w:pPr>
      <w:r>
        <w:t>Eighty-nine</w:t>
      </w:r>
      <w:r w:rsidR="00A90C98">
        <w:t xml:space="preserve"> </w:t>
      </w:r>
      <w:r w:rsidR="007C1BF6">
        <w:t xml:space="preserve">facilities used the different compliance options available to keep their net emissions </w:t>
      </w:r>
      <w:r w:rsidR="0099250F">
        <w:t xml:space="preserve">at or </w:t>
      </w:r>
      <w:r w:rsidR="007C1BF6">
        <w:t>below their baselines (</w:t>
      </w:r>
      <w:r w:rsidR="00CF77D6">
        <w:fldChar w:fldCharType="begin"/>
      </w:r>
      <w:r w:rsidR="00CF77D6">
        <w:instrText xml:space="preserve"> REF _Ref529391128 \r \h </w:instrText>
      </w:r>
      <w:r w:rsidR="00CF77D6">
        <w:fldChar w:fldCharType="separate"/>
      </w:r>
      <w:r w:rsidR="009A203A">
        <w:t>Table 7</w:t>
      </w:r>
      <w:r w:rsidR="00CF77D6">
        <w:fldChar w:fldCharType="end"/>
      </w:r>
      <w:r w:rsidR="007C1BF6">
        <w:t>).</w:t>
      </w:r>
      <w:r w:rsidR="001F4DEE">
        <w:t xml:space="preserve"> </w:t>
      </w:r>
      <w:r w:rsidR="006C44D1">
        <w:t>Most</w:t>
      </w:r>
      <w:r w:rsidR="00EB2A9C">
        <w:t xml:space="preserve"> </w:t>
      </w:r>
      <w:r w:rsidR="001C4916">
        <w:t xml:space="preserve">(75) </w:t>
      </w:r>
      <w:r w:rsidR="00EB2A9C">
        <w:t>of these</w:t>
      </w:r>
      <w:r w:rsidR="006C44D1">
        <w:t xml:space="preserve"> facilities opted to</w:t>
      </w:r>
      <w:r w:rsidR="00C30C84">
        <w:t xml:space="preserve"> apply for a </w:t>
      </w:r>
      <w:r w:rsidR="00B95327">
        <w:t xml:space="preserve">calculated </w:t>
      </w:r>
      <w:r w:rsidR="00C30C84">
        <w:t>baseline based on</w:t>
      </w:r>
      <w:r w:rsidR="006C44D1">
        <w:t xml:space="preserve"> </w:t>
      </w:r>
      <w:r w:rsidR="00C30C84">
        <w:t>their forecast production and emissions intensity of that production</w:t>
      </w:r>
      <w:r w:rsidR="00B95327">
        <w:t>.</w:t>
      </w:r>
      <w:r w:rsidR="006C44D1" w:rsidDel="00B95327">
        <w:t xml:space="preserve"> </w:t>
      </w:r>
      <w:r>
        <w:t>Fifty-nine</w:t>
      </w:r>
      <w:r w:rsidR="00575976">
        <w:t xml:space="preserve"> of those applied under the initial calculated </w:t>
      </w:r>
      <w:r w:rsidR="00146929">
        <w:t>bas</w:t>
      </w:r>
      <w:r w:rsidR="00C714E6">
        <w:t>e</w:t>
      </w:r>
      <w:r w:rsidR="00146929">
        <w:t xml:space="preserve">line </w:t>
      </w:r>
      <w:r w:rsidR="00575976">
        <w:t xml:space="preserve">criteria </w:t>
      </w:r>
      <w:r w:rsidR="00146929">
        <w:t xml:space="preserve">which is </w:t>
      </w:r>
      <w:r w:rsidR="008F2E04">
        <w:t>a one-</w:t>
      </w:r>
      <w:r w:rsidR="006C44D1">
        <w:t>off adjustment only available to facilities i</w:t>
      </w:r>
      <w:r w:rsidR="00757726">
        <w:t>n 2016</w:t>
      </w:r>
      <w:r w:rsidR="00DC316F">
        <w:t>–</w:t>
      </w:r>
      <w:r w:rsidR="00757726">
        <w:t>17</w:t>
      </w:r>
      <w:r w:rsidR="006C44D1">
        <w:t>.</w:t>
      </w:r>
      <w:r w:rsidR="006C44D1" w:rsidDel="006C44D1">
        <w:t xml:space="preserve"> </w:t>
      </w:r>
      <w:r w:rsidR="00DC316F">
        <w:t>Sixteen</w:t>
      </w:r>
      <w:r w:rsidR="00DC316F" w:rsidRPr="00315341">
        <w:t xml:space="preserve"> </w:t>
      </w:r>
      <w:r w:rsidR="001126DE" w:rsidRPr="00315341">
        <w:t xml:space="preserve">facilities surrendered </w:t>
      </w:r>
      <w:r w:rsidR="002962E2">
        <w:t xml:space="preserve">a total of </w:t>
      </w:r>
      <w:r w:rsidR="001126DE" w:rsidRPr="00315341">
        <w:t>nearly 450,000 A</w:t>
      </w:r>
      <w:r w:rsidR="00F911DD">
        <w:t xml:space="preserve">ustralian </w:t>
      </w:r>
      <w:r w:rsidR="001126DE" w:rsidRPr="00315341">
        <w:t>C</w:t>
      </w:r>
      <w:r w:rsidR="00F911DD">
        <w:t xml:space="preserve">arbon </w:t>
      </w:r>
      <w:r w:rsidR="001126DE" w:rsidRPr="00315341">
        <w:t>C</w:t>
      </w:r>
      <w:r w:rsidR="00F911DD">
        <w:t xml:space="preserve">redit </w:t>
      </w:r>
      <w:r w:rsidR="001126DE" w:rsidRPr="00315341">
        <w:t>U</w:t>
      </w:r>
      <w:r w:rsidR="00F911DD">
        <w:t>nit</w:t>
      </w:r>
      <w:r w:rsidR="001126DE" w:rsidRPr="00315341">
        <w:t>s for compliance with the safeguard amounting to 0.4</w:t>
      </w:r>
      <w:r w:rsidR="006A09C1">
        <w:t>5</w:t>
      </w:r>
      <w:r w:rsidR="001126DE" w:rsidRPr="00315341">
        <w:t xml:space="preserve"> Mt</w:t>
      </w:r>
      <w:r w:rsidR="0055338C">
        <w:t xml:space="preserve"> </w:t>
      </w:r>
      <w:r w:rsidR="001126DE" w:rsidRPr="00315341">
        <w:t>CO</w:t>
      </w:r>
      <w:r w:rsidR="001126DE" w:rsidRPr="00D870AC">
        <w:rPr>
          <w:vertAlign w:val="subscript"/>
        </w:rPr>
        <w:t>2</w:t>
      </w:r>
      <w:r w:rsidR="001126DE" w:rsidRPr="00315341">
        <w:t xml:space="preserve">-e. This represents less than </w:t>
      </w:r>
      <w:r w:rsidR="006C6924">
        <w:t>1</w:t>
      </w:r>
      <w:r w:rsidR="001126DE" w:rsidRPr="00315341">
        <w:t xml:space="preserve"> per cent of the total emissions covered by the safeguard and three per cent of the total A</w:t>
      </w:r>
      <w:r w:rsidR="00F911DD">
        <w:t xml:space="preserve">ustralian </w:t>
      </w:r>
      <w:r w:rsidR="001126DE" w:rsidRPr="00315341">
        <w:t>C</w:t>
      </w:r>
      <w:r w:rsidR="00F911DD">
        <w:t xml:space="preserve">arbon </w:t>
      </w:r>
      <w:r w:rsidR="001126DE" w:rsidRPr="00315341">
        <w:t>C</w:t>
      </w:r>
      <w:r w:rsidR="00F911DD">
        <w:t xml:space="preserve">redit </w:t>
      </w:r>
      <w:r w:rsidR="001126DE" w:rsidRPr="00315341">
        <w:t>U</w:t>
      </w:r>
      <w:r w:rsidR="00F911DD">
        <w:t>nit</w:t>
      </w:r>
      <w:r w:rsidR="001126DE" w:rsidRPr="00315341">
        <w:t xml:space="preserve">s issued that year (CER </w:t>
      </w:r>
      <w:r w:rsidR="00A8630A">
        <w:t>2</w:t>
      </w:r>
      <w:r w:rsidR="006F3044">
        <w:t>01</w:t>
      </w:r>
      <w:r w:rsidR="00A8630A">
        <w:t>8</w:t>
      </w:r>
      <w:r w:rsidR="00627760">
        <w:t xml:space="preserve">a, </w:t>
      </w:r>
      <w:r w:rsidR="00D776E8">
        <w:t>j</w:t>
      </w:r>
      <w:r w:rsidR="00627760">
        <w:t>)</w:t>
      </w:r>
      <w:r w:rsidR="001126DE" w:rsidRPr="00315341">
        <w:t xml:space="preserve">. </w:t>
      </w:r>
    </w:p>
    <w:p w14:paraId="63C51332" w14:textId="77777777" w:rsidR="007C1BF6" w:rsidRPr="00DE00B3" w:rsidRDefault="007C1BF6" w:rsidP="00532BE2">
      <w:pPr>
        <w:pStyle w:val="CCATableheader"/>
      </w:pPr>
      <w:bookmarkStart w:id="767" w:name="_Ref529391128"/>
      <w:bookmarkStart w:id="768" w:name="_Toc531095539"/>
      <w:bookmarkStart w:id="769" w:name="_Toc531099305"/>
      <w:bookmarkStart w:id="770" w:name="_Toc531101714"/>
      <w:bookmarkStart w:id="771" w:name="_Toc531341083"/>
      <w:bookmarkStart w:id="772" w:name="_Toc531764051"/>
      <w:bookmarkStart w:id="773" w:name="_Toc532912072"/>
      <w:bookmarkStart w:id="774" w:name="_Toc532914016"/>
      <w:r w:rsidRPr="00DE00B3">
        <w:t>The number of facilities that used options for meeting baselines in 2016</w:t>
      </w:r>
      <w:r w:rsidR="00DC316F">
        <w:t>–</w:t>
      </w:r>
      <w:r w:rsidRPr="00DE00B3">
        <w:t>17</w:t>
      </w:r>
      <w:bookmarkEnd w:id="767"/>
      <w:bookmarkEnd w:id="768"/>
      <w:bookmarkEnd w:id="769"/>
      <w:bookmarkEnd w:id="770"/>
      <w:bookmarkEnd w:id="771"/>
      <w:bookmarkEnd w:id="772"/>
      <w:bookmarkEnd w:id="773"/>
      <w:bookmarkEnd w:id="7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36"/>
      </w:tblGrid>
      <w:tr w:rsidR="007C1BF6" w:rsidRPr="003D3E4D" w14:paraId="2C1D18D2" w14:textId="77777777" w:rsidTr="002402FB">
        <w:trPr>
          <w:trHeight w:val="397"/>
        </w:trPr>
        <w:tc>
          <w:tcPr>
            <w:tcW w:w="5807" w:type="dxa"/>
            <w:shd w:val="clear" w:color="auto" w:fill="0C9FCD"/>
            <w:vAlign w:val="center"/>
          </w:tcPr>
          <w:p w14:paraId="1A7E61D9" w14:textId="77777777" w:rsidR="007C1BF6" w:rsidRPr="002402FB" w:rsidRDefault="007C1BF6" w:rsidP="002402FB">
            <w:pPr>
              <w:pStyle w:val="CCABodytext"/>
              <w:spacing w:before="40" w:after="0"/>
              <w:rPr>
                <w:b/>
                <w:color w:val="FFFFFF" w:themeColor="background1"/>
                <w:sz w:val="20"/>
                <w:szCs w:val="20"/>
              </w:rPr>
            </w:pPr>
            <w:r w:rsidRPr="002402FB">
              <w:rPr>
                <w:b/>
                <w:color w:val="FFFFFF" w:themeColor="background1"/>
                <w:sz w:val="20"/>
                <w:szCs w:val="20"/>
              </w:rPr>
              <w:t>Approach</w:t>
            </w:r>
          </w:p>
        </w:tc>
        <w:tc>
          <w:tcPr>
            <w:tcW w:w="3936" w:type="dxa"/>
            <w:shd w:val="clear" w:color="auto" w:fill="0C9FCD"/>
            <w:vAlign w:val="center"/>
          </w:tcPr>
          <w:p w14:paraId="7D7C7EE5" w14:textId="77777777" w:rsidR="007C1BF6" w:rsidRPr="002402FB" w:rsidRDefault="007C1BF6" w:rsidP="00EA5E4E">
            <w:pPr>
              <w:pStyle w:val="CCABodytext"/>
              <w:spacing w:before="40" w:after="0"/>
              <w:jc w:val="right"/>
              <w:rPr>
                <w:b/>
                <w:color w:val="FFFFFF" w:themeColor="background1"/>
                <w:sz w:val="20"/>
                <w:szCs w:val="20"/>
              </w:rPr>
            </w:pPr>
            <w:r w:rsidRPr="002402FB">
              <w:rPr>
                <w:b/>
                <w:color w:val="FFFFFF" w:themeColor="background1"/>
                <w:sz w:val="20"/>
                <w:szCs w:val="20"/>
              </w:rPr>
              <w:t>Number of facilities</w:t>
            </w:r>
          </w:p>
        </w:tc>
      </w:tr>
      <w:tr w:rsidR="007C1BF6" w:rsidRPr="003D3E4D" w14:paraId="0C7B605C" w14:textId="77777777" w:rsidTr="002402FB">
        <w:trPr>
          <w:trHeight w:val="397"/>
        </w:trPr>
        <w:tc>
          <w:tcPr>
            <w:tcW w:w="5807" w:type="dxa"/>
            <w:tcBorders>
              <w:top w:val="dotted" w:sz="4" w:space="0" w:color="309CC8" w:themeColor="accent1"/>
              <w:bottom w:val="dotted" w:sz="4" w:space="0" w:color="309CC8" w:themeColor="accent1"/>
            </w:tcBorders>
            <w:vAlign w:val="center"/>
          </w:tcPr>
          <w:p w14:paraId="734DED0E" w14:textId="77777777" w:rsidR="007C1BF6" w:rsidRPr="002402FB" w:rsidRDefault="007C1BF6" w:rsidP="006C0ABD">
            <w:pPr>
              <w:pStyle w:val="CCABodytext"/>
              <w:spacing w:after="0"/>
              <w:rPr>
                <w:sz w:val="20"/>
                <w:szCs w:val="20"/>
              </w:rPr>
            </w:pPr>
            <w:r w:rsidRPr="002402FB">
              <w:rPr>
                <w:sz w:val="20"/>
                <w:szCs w:val="20"/>
              </w:rPr>
              <w:t>Calculated baseline granted</w:t>
            </w:r>
          </w:p>
        </w:tc>
        <w:tc>
          <w:tcPr>
            <w:tcW w:w="3936" w:type="dxa"/>
            <w:tcBorders>
              <w:top w:val="dotted" w:sz="4" w:space="0" w:color="309CC8" w:themeColor="accent1"/>
              <w:bottom w:val="dotted" w:sz="4" w:space="0" w:color="309CC8" w:themeColor="accent1"/>
            </w:tcBorders>
            <w:vAlign w:val="center"/>
          </w:tcPr>
          <w:p w14:paraId="0F8C17D8" w14:textId="77777777" w:rsidR="007C1BF6" w:rsidRPr="002402FB" w:rsidRDefault="00A90C98" w:rsidP="00EA5E4E">
            <w:pPr>
              <w:pStyle w:val="CCABodytext"/>
              <w:spacing w:after="0"/>
              <w:jc w:val="right"/>
              <w:rPr>
                <w:sz w:val="20"/>
                <w:szCs w:val="20"/>
              </w:rPr>
            </w:pPr>
            <w:r w:rsidRPr="002402FB">
              <w:rPr>
                <w:sz w:val="20"/>
                <w:szCs w:val="20"/>
              </w:rPr>
              <w:t>75</w:t>
            </w:r>
          </w:p>
        </w:tc>
      </w:tr>
      <w:tr w:rsidR="007C1BF6" w:rsidRPr="003D3E4D" w14:paraId="7B14CA55" w14:textId="77777777" w:rsidTr="002402FB">
        <w:trPr>
          <w:trHeight w:val="397"/>
        </w:trPr>
        <w:tc>
          <w:tcPr>
            <w:tcW w:w="5807" w:type="dxa"/>
            <w:tcBorders>
              <w:top w:val="dotted" w:sz="4" w:space="0" w:color="309CC8" w:themeColor="accent1"/>
              <w:bottom w:val="dotted" w:sz="4" w:space="0" w:color="309CC8" w:themeColor="accent1"/>
            </w:tcBorders>
            <w:vAlign w:val="center"/>
          </w:tcPr>
          <w:p w14:paraId="742C674F" w14:textId="77777777" w:rsidR="007C1BF6" w:rsidRPr="002402FB" w:rsidRDefault="007C1BF6" w:rsidP="006C0ABD">
            <w:pPr>
              <w:pStyle w:val="CCABodytext"/>
              <w:spacing w:after="0"/>
              <w:rPr>
                <w:sz w:val="20"/>
                <w:szCs w:val="20"/>
              </w:rPr>
            </w:pPr>
            <w:r w:rsidRPr="002402FB">
              <w:rPr>
                <w:sz w:val="20"/>
                <w:szCs w:val="20"/>
              </w:rPr>
              <w:t>Emissions intensity baseline variation granted</w:t>
            </w:r>
          </w:p>
        </w:tc>
        <w:tc>
          <w:tcPr>
            <w:tcW w:w="3936" w:type="dxa"/>
            <w:tcBorders>
              <w:top w:val="dotted" w:sz="4" w:space="0" w:color="309CC8" w:themeColor="accent1"/>
              <w:bottom w:val="dotted" w:sz="4" w:space="0" w:color="309CC8" w:themeColor="accent1"/>
            </w:tcBorders>
            <w:vAlign w:val="center"/>
          </w:tcPr>
          <w:p w14:paraId="66844340" w14:textId="77777777" w:rsidR="007C1BF6" w:rsidRPr="002402FB" w:rsidRDefault="007C1BF6" w:rsidP="00EA5E4E">
            <w:pPr>
              <w:pStyle w:val="CCABodytext"/>
              <w:spacing w:after="0"/>
              <w:jc w:val="right"/>
              <w:rPr>
                <w:sz w:val="20"/>
                <w:szCs w:val="20"/>
              </w:rPr>
            </w:pPr>
            <w:r w:rsidRPr="002402FB">
              <w:rPr>
                <w:sz w:val="20"/>
                <w:szCs w:val="20"/>
              </w:rPr>
              <w:t>2</w:t>
            </w:r>
          </w:p>
        </w:tc>
      </w:tr>
      <w:tr w:rsidR="007C1BF6" w:rsidRPr="003D3E4D" w14:paraId="5BCD8222" w14:textId="77777777" w:rsidTr="002402FB">
        <w:trPr>
          <w:trHeight w:val="397"/>
        </w:trPr>
        <w:tc>
          <w:tcPr>
            <w:tcW w:w="5807" w:type="dxa"/>
            <w:tcBorders>
              <w:top w:val="dotted" w:sz="4" w:space="0" w:color="309CC8" w:themeColor="accent1"/>
              <w:bottom w:val="dotted" w:sz="4" w:space="0" w:color="309CC8" w:themeColor="accent1"/>
            </w:tcBorders>
            <w:vAlign w:val="center"/>
          </w:tcPr>
          <w:p w14:paraId="67A32825" w14:textId="77777777" w:rsidR="007C1BF6" w:rsidRPr="002402FB" w:rsidRDefault="007C1BF6" w:rsidP="006C0ABD">
            <w:pPr>
              <w:pStyle w:val="CCABodytext"/>
              <w:spacing w:after="0"/>
              <w:rPr>
                <w:sz w:val="20"/>
                <w:szCs w:val="20"/>
              </w:rPr>
            </w:pPr>
            <w:r w:rsidRPr="002402FB">
              <w:rPr>
                <w:sz w:val="20"/>
                <w:szCs w:val="20"/>
              </w:rPr>
              <w:t>Multi-year monitoring period granted</w:t>
            </w:r>
          </w:p>
        </w:tc>
        <w:tc>
          <w:tcPr>
            <w:tcW w:w="3936" w:type="dxa"/>
            <w:tcBorders>
              <w:top w:val="dotted" w:sz="4" w:space="0" w:color="309CC8" w:themeColor="accent1"/>
              <w:bottom w:val="dotted" w:sz="4" w:space="0" w:color="309CC8" w:themeColor="accent1"/>
            </w:tcBorders>
            <w:vAlign w:val="center"/>
          </w:tcPr>
          <w:p w14:paraId="79480AA6" w14:textId="77777777" w:rsidR="007C1BF6" w:rsidRPr="002402FB" w:rsidRDefault="007C1BF6" w:rsidP="00EA5E4E">
            <w:pPr>
              <w:pStyle w:val="CCABodytext"/>
              <w:spacing w:after="0"/>
              <w:jc w:val="right"/>
              <w:rPr>
                <w:sz w:val="20"/>
                <w:szCs w:val="20"/>
              </w:rPr>
            </w:pPr>
            <w:r w:rsidRPr="002402FB">
              <w:rPr>
                <w:sz w:val="20"/>
                <w:szCs w:val="20"/>
              </w:rPr>
              <w:t>6</w:t>
            </w:r>
          </w:p>
        </w:tc>
      </w:tr>
      <w:tr w:rsidR="007C1BF6" w:rsidRPr="003D3E4D" w14:paraId="245B9B0F" w14:textId="77777777" w:rsidTr="002402FB">
        <w:trPr>
          <w:trHeight w:val="397"/>
        </w:trPr>
        <w:tc>
          <w:tcPr>
            <w:tcW w:w="5807" w:type="dxa"/>
            <w:tcBorders>
              <w:top w:val="dotted" w:sz="4" w:space="0" w:color="309CC8" w:themeColor="accent1"/>
            </w:tcBorders>
            <w:vAlign w:val="center"/>
          </w:tcPr>
          <w:p w14:paraId="760627B1" w14:textId="77777777" w:rsidR="007C1BF6" w:rsidRPr="002402FB" w:rsidRDefault="007C1BF6" w:rsidP="006C0ABD">
            <w:pPr>
              <w:pStyle w:val="CCABodytext"/>
              <w:spacing w:after="0"/>
              <w:rPr>
                <w:sz w:val="20"/>
                <w:szCs w:val="20"/>
              </w:rPr>
            </w:pPr>
            <w:r w:rsidRPr="002402FB">
              <w:rPr>
                <w:sz w:val="20"/>
                <w:szCs w:val="20"/>
              </w:rPr>
              <w:t>Surrendered Australian Carbon Credit Units</w:t>
            </w:r>
          </w:p>
        </w:tc>
        <w:tc>
          <w:tcPr>
            <w:tcW w:w="3936" w:type="dxa"/>
            <w:tcBorders>
              <w:top w:val="dotted" w:sz="4" w:space="0" w:color="309CC8" w:themeColor="accent1"/>
            </w:tcBorders>
            <w:vAlign w:val="center"/>
          </w:tcPr>
          <w:p w14:paraId="652DAD3B" w14:textId="77777777" w:rsidR="007C1BF6" w:rsidRPr="002402FB" w:rsidRDefault="007C1BF6" w:rsidP="00EA5E4E">
            <w:pPr>
              <w:pStyle w:val="CCABodytext"/>
              <w:spacing w:after="0"/>
              <w:jc w:val="right"/>
              <w:rPr>
                <w:sz w:val="20"/>
                <w:szCs w:val="20"/>
              </w:rPr>
            </w:pPr>
            <w:r w:rsidRPr="002402FB">
              <w:rPr>
                <w:sz w:val="20"/>
                <w:szCs w:val="20"/>
              </w:rPr>
              <w:t>16</w:t>
            </w:r>
          </w:p>
        </w:tc>
      </w:tr>
    </w:tbl>
    <w:p w14:paraId="69585421" w14:textId="77777777" w:rsidR="007C1BF6" w:rsidRPr="009557B4" w:rsidRDefault="007C1BF6" w:rsidP="001D17FB">
      <w:pPr>
        <w:pStyle w:val="CCANotesource"/>
      </w:pPr>
      <w:r w:rsidRPr="00DE00B3">
        <w:rPr>
          <w:b/>
        </w:rPr>
        <w:t>Note:</w:t>
      </w:r>
      <w:r w:rsidRPr="009557B4">
        <w:t xml:space="preserve"> The sum of facilities that used compliance options exceeds </w:t>
      </w:r>
      <w:r w:rsidR="001C67F7">
        <w:t>89</w:t>
      </w:r>
      <w:r w:rsidRPr="009557B4">
        <w:t xml:space="preserve"> as some facilities made use of multiple compliance options.</w:t>
      </w:r>
      <w:r w:rsidR="00987D1E">
        <w:br/>
      </w:r>
      <w:r w:rsidR="00987D1E" w:rsidRPr="00DE00B3">
        <w:rPr>
          <w:b/>
        </w:rPr>
        <w:t>Source:</w:t>
      </w:r>
      <w:r w:rsidR="00987D1E" w:rsidRPr="009557B4">
        <w:t xml:space="preserve"> Climate Change Authority analysis based on CER 2</w:t>
      </w:r>
      <w:r w:rsidR="00D776E8">
        <w:t>01</w:t>
      </w:r>
      <w:r w:rsidR="00987D1E">
        <w:t>8</w:t>
      </w:r>
      <w:r w:rsidR="00D776E8">
        <w:t>j</w:t>
      </w:r>
    </w:p>
    <w:p w14:paraId="7CA07357" w14:textId="77777777" w:rsidR="00D870AC" w:rsidRPr="00315341" w:rsidRDefault="00C30C84" w:rsidP="00315341">
      <w:pPr>
        <w:pStyle w:val="CCABodytext"/>
      </w:pPr>
      <w:r>
        <w:t>I</w:t>
      </w:r>
      <w:r w:rsidR="00D870AC" w:rsidRPr="00861CC6">
        <w:t>n aggregate</w:t>
      </w:r>
      <w:r>
        <w:t>,</w:t>
      </w:r>
      <w:r w:rsidR="00D870AC" w:rsidRPr="00861CC6">
        <w:t xml:space="preserve"> </w:t>
      </w:r>
      <w:r w:rsidR="000B334E">
        <w:t>for</w:t>
      </w:r>
      <w:r w:rsidR="00C5086A">
        <w:t xml:space="preserve"> 2016</w:t>
      </w:r>
      <w:r w:rsidR="00DC316F">
        <w:t>–</w:t>
      </w:r>
      <w:r w:rsidR="00C5086A">
        <w:t>17</w:t>
      </w:r>
      <w:r w:rsidR="00D870AC" w:rsidRPr="00861CC6">
        <w:t xml:space="preserve"> baselines </w:t>
      </w:r>
      <w:r w:rsidR="000B334E">
        <w:t>we</w:t>
      </w:r>
      <w:r>
        <w:t xml:space="preserve">re </w:t>
      </w:r>
      <w:r w:rsidR="00A02F3C">
        <w:t>34</w:t>
      </w:r>
      <w:r>
        <w:t xml:space="preserve"> </w:t>
      </w:r>
      <w:r w:rsidR="008D638E">
        <w:t>Mt CO</w:t>
      </w:r>
      <w:r w:rsidR="008D638E" w:rsidRPr="00B15B2C">
        <w:rPr>
          <w:vertAlign w:val="subscript"/>
        </w:rPr>
        <w:t>2</w:t>
      </w:r>
      <w:r w:rsidR="008D638E">
        <w:t>-e</w:t>
      </w:r>
      <w:r>
        <w:t xml:space="preserve"> </w:t>
      </w:r>
      <w:r w:rsidR="008D638E">
        <w:t>(</w:t>
      </w:r>
      <w:r w:rsidR="0037045E">
        <w:t xml:space="preserve">or </w:t>
      </w:r>
      <w:r w:rsidR="00A02F3C">
        <w:t>26</w:t>
      </w:r>
      <w:r w:rsidR="008D638E">
        <w:t xml:space="preserve"> per cent)</w:t>
      </w:r>
      <w:r>
        <w:t xml:space="preserve"> above actual emissions</w:t>
      </w:r>
      <w:r w:rsidR="00A8630A">
        <w:t xml:space="preserve"> (CER 2</w:t>
      </w:r>
      <w:r w:rsidR="00D776E8">
        <w:t>01</w:t>
      </w:r>
      <w:r w:rsidR="00A8630A">
        <w:t>8</w:t>
      </w:r>
      <w:r w:rsidR="00D776E8">
        <w:t>j</w:t>
      </w:r>
      <w:r w:rsidR="00A8630A">
        <w:t>)</w:t>
      </w:r>
      <w:r w:rsidR="00D870AC" w:rsidRPr="00861CC6">
        <w:t>.</w:t>
      </w:r>
      <w:r w:rsidR="00D870AC">
        <w:t xml:space="preserve"> There are a number of reasons why a facility’s baseline may </w:t>
      </w:r>
      <w:r w:rsidR="002402FB">
        <w:t xml:space="preserve">be greater than </w:t>
      </w:r>
      <w:r w:rsidR="00D870AC">
        <w:t>its actual emissions</w:t>
      </w:r>
      <w:r w:rsidR="008563BA">
        <w:t>,</w:t>
      </w:r>
      <w:r w:rsidR="00D870AC">
        <w:t xml:space="preserve"> including that the facility has reduced its production</w:t>
      </w:r>
      <w:r w:rsidR="00146929">
        <w:t xml:space="preserve"> </w:t>
      </w:r>
      <w:r w:rsidR="00D870AC">
        <w:t>level or invested in new technology that reduces its emissions</w:t>
      </w:r>
      <w:r w:rsidR="00146929">
        <w:t xml:space="preserve"> </w:t>
      </w:r>
      <w:r w:rsidR="00D870AC">
        <w:t xml:space="preserve">intensity. </w:t>
      </w:r>
    </w:p>
    <w:p w14:paraId="3275CC63" w14:textId="77777777" w:rsidR="00D870AC" w:rsidRDefault="00F44E94" w:rsidP="00D870AC">
      <w:pPr>
        <w:pStyle w:val="CCABodytext"/>
      </w:pPr>
      <w:r w:rsidRPr="00315341">
        <w:t xml:space="preserve">Data </w:t>
      </w:r>
      <w:r w:rsidR="001126DE">
        <w:t>f</w:t>
      </w:r>
      <w:r w:rsidR="006A4D77">
        <w:t>or</w:t>
      </w:r>
      <w:r w:rsidRPr="00315341">
        <w:t xml:space="preserve"> safeguard facilities’ emissions in 2017</w:t>
      </w:r>
      <w:r w:rsidR="00DC316F">
        <w:t>–</w:t>
      </w:r>
      <w:r w:rsidRPr="00315341">
        <w:t>18 is expected t</w:t>
      </w:r>
      <w:r w:rsidR="00C5086A">
        <w:t>o be available in March 2019</w:t>
      </w:r>
      <w:r w:rsidRPr="00315341">
        <w:t xml:space="preserve"> so the Authority is unable to comment on safeguard outcomes for 2017</w:t>
      </w:r>
      <w:r w:rsidR="00DC316F">
        <w:t>–</w:t>
      </w:r>
      <w:r w:rsidRPr="00315341">
        <w:t>18.</w:t>
      </w:r>
    </w:p>
    <w:p w14:paraId="6C2ECE80" w14:textId="77777777" w:rsidR="00E4517C" w:rsidRDefault="00E4517C" w:rsidP="00C813C5">
      <w:pPr>
        <w:pStyle w:val="CCAHeading3"/>
      </w:pPr>
      <w:bookmarkStart w:id="775" w:name="_Ref531606635"/>
      <w:r>
        <w:t xml:space="preserve">The </w:t>
      </w:r>
      <w:r w:rsidR="000B334E">
        <w:t xml:space="preserve">grid-connected </w:t>
      </w:r>
      <w:r>
        <w:t>electricity sector</w:t>
      </w:r>
      <w:bookmarkEnd w:id="775"/>
    </w:p>
    <w:p w14:paraId="5AB4EADA" w14:textId="43763066" w:rsidR="009A19AA" w:rsidRDefault="00F31E73" w:rsidP="00E4517C">
      <w:pPr>
        <w:pStyle w:val="CCABodytext"/>
      </w:pPr>
      <w:r>
        <w:t>In 2016</w:t>
      </w:r>
      <w:r w:rsidR="00DC316F">
        <w:t>–</w:t>
      </w:r>
      <w:r>
        <w:t>17, emissions from grid-connected electricity generat</w:t>
      </w:r>
      <w:r w:rsidR="008D638E">
        <w:t>or</w:t>
      </w:r>
      <w:r>
        <w:t xml:space="preserve">s were below the sectoral baseline </w:t>
      </w:r>
      <w:r w:rsidR="00C5086A">
        <w:t xml:space="preserve">by almost 24 </w:t>
      </w:r>
      <w:r w:rsidR="008D638E">
        <w:t>Mt CO</w:t>
      </w:r>
      <w:r w:rsidR="008D638E" w:rsidRPr="00B15B2C">
        <w:rPr>
          <w:vertAlign w:val="subscript"/>
        </w:rPr>
        <w:t>2</w:t>
      </w:r>
      <w:r w:rsidR="008D638E">
        <w:t>-e</w:t>
      </w:r>
      <w:r w:rsidR="00C5086A">
        <w:t xml:space="preserve"> (</w:t>
      </w:r>
      <w:r w:rsidR="00430D90">
        <w:t xml:space="preserve">or </w:t>
      </w:r>
      <w:r w:rsidR="00D012C0">
        <w:t>1</w:t>
      </w:r>
      <w:r w:rsidR="006A09C1">
        <w:t>2</w:t>
      </w:r>
      <w:r w:rsidR="00C5086A">
        <w:t xml:space="preserve"> per cent)</w:t>
      </w:r>
      <w:r w:rsidR="00146929">
        <w:t>. This meant</w:t>
      </w:r>
      <w:r w:rsidR="00C30C84">
        <w:t xml:space="preserve"> </w:t>
      </w:r>
      <w:r>
        <w:t xml:space="preserve">individual baseline compliance obligations </w:t>
      </w:r>
      <w:r w:rsidR="00C30C84">
        <w:t>were not triggered</w:t>
      </w:r>
      <w:r w:rsidR="00A8630A">
        <w:t xml:space="preserve"> (CER </w:t>
      </w:r>
      <w:r w:rsidR="00D776E8">
        <w:t>2018g</w:t>
      </w:r>
      <w:r w:rsidR="00A8630A">
        <w:t>)</w:t>
      </w:r>
      <w:r>
        <w:t xml:space="preserve">. </w:t>
      </w:r>
      <w:r w:rsidR="00E4517C" w:rsidRPr="00A1270E">
        <w:t xml:space="preserve">Australia’s electricity emissions have remained below their 2009 peak ever since, and are projected to </w:t>
      </w:r>
      <w:r w:rsidR="009A19AA">
        <w:t xml:space="preserve">continue to </w:t>
      </w:r>
      <w:r w:rsidR="00E4517C" w:rsidRPr="00A1270E">
        <w:t xml:space="preserve">decline in </w:t>
      </w:r>
      <w:r w:rsidR="00E4517C">
        <w:t xml:space="preserve">the </w:t>
      </w:r>
      <w:r w:rsidR="00E4517C" w:rsidRPr="00A1270E">
        <w:t xml:space="preserve">short to medium term </w:t>
      </w:r>
      <w:r w:rsidR="006A09C1">
        <w:t xml:space="preserve">and then remain relatively flat until 2030 </w:t>
      </w:r>
      <w:r w:rsidR="00E4517C" w:rsidRPr="00A1270E">
        <w:t>(</w:t>
      </w:r>
      <w:r w:rsidR="00D776E8">
        <w:t>Commonwealth of Australia 201</w:t>
      </w:r>
      <w:r w:rsidR="00AC4164">
        <w:t>8e</w:t>
      </w:r>
      <w:r w:rsidR="00E4517C" w:rsidRPr="00A1270E">
        <w:t>).</w:t>
      </w:r>
      <w:r w:rsidR="00E4517C">
        <w:t xml:space="preserve"> </w:t>
      </w:r>
    </w:p>
    <w:p w14:paraId="69A28BD4" w14:textId="77777777" w:rsidR="00E4517C" w:rsidRDefault="00E4517C" w:rsidP="00ED5FD0">
      <w:pPr>
        <w:pStyle w:val="CCABodytext"/>
        <w:spacing w:after="0"/>
        <w:jc w:val="center"/>
      </w:pPr>
    </w:p>
    <w:p w14:paraId="1BDB2DAB" w14:textId="77777777" w:rsidR="00E4517C" w:rsidRDefault="00E4517C" w:rsidP="00C813C5">
      <w:pPr>
        <w:pStyle w:val="CCAHeading3"/>
      </w:pPr>
      <w:r>
        <w:t>Overall</w:t>
      </w:r>
    </w:p>
    <w:p w14:paraId="4273B0F1" w14:textId="77777777" w:rsidR="006A4D77" w:rsidRDefault="00146929" w:rsidP="00BD492A">
      <w:pPr>
        <w:pStyle w:val="CCABodytext"/>
      </w:pPr>
      <w:r>
        <w:t>T</w:t>
      </w:r>
      <w:r w:rsidR="00C5086A">
        <w:t xml:space="preserve">he Authority heard </w:t>
      </w:r>
      <w:r w:rsidR="006A4D77">
        <w:t xml:space="preserve">companies with safeguard obligations generally </w:t>
      </w:r>
      <w:r w:rsidR="00A4785D">
        <w:t xml:space="preserve">support </w:t>
      </w:r>
      <w:r w:rsidR="006A4D77">
        <w:t xml:space="preserve">the mechanism’s </w:t>
      </w:r>
      <w:r w:rsidR="00A4785D">
        <w:t>broad policy approach and principles.</w:t>
      </w:r>
      <w:r>
        <w:rPr>
          <w:rStyle w:val="FootnoteReference"/>
        </w:rPr>
        <w:footnoteReference w:id="31"/>
      </w:r>
      <w:r w:rsidR="00A4785D">
        <w:t xml:space="preserve"> </w:t>
      </w:r>
    </w:p>
    <w:p w14:paraId="6B57F3C0" w14:textId="77777777" w:rsidR="00DE00B3" w:rsidRDefault="00A4785D" w:rsidP="003A4D92">
      <w:pPr>
        <w:pStyle w:val="CCAquote"/>
      </w:pPr>
      <w:r>
        <w:t>The Safeguard Mechanism is meeting its stated intent</w:t>
      </w:r>
      <w:r w:rsidR="00D624C8">
        <w:t>.</w:t>
      </w:r>
      <w:r>
        <w:t xml:space="preserve"> </w:t>
      </w:r>
    </w:p>
    <w:p w14:paraId="282F03AA" w14:textId="77777777" w:rsidR="00A4785D" w:rsidRDefault="006A4D77" w:rsidP="00DE00B3">
      <w:pPr>
        <w:pStyle w:val="CCAquotesource"/>
      </w:pPr>
      <w:r>
        <w:t>Australian Industry Greenhouse Network</w:t>
      </w:r>
      <w:r w:rsidR="005D0038">
        <w:t>,</w:t>
      </w:r>
      <w:r w:rsidR="00484EBE">
        <w:t xml:space="preserve"> submission on this review (p</w:t>
      </w:r>
      <w:r w:rsidR="00190737">
        <w:t>.</w:t>
      </w:r>
      <w:r w:rsidR="00484EBE">
        <w:t xml:space="preserve"> 7)</w:t>
      </w:r>
    </w:p>
    <w:p w14:paraId="2EAC4E6D" w14:textId="7EEE4406" w:rsidR="006E55B5" w:rsidRDefault="006E55B5" w:rsidP="006E55B5">
      <w:pPr>
        <w:pStyle w:val="CCABodytext"/>
        <w:rPr>
          <w:rFonts w:eastAsia="Calibri" w:cs="Times New Roman"/>
        </w:rPr>
      </w:pPr>
      <w:r>
        <w:t xml:space="preserve">The </w:t>
      </w:r>
      <w:r w:rsidR="00C5086A">
        <w:t xml:space="preserve">Authority was also told the </w:t>
      </w:r>
      <w:r>
        <w:t>safeguard is a mechanism</w:t>
      </w:r>
      <w:r w:rsidR="00106CB6">
        <w:t xml:space="preserve"> that provides an incentive</w:t>
      </w:r>
      <w:r>
        <w:t xml:space="preserve"> for</w:t>
      </w:r>
      <w:r w:rsidR="00106CB6">
        <w:t xml:space="preserve"> companies to</w:t>
      </w:r>
      <w:r>
        <w:t xml:space="preserve"> manag</w:t>
      </w:r>
      <w:r w:rsidR="00106CB6">
        <w:t>e</w:t>
      </w:r>
      <w:r>
        <w:t xml:space="preserve"> </w:t>
      </w:r>
      <w:r w:rsidR="00106CB6">
        <w:t xml:space="preserve">their </w:t>
      </w:r>
      <w:r>
        <w:t xml:space="preserve">emissions. </w:t>
      </w:r>
    </w:p>
    <w:p w14:paraId="234971E2" w14:textId="77777777" w:rsidR="006E55B5" w:rsidRDefault="00CF336C" w:rsidP="003A4D92">
      <w:pPr>
        <w:pStyle w:val="CCAquote"/>
      </w:pPr>
      <w:r>
        <w:t>…</w:t>
      </w:r>
      <w:r w:rsidR="006E55B5">
        <w:t>the presence of a legislated cap on the greenhouse gas emissions from our facilities is influencing the way we approach operating our facilities to ensure greenhouse gas emissi</w:t>
      </w:r>
      <w:r w:rsidR="00DE00B3">
        <w:t>ons are manage</w:t>
      </w:r>
      <w:r w:rsidR="00484EBE">
        <w:t>d</w:t>
      </w:r>
      <w:r w:rsidR="00DE00B3">
        <w:t xml:space="preserve"> appropriately</w:t>
      </w:r>
      <w:r>
        <w:t>.</w:t>
      </w:r>
    </w:p>
    <w:p w14:paraId="53A2AD1D" w14:textId="77777777" w:rsidR="006E55B5" w:rsidRPr="006E55B5" w:rsidRDefault="006E55B5" w:rsidP="00DE00B3">
      <w:pPr>
        <w:pStyle w:val="CCAquotesource"/>
      </w:pPr>
      <w:r>
        <w:t>Chevron</w:t>
      </w:r>
      <w:r w:rsidR="005D0038">
        <w:t>,</w:t>
      </w:r>
      <w:r w:rsidR="00484EBE">
        <w:t xml:space="preserve"> submission on this review</w:t>
      </w:r>
      <w:r w:rsidR="00DE00B3">
        <w:t xml:space="preserve"> (p</w:t>
      </w:r>
      <w:r w:rsidR="00190737">
        <w:t>.</w:t>
      </w:r>
      <w:r w:rsidR="00484EBE">
        <w:t xml:space="preserve"> </w:t>
      </w:r>
      <w:r w:rsidR="00DE00B3">
        <w:t>11)</w:t>
      </w:r>
    </w:p>
    <w:p w14:paraId="22D80C5A" w14:textId="77777777" w:rsidR="003B19F0" w:rsidRDefault="00A8630A" w:rsidP="00BD492A">
      <w:pPr>
        <w:pStyle w:val="CCABodytext"/>
      </w:pPr>
      <w:r>
        <w:t>C</w:t>
      </w:r>
      <w:r w:rsidR="006A4D77">
        <w:t xml:space="preserve">ompanies emphasised the importance of having options to </w:t>
      </w:r>
      <w:r w:rsidR="00BD492A">
        <w:t>meet</w:t>
      </w:r>
      <w:r w:rsidR="006A4D77">
        <w:t xml:space="preserve"> their</w:t>
      </w:r>
      <w:r w:rsidR="00BD492A">
        <w:t xml:space="preserve"> baselines</w:t>
      </w:r>
      <w:r w:rsidR="006A4D77">
        <w:t>. Th</w:t>
      </w:r>
      <w:r w:rsidR="003B19F0">
        <w:t xml:space="preserve">is </w:t>
      </w:r>
      <w:r w:rsidR="00BD492A" w:rsidRPr="001939BE">
        <w:t>provide</w:t>
      </w:r>
      <w:r w:rsidR="00757726">
        <w:t>s</w:t>
      </w:r>
      <w:r w:rsidR="00BD492A" w:rsidRPr="001939BE">
        <w:t xml:space="preserve"> flexibility to deal with variations in emissions-intensity and business circumstances that are not related to production changes</w:t>
      </w:r>
      <w:r w:rsidR="00BD492A">
        <w:t xml:space="preserve">. </w:t>
      </w:r>
      <w:r w:rsidR="00315341">
        <w:t xml:space="preserve"> </w:t>
      </w:r>
    </w:p>
    <w:p w14:paraId="555E91DD" w14:textId="77777777" w:rsidR="00DE00B3" w:rsidRDefault="00147681" w:rsidP="003A4D92">
      <w:pPr>
        <w:pStyle w:val="CCAquote"/>
      </w:pPr>
      <w:r>
        <w:t>…</w:t>
      </w:r>
      <w:r w:rsidR="00315341">
        <w:t>flexible compliance provisions offers the best least cost approach</w:t>
      </w:r>
      <w:r w:rsidR="008A3284">
        <w:t xml:space="preserve"> [to </w:t>
      </w:r>
      <w:r w:rsidR="00D613FC">
        <w:t>compliance</w:t>
      </w:r>
      <w:r w:rsidR="00484EBE">
        <w:t>]</w:t>
      </w:r>
      <w:r w:rsidR="008563BA">
        <w:t>.</w:t>
      </w:r>
    </w:p>
    <w:p w14:paraId="280EBBD4" w14:textId="77777777" w:rsidR="00BD492A" w:rsidRDefault="003B19F0" w:rsidP="00681041">
      <w:pPr>
        <w:pStyle w:val="CCAquotesource"/>
      </w:pPr>
      <w:r>
        <w:t>Minerals Council of Australia</w:t>
      </w:r>
      <w:r w:rsidR="005D0038">
        <w:t>,</w:t>
      </w:r>
      <w:r w:rsidR="00C5086A">
        <w:t xml:space="preserve"> submission on the Government’s consultation on safeguard baseline</w:t>
      </w:r>
      <w:r w:rsidR="00681041">
        <w:t xml:space="preserve"> </w:t>
      </w:r>
      <w:r w:rsidR="00C5086A" w:rsidRPr="00681041">
        <w:t>settings</w:t>
      </w:r>
      <w:r w:rsidR="00DE00B3" w:rsidRPr="00681041">
        <w:t xml:space="preserve"> (p</w:t>
      </w:r>
      <w:r w:rsidR="00190737" w:rsidRPr="00681041">
        <w:t>.</w:t>
      </w:r>
      <w:r w:rsidR="00484EBE" w:rsidRPr="00681041">
        <w:t xml:space="preserve"> </w:t>
      </w:r>
      <w:r w:rsidR="00DE00B3" w:rsidRPr="00681041">
        <w:t>1)</w:t>
      </w:r>
    </w:p>
    <w:p w14:paraId="5848871C" w14:textId="77777777" w:rsidR="002E5024" w:rsidRDefault="00EA1881" w:rsidP="00C813C5">
      <w:pPr>
        <w:pStyle w:val="CCAHeading2"/>
      </w:pPr>
      <w:bookmarkStart w:id="776" w:name="_Toc529183880"/>
      <w:bookmarkStart w:id="777" w:name="_Toc529187692"/>
      <w:bookmarkStart w:id="778" w:name="_Toc529188118"/>
      <w:bookmarkStart w:id="779" w:name="_Toc529377768"/>
      <w:bookmarkStart w:id="780" w:name="_Toc529389712"/>
      <w:bookmarkStart w:id="781" w:name="_Toc531095584"/>
      <w:bookmarkStart w:id="782" w:name="_Toc531099350"/>
      <w:bookmarkStart w:id="783" w:name="_Toc531101759"/>
      <w:bookmarkStart w:id="784" w:name="_Toc531764027"/>
      <w:bookmarkStart w:id="785" w:name="_Toc532912119"/>
      <w:bookmarkStart w:id="786" w:name="_Toc532914961"/>
      <w:r>
        <w:t>What could be improved?</w:t>
      </w:r>
      <w:bookmarkEnd w:id="766"/>
      <w:bookmarkEnd w:id="776"/>
      <w:bookmarkEnd w:id="777"/>
      <w:bookmarkEnd w:id="778"/>
      <w:bookmarkEnd w:id="779"/>
      <w:bookmarkEnd w:id="780"/>
      <w:bookmarkEnd w:id="781"/>
      <w:bookmarkEnd w:id="782"/>
      <w:bookmarkEnd w:id="783"/>
      <w:bookmarkEnd w:id="784"/>
      <w:bookmarkEnd w:id="785"/>
      <w:bookmarkEnd w:id="786"/>
    </w:p>
    <w:p w14:paraId="717427DE" w14:textId="77777777" w:rsidR="00A34795" w:rsidRPr="00217EC8" w:rsidRDefault="00A34795" w:rsidP="00C813C5">
      <w:pPr>
        <w:pStyle w:val="CCAHeading3"/>
      </w:pPr>
      <w:r>
        <w:t>A</w:t>
      </w:r>
      <w:r w:rsidR="00484EBE">
        <w:t>ccount</w:t>
      </w:r>
      <w:r w:rsidRPr="00217EC8">
        <w:t xml:space="preserve"> for business expansion</w:t>
      </w:r>
      <w:r w:rsidR="00484EBE">
        <w:t xml:space="preserve"> in baselines</w:t>
      </w:r>
      <w:r w:rsidR="00240EAD">
        <w:t xml:space="preserve"> and reduce the cost of baseline applications</w:t>
      </w:r>
    </w:p>
    <w:p w14:paraId="102A62AB" w14:textId="77777777" w:rsidR="00A34795" w:rsidRPr="001F4DEE" w:rsidRDefault="00A34795" w:rsidP="00A34795">
      <w:pPr>
        <w:pStyle w:val="CCABodytext"/>
      </w:pPr>
      <w:r w:rsidRPr="001F4DEE">
        <w:rPr>
          <w:rStyle w:val="CCABodytextChar"/>
          <w:color w:val="auto"/>
        </w:rPr>
        <w:t>Some</w:t>
      </w:r>
      <w:r w:rsidR="00866B60">
        <w:rPr>
          <w:rStyle w:val="CCABodytextChar"/>
          <w:color w:val="auto"/>
        </w:rPr>
        <w:t xml:space="preserve"> industry members</w:t>
      </w:r>
      <w:r w:rsidRPr="001F4DEE">
        <w:rPr>
          <w:rStyle w:val="CCABodytextChar"/>
          <w:color w:val="auto"/>
        </w:rPr>
        <w:t xml:space="preserve"> said the current options for setting facility </w:t>
      </w:r>
      <w:r w:rsidR="005C2337">
        <w:rPr>
          <w:rStyle w:val="CCABodytextChar"/>
          <w:color w:val="auto"/>
        </w:rPr>
        <w:t xml:space="preserve">baselines </w:t>
      </w:r>
      <w:r w:rsidRPr="001F4DEE">
        <w:rPr>
          <w:rStyle w:val="CCABodytextChar"/>
          <w:color w:val="auto"/>
        </w:rPr>
        <w:t xml:space="preserve">do not provide appropriate reference points for businesses incrementally expanding production. In </w:t>
      </w:r>
      <w:r w:rsidR="00D765BF">
        <w:rPr>
          <w:rStyle w:val="CCABodytextChar"/>
          <w:color w:val="auto"/>
        </w:rPr>
        <w:t>its</w:t>
      </w:r>
      <w:r w:rsidRPr="001F4DEE">
        <w:rPr>
          <w:rStyle w:val="CCABodytextChar"/>
          <w:color w:val="auto"/>
        </w:rPr>
        <w:t xml:space="preserve"> submission on the Government’s </w:t>
      </w:r>
      <w:r w:rsidR="00484EBE">
        <w:rPr>
          <w:rStyle w:val="CCABodytextChar"/>
          <w:color w:val="auto"/>
        </w:rPr>
        <w:t>2017</w:t>
      </w:r>
      <w:r w:rsidRPr="001F4DEE">
        <w:rPr>
          <w:rStyle w:val="CCABodytextChar"/>
          <w:color w:val="auto"/>
        </w:rPr>
        <w:t xml:space="preserve"> review of climate change policies, the Bureau of Steel </w:t>
      </w:r>
      <w:r w:rsidR="0065703D">
        <w:rPr>
          <w:rStyle w:val="CCABodytextChar"/>
          <w:color w:val="auto"/>
        </w:rPr>
        <w:t>Manufacturers of Australia said</w:t>
      </w:r>
      <w:r w:rsidRPr="001F4DEE">
        <w:rPr>
          <w:rStyle w:val="CCABodytextChar"/>
          <w:color w:val="auto"/>
        </w:rPr>
        <w:t xml:space="preserve"> ‘The design of the safeguard mechanism fails to recognise that mature industries (like steel) tend to grow incrementally over time’ (p</w:t>
      </w:r>
      <w:r w:rsidR="00190737">
        <w:rPr>
          <w:rStyle w:val="CCABodytextChar"/>
          <w:color w:val="auto"/>
        </w:rPr>
        <w:t>.</w:t>
      </w:r>
      <w:r w:rsidRPr="001F4DEE">
        <w:rPr>
          <w:rStyle w:val="CCABodytextChar"/>
          <w:color w:val="auto"/>
        </w:rPr>
        <w:t xml:space="preserve"> 13</w:t>
      </w:r>
      <w:r w:rsidRPr="001F4DEE" w:rsidDel="00FB1B96">
        <w:rPr>
          <w:rStyle w:val="CCABodytextChar"/>
          <w:color w:val="auto"/>
        </w:rPr>
        <w:t>)</w:t>
      </w:r>
      <w:r w:rsidRPr="001F4DEE">
        <w:rPr>
          <w:rStyle w:val="CCABodytextChar"/>
          <w:color w:val="auto"/>
        </w:rPr>
        <w:t xml:space="preserve">. In those circumstances, a baseline based on historical data may not be representative </w:t>
      </w:r>
      <w:r w:rsidR="00D765BF">
        <w:rPr>
          <w:rStyle w:val="CCABodytextChar"/>
          <w:color w:val="auto"/>
        </w:rPr>
        <w:t xml:space="preserve">of the business’ current operations </w:t>
      </w:r>
      <w:r w:rsidRPr="001F4DEE">
        <w:rPr>
          <w:rStyle w:val="CCABodytextChar"/>
          <w:color w:val="auto"/>
        </w:rPr>
        <w:t xml:space="preserve">and the business will not meet the significant expansion criteria for a calculated baseline. The </w:t>
      </w:r>
      <w:r w:rsidR="00484EBE">
        <w:rPr>
          <w:rStyle w:val="CCABodytextChar"/>
          <w:color w:val="auto"/>
        </w:rPr>
        <w:t xml:space="preserve">Authority is of the view </w:t>
      </w:r>
      <w:r w:rsidR="000E775F">
        <w:rPr>
          <w:rStyle w:val="CCABodytextChar"/>
          <w:color w:val="auto"/>
        </w:rPr>
        <w:t xml:space="preserve">that </w:t>
      </w:r>
      <w:r w:rsidR="00484EBE">
        <w:rPr>
          <w:rStyle w:val="CCABodytextChar"/>
          <w:color w:val="auto"/>
        </w:rPr>
        <w:t>the</w:t>
      </w:r>
      <w:r w:rsidRPr="001F4DEE">
        <w:rPr>
          <w:rStyle w:val="CCABodytextChar"/>
          <w:color w:val="auto"/>
        </w:rPr>
        <w:t xml:space="preserve"> </w:t>
      </w:r>
      <w:r w:rsidR="00D765BF">
        <w:rPr>
          <w:rStyle w:val="CCABodytextChar"/>
          <w:color w:val="auto"/>
        </w:rPr>
        <w:t xml:space="preserve">Government’s </w:t>
      </w:r>
      <w:r w:rsidRPr="001F4DEE">
        <w:rPr>
          <w:rStyle w:val="CCABodytextChar"/>
          <w:color w:val="auto"/>
        </w:rPr>
        <w:t>proposed amendments address this concern by allowing annual updates to baselines based on changes in production. This would</w:t>
      </w:r>
      <w:r w:rsidRPr="001F4DEE">
        <w:t xml:space="preserve"> enable businesses to </w:t>
      </w:r>
      <w:r w:rsidR="00484EBE">
        <w:t>incrementally</w:t>
      </w:r>
      <w:r w:rsidR="00484EBE" w:rsidRPr="001F4DEE">
        <w:t xml:space="preserve"> </w:t>
      </w:r>
      <w:r w:rsidRPr="001F4DEE">
        <w:t>expand production without exceeding their baseline so long as the increased production is associated with an equal or improved emissions intensity.</w:t>
      </w:r>
    </w:p>
    <w:p w14:paraId="4517E6B4" w14:textId="5659283E" w:rsidR="00866B60" w:rsidRPr="00866B60" w:rsidRDefault="00484EBE" w:rsidP="00866B60">
      <w:pPr>
        <w:pStyle w:val="CCABodytext"/>
      </w:pPr>
      <w:r>
        <w:t>The Authority heard</w:t>
      </w:r>
      <w:r w:rsidR="008563BA">
        <w:t xml:space="preserve"> that,</w:t>
      </w:r>
      <w:r>
        <w:t xml:space="preserve"> i</w:t>
      </w:r>
      <w:r w:rsidR="00757726" w:rsidRPr="00866B60">
        <w:t xml:space="preserve">n general, </w:t>
      </w:r>
      <w:r w:rsidR="00866B60" w:rsidRPr="00866B60">
        <w:t>safeguard facilities</w:t>
      </w:r>
      <w:r w:rsidR="00757726" w:rsidRPr="00866B60">
        <w:t xml:space="preserve"> support the proposed amendments. Hydro Tasmania ‘</w:t>
      </w:r>
      <w:r w:rsidR="00C86452">
        <w:t>…</w:t>
      </w:r>
      <w:r w:rsidR="00757726" w:rsidRPr="00866B60">
        <w:t>supports the intention to simplify and bring up-to-date baselines</w:t>
      </w:r>
      <w:r w:rsidR="00C86452">
        <w:t>…</w:t>
      </w:r>
      <w:r w:rsidR="00757726" w:rsidRPr="00866B60">
        <w:t>’ (</w:t>
      </w:r>
      <w:r w:rsidR="00430D90">
        <w:t xml:space="preserve">submission on this review, </w:t>
      </w:r>
      <w:r w:rsidR="00757726" w:rsidRPr="00866B60">
        <w:t>p</w:t>
      </w:r>
      <w:r w:rsidR="00190737">
        <w:t>.</w:t>
      </w:r>
      <w:r w:rsidR="00757726" w:rsidRPr="00866B60">
        <w:t xml:space="preserve"> 3). </w:t>
      </w:r>
      <w:r w:rsidR="00866B60" w:rsidRPr="00866B60">
        <w:t>The amendments also address other concerns raised. Chevron said ‘Experience with preparing an application for a Calculated Emissions Baseline suggest that each application can cost several hundred thousand dollars given the significant internal and external (NGER Audit costs) resources required</w:t>
      </w:r>
      <w:r w:rsidR="00D012C0">
        <w:t>’</w:t>
      </w:r>
      <w:r w:rsidR="00866B60" w:rsidRPr="00866B60">
        <w:t xml:space="preserve"> (</w:t>
      </w:r>
      <w:r w:rsidR="00430D90">
        <w:t xml:space="preserve">submission on this review, </w:t>
      </w:r>
      <w:r w:rsidR="00866B60" w:rsidRPr="00866B60">
        <w:t>p</w:t>
      </w:r>
      <w:r w:rsidR="00190737">
        <w:t>.</w:t>
      </w:r>
      <w:r w:rsidR="00866B60" w:rsidRPr="00866B60">
        <w:t xml:space="preserve"> 12). The proposed amendments allow businesses to use </w:t>
      </w:r>
      <w:r w:rsidR="00504995">
        <w:t>G</w:t>
      </w:r>
      <w:r w:rsidR="00866B60" w:rsidRPr="00866B60">
        <w:t>overnment</w:t>
      </w:r>
      <w:r w:rsidR="008563BA">
        <w:t>-</w:t>
      </w:r>
      <w:r w:rsidR="00866B60" w:rsidRPr="00866B60">
        <w:t>determined production variables and associated default emissions intensities</w:t>
      </w:r>
      <w:r>
        <w:t xml:space="preserve">. The Authority is of the view </w:t>
      </w:r>
      <w:r w:rsidR="000E775F">
        <w:t xml:space="preserve">that </w:t>
      </w:r>
      <w:r>
        <w:t>this</w:t>
      </w:r>
      <w:r w:rsidR="00866B60" w:rsidRPr="00866B60">
        <w:t xml:space="preserve"> w</w:t>
      </w:r>
      <w:r w:rsidR="00146929">
        <w:t>ill</w:t>
      </w:r>
      <w:r w:rsidR="00866B60" w:rsidRPr="00866B60">
        <w:t xml:space="preserve"> reduce the cost of baseline applications. </w:t>
      </w:r>
    </w:p>
    <w:p w14:paraId="40FA6427" w14:textId="77777777" w:rsidR="00F468CD" w:rsidRDefault="0081214F" w:rsidP="00C813C5">
      <w:pPr>
        <w:pStyle w:val="CCAHeading3"/>
      </w:pPr>
      <w:r>
        <w:t>Update</w:t>
      </w:r>
      <w:r w:rsidR="00EA1881">
        <w:t xml:space="preserve"> baselines </w:t>
      </w:r>
      <w:r>
        <w:t>to reflect changes in how emissions are measured</w:t>
      </w:r>
    </w:p>
    <w:p w14:paraId="60E1010F" w14:textId="77777777" w:rsidR="006D43EA" w:rsidRPr="00D012C0" w:rsidRDefault="006D43EA" w:rsidP="006D43EA">
      <w:pPr>
        <w:pStyle w:val="CCABodytext"/>
      </w:pPr>
      <w:r w:rsidRPr="00D012C0">
        <w:t xml:space="preserve">The National Greenhouse and Energy Reporting measurement determination is periodically updated </w:t>
      </w:r>
      <w:r w:rsidR="00484EBE">
        <w:t>(</w:t>
      </w:r>
      <w:r w:rsidR="00BE6E38">
        <w:t>S</w:t>
      </w:r>
      <w:r w:rsidR="00484EBE">
        <w:t xml:space="preserve">ection </w:t>
      </w:r>
      <w:r w:rsidR="00680DDF">
        <w:fldChar w:fldCharType="begin"/>
      </w:r>
      <w:r w:rsidR="00680DDF">
        <w:instrText xml:space="preserve"> REF _Ref532400175 \r \h </w:instrText>
      </w:r>
      <w:r w:rsidR="00680DDF">
        <w:fldChar w:fldCharType="separate"/>
      </w:r>
      <w:r w:rsidR="009A203A">
        <w:t>4.3</w:t>
      </w:r>
      <w:r w:rsidR="00680DDF">
        <w:fldChar w:fldCharType="end"/>
      </w:r>
      <w:r w:rsidR="00484EBE">
        <w:t>)</w:t>
      </w:r>
      <w:r w:rsidRPr="00D012C0">
        <w:t>. These updates affect a facility’s emissions reported under the scheme</w:t>
      </w:r>
      <w:r w:rsidR="00892713" w:rsidRPr="00D012C0">
        <w:t xml:space="preserve">. </w:t>
      </w:r>
      <w:r w:rsidR="00CD6969" w:rsidRPr="00D012C0">
        <w:t>However,</w:t>
      </w:r>
      <w:r w:rsidRPr="00D012C0">
        <w:t xml:space="preserve"> </w:t>
      </w:r>
      <w:r w:rsidR="00892713" w:rsidRPr="00D012C0">
        <w:t>baselines are not adjusted</w:t>
      </w:r>
      <w:r w:rsidR="00D765BF">
        <w:t xml:space="preserve"> </w:t>
      </w:r>
      <w:r w:rsidR="00682117">
        <w:t>for changes to the measurement determination</w:t>
      </w:r>
      <w:r w:rsidRPr="00D012C0">
        <w:t>.</w:t>
      </w:r>
      <w:r w:rsidRPr="00D012C0">
        <w:rPr>
          <w:rStyle w:val="FootnoteReference"/>
        </w:rPr>
        <w:footnoteReference w:id="32"/>
      </w:r>
      <w:r w:rsidRPr="00D012C0">
        <w:t xml:space="preserve"> This could </w:t>
      </w:r>
      <w:r w:rsidR="00540362" w:rsidRPr="00D012C0">
        <w:t xml:space="preserve">mean a facility is over or under its baseline </w:t>
      </w:r>
      <w:r w:rsidRPr="00D012C0">
        <w:t xml:space="preserve">only because of </w:t>
      </w:r>
      <w:r w:rsidR="00540362" w:rsidRPr="00D012C0">
        <w:t>differences in</w:t>
      </w:r>
      <w:r w:rsidRPr="00D012C0">
        <w:t xml:space="preserve"> measurement</w:t>
      </w:r>
      <w:r w:rsidR="00540362" w:rsidRPr="00D012C0">
        <w:t xml:space="preserve"> approaches</w:t>
      </w:r>
      <w:r w:rsidRPr="00D012C0">
        <w:t>.</w:t>
      </w:r>
      <w:r w:rsidR="00540362" w:rsidRPr="00D012C0">
        <w:t xml:space="preserve"> </w:t>
      </w:r>
      <w:r w:rsidRPr="00D012C0">
        <w:t>Many companies with safeguard obligations called for consistent approaches to measuring reported emissions</w:t>
      </w:r>
      <w:r w:rsidR="00540362" w:rsidRPr="00D012C0">
        <w:t xml:space="preserve"> and baselines</w:t>
      </w:r>
      <w:r w:rsidRPr="00D012C0">
        <w:t xml:space="preserve">. </w:t>
      </w:r>
    </w:p>
    <w:p w14:paraId="32F294EF" w14:textId="77777777" w:rsidR="00DE00B3" w:rsidRDefault="006D43EA" w:rsidP="00146929">
      <w:pPr>
        <w:pStyle w:val="CCAquote"/>
      </w:pPr>
      <w:r w:rsidRPr="00217EC8">
        <w:t xml:space="preserve">Where changes to the measurement </w:t>
      </w:r>
      <w:r w:rsidRPr="00146929">
        <w:t>determination</w:t>
      </w:r>
      <w:r w:rsidRPr="00217EC8">
        <w:t xml:space="preserve"> lead to changes in reported </w:t>
      </w:r>
      <w:r w:rsidR="00361D73">
        <w:t xml:space="preserve">but not actual </w:t>
      </w:r>
      <w:r w:rsidRPr="00217EC8">
        <w:t>emissions, this should be reflected in baselines</w:t>
      </w:r>
      <w:r w:rsidR="00F341C8">
        <w:t>.</w:t>
      </w:r>
    </w:p>
    <w:p w14:paraId="1F4871AA" w14:textId="77777777" w:rsidR="006D43EA" w:rsidRPr="001939BE" w:rsidRDefault="006D43EA" w:rsidP="00146929">
      <w:pPr>
        <w:pStyle w:val="CCAquotesource"/>
      </w:pPr>
      <w:r w:rsidRPr="001939BE">
        <w:t>Australian Petroleum Production and Exploration Association</w:t>
      </w:r>
      <w:r w:rsidR="005D0038">
        <w:t>,</w:t>
      </w:r>
      <w:r w:rsidR="00484EBE">
        <w:t xml:space="preserve"> submission on this review</w:t>
      </w:r>
      <w:r w:rsidR="00DE00B3">
        <w:t xml:space="preserve"> (p</w:t>
      </w:r>
      <w:r w:rsidR="00190737">
        <w:t>.</w:t>
      </w:r>
      <w:r w:rsidR="00484EBE">
        <w:t xml:space="preserve"> </w:t>
      </w:r>
      <w:r w:rsidR="00DE00B3">
        <w:t>26)</w:t>
      </w:r>
    </w:p>
    <w:p w14:paraId="393D3C42" w14:textId="77777777" w:rsidR="004032A3" w:rsidRPr="00C805C3" w:rsidRDefault="00EF38FF" w:rsidP="004032A3">
      <w:pPr>
        <w:pStyle w:val="CCABodytext"/>
      </w:pPr>
      <w:bookmarkStart w:id="787" w:name="_Toc528143287"/>
      <w:r w:rsidRPr="00D012C0">
        <w:t>The Authority is of the view</w:t>
      </w:r>
      <w:r w:rsidR="006D43EA" w:rsidRPr="00D012C0">
        <w:t xml:space="preserve"> </w:t>
      </w:r>
      <w:r w:rsidR="000E775F">
        <w:t xml:space="preserve">that </w:t>
      </w:r>
      <w:r w:rsidR="006D43EA" w:rsidRPr="00D012C0">
        <w:t xml:space="preserve">changes to measuring a facility’s </w:t>
      </w:r>
      <w:r w:rsidR="00540362" w:rsidRPr="00D012C0">
        <w:t>reported emissions</w:t>
      </w:r>
      <w:r w:rsidRPr="00D012C0">
        <w:t xml:space="preserve"> should flow through to baselines where they lead to a material difference in </w:t>
      </w:r>
      <w:r w:rsidR="00540362" w:rsidRPr="00D012C0">
        <w:t>reported</w:t>
      </w:r>
      <w:r w:rsidR="006D43EA" w:rsidRPr="00D012C0">
        <w:t xml:space="preserve"> </w:t>
      </w:r>
      <w:r w:rsidRPr="00D012C0">
        <w:t xml:space="preserve">emissions and recommends the Department undertake analysis to determine a suitable definition for </w:t>
      </w:r>
      <w:r w:rsidR="000E775F">
        <w:t>‘</w:t>
      </w:r>
      <w:r w:rsidRPr="00D012C0">
        <w:t>m</w:t>
      </w:r>
      <w:r w:rsidR="006D43EA" w:rsidRPr="00D012C0">
        <w:t>aterial</w:t>
      </w:r>
      <w:r w:rsidR="000E775F">
        <w:t>’</w:t>
      </w:r>
      <w:r w:rsidR="006D43EA" w:rsidRPr="00D012C0">
        <w:t xml:space="preserve">. Some in industry </w:t>
      </w:r>
      <w:r w:rsidRPr="00D012C0">
        <w:t xml:space="preserve">suggested </w:t>
      </w:r>
      <w:r w:rsidR="00540362" w:rsidRPr="00D012C0">
        <w:t xml:space="preserve">the threshold could be when changes in measurement lead to at least a </w:t>
      </w:r>
      <w:r w:rsidR="006C6924">
        <w:t>5</w:t>
      </w:r>
      <w:r w:rsidRPr="00D012C0">
        <w:t xml:space="preserve"> per cent</w:t>
      </w:r>
      <w:r w:rsidR="00540362" w:rsidRPr="00D012C0">
        <w:t xml:space="preserve"> </w:t>
      </w:r>
      <w:r w:rsidR="00887F26">
        <w:t>change in baseline numbers</w:t>
      </w:r>
      <w:r w:rsidRPr="00D012C0">
        <w:t>.</w:t>
      </w:r>
      <w:r w:rsidR="00F468CD" w:rsidRPr="00D012C0">
        <w:t xml:space="preserve"> </w:t>
      </w:r>
      <w:r w:rsidR="004F2E7B" w:rsidRPr="00D012C0">
        <w:t>The</w:t>
      </w:r>
      <w:r w:rsidR="00484EBE">
        <w:t xml:space="preserve"> Authority </w:t>
      </w:r>
      <w:r w:rsidR="00680DDF">
        <w:t>recommends</w:t>
      </w:r>
      <w:r w:rsidR="000E775F">
        <w:t xml:space="preserve"> </w:t>
      </w:r>
      <w:r w:rsidR="00484EBE">
        <w:t>the</w:t>
      </w:r>
      <w:r w:rsidR="004F2E7B" w:rsidRPr="00D012C0">
        <w:t xml:space="preserve"> Department </w:t>
      </w:r>
      <w:r w:rsidR="00F468CD" w:rsidRPr="00D012C0">
        <w:t xml:space="preserve">develop a process to </w:t>
      </w:r>
      <w:r w:rsidR="00484EBE">
        <w:t>update</w:t>
      </w:r>
      <w:r w:rsidR="00F468CD" w:rsidRPr="00D012C0">
        <w:t xml:space="preserve"> baselines</w:t>
      </w:r>
      <w:r w:rsidR="004F2E7B" w:rsidRPr="00D012C0">
        <w:t xml:space="preserve"> that minimises</w:t>
      </w:r>
      <w:r w:rsidRPr="00D012C0">
        <w:t xml:space="preserve"> the administrative burden </w:t>
      </w:r>
      <w:r w:rsidR="00540362" w:rsidRPr="00D012C0">
        <w:t>for Government</w:t>
      </w:r>
      <w:r w:rsidRPr="00D012C0">
        <w:t xml:space="preserve"> and </w:t>
      </w:r>
      <w:r w:rsidR="00887F26">
        <w:t>businesses</w:t>
      </w:r>
      <w:r w:rsidR="002B2FA6" w:rsidRPr="00D012C0">
        <w:t xml:space="preserve"> </w:t>
      </w:r>
      <w:r w:rsidR="004F2E7B" w:rsidRPr="00D012C0">
        <w:t>and provides</w:t>
      </w:r>
      <w:r w:rsidR="002B2FA6" w:rsidRPr="00D012C0">
        <w:t xml:space="preserve"> facilities with time to transition to </w:t>
      </w:r>
      <w:r w:rsidR="004F2E7B" w:rsidRPr="00D012C0">
        <w:t>change</w:t>
      </w:r>
      <w:r w:rsidR="00F468CD" w:rsidRPr="00D012C0">
        <w:t>s</w:t>
      </w:r>
      <w:r w:rsidR="004F2E7B" w:rsidRPr="00D012C0">
        <w:t xml:space="preserve"> </w:t>
      </w:r>
      <w:r w:rsidR="002B2FA6" w:rsidRPr="00D012C0">
        <w:t>in their baseline</w:t>
      </w:r>
      <w:r w:rsidRPr="00D012C0">
        <w:t xml:space="preserve">. </w:t>
      </w:r>
    </w:p>
    <w:tbl>
      <w:tblPr>
        <w:tblStyle w:val="TableGrid"/>
        <w:tblW w:w="0" w:type="auto"/>
        <w:tblInd w:w="284" w:type="dxa"/>
        <w:tblLook w:val="04A0" w:firstRow="1" w:lastRow="0" w:firstColumn="1" w:lastColumn="0" w:noHBand="0" w:noVBand="1"/>
      </w:tblPr>
      <w:tblGrid>
        <w:gridCol w:w="9781"/>
      </w:tblGrid>
      <w:tr w:rsidR="004032A3" w:rsidRPr="00155241" w14:paraId="725EB43E" w14:textId="77777777" w:rsidTr="004032A3">
        <w:tc>
          <w:tcPr>
            <w:tcW w:w="9781" w:type="dxa"/>
            <w:tcBorders>
              <w:top w:val="nil"/>
              <w:left w:val="nil"/>
              <w:bottom w:val="nil"/>
              <w:right w:val="nil"/>
            </w:tcBorders>
            <w:shd w:val="clear" w:color="auto" w:fill="AAD7EA"/>
            <w:tcMar>
              <w:top w:w="170" w:type="dxa"/>
              <w:left w:w="284" w:type="dxa"/>
              <w:bottom w:w="170" w:type="dxa"/>
              <w:right w:w="284" w:type="dxa"/>
            </w:tcMar>
          </w:tcPr>
          <w:p w14:paraId="7D3D7DF9" w14:textId="77777777" w:rsidR="004032A3" w:rsidRPr="00027FFA" w:rsidRDefault="004032A3" w:rsidP="004032A3">
            <w:pPr>
              <w:pStyle w:val="CCAForRheading"/>
            </w:pPr>
            <w:r>
              <w:t>Recommendation</w:t>
            </w:r>
          </w:p>
          <w:p w14:paraId="3B16BD08" w14:textId="77777777" w:rsidR="004032A3" w:rsidRPr="00E45370" w:rsidRDefault="006C644B" w:rsidP="004032A3">
            <w:pPr>
              <w:pStyle w:val="CCARecommendation"/>
            </w:pPr>
            <w:r w:rsidRPr="001939BE">
              <w:t>The</w:t>
            </w:r>
            <w:r>
              <w:t xml:space="preserve"> Regulator update</w:t>
            </w:r>
            <w:r w:rsidRPr="001939BE" w:rsidDel="00887F26">
              <w:t xml:space="preserve"> </w:t>
            </w:r>
            <w:r>
              <w:t>baselines</w:t>
            </w:r>
            <w:r w:rsidRPr="001939BE" w:rsidDel="00887F26">
              <w:t xml:space="preserve"> </w:t>
            </w:r>
            <w:r w:rsidRPr="001939BE">
              <w:t>to reflect changes to the measurement determination</w:t>
            </w:r>
            <w:r>
              <w:t xml:space="preserve"> that lead to a material difference in reported emissions</w:t>
            </w:r>
            <w:r w:rsidR="004032A3" w:rsidRPr="00E45370">
              <w:t>.</w:t>
            </w:r>
          </w:p>
        </w:tc>
      </w:tr>
    </w:tbl>
    <w:p w14:paraId="3635B4A5" w14:textId="77777777" w:rsidR="004032A3" w:rsidRPr="00D012C0" w:rsidRDefault="004032A3" w:rsidP="00EF38FF">
      <w:pPr>
        <w:pStyle w:val="CCABodytext"/>
      </w:pPr>
    </w:p>
    <w:bookmarkEnd w:id="787"/>
    <w:p w14:paraId="455FFD2D" w14:textId="77777777" w:rsidR="00B018DA" w:rsidRPr="00E470CD" w:rsidRDefault="00315341" w:rsidP="00C813C5">
      <w:pPr>
        <w:pStyle w:val="CCAHeading3"/>
      </w:pPr>
      <w:r>
        <w:t>Improv</w:t>
      </w:r>
      <w:r w:rsidR="00005F10">
        <w:t>e</w:t>
      </w:r>
      <w:r>
        <w:t xml:space="preserve"> liquidity in the market for Australian Carbon Credit Units</w:t>
      </w:r>
    </w:p>
    <w:p w14:paraId="0E807C05" w14:textId="07BFA0E2" w:rsidR="00CD6969" w:rsidRPr="00D012C0" w:rsidRDefault="008A3284" w:rsidP="00B018DA">
      <w:pPr>
        <w:pStyle w:val="CCABodytext"/>
      </w:pPr>
      <w:r w:rsidRPr="00D012C0">
        <w:t xml:space="preserve">Industry told the Authority the use of Australian </w:t>
      </w:r>
      <w:r w:rsidR="00484EBE">
        <w:t>C</w:t>
      </w:r>
      <w:r w:rsidRPr="00D012C0">
        <w:t xml:space="preserve">arbon </w:t>
      </w:r>
      <w:r w:rsidR="00484EBE">
        <w:t>C</w:t>
      </w:r>
      <w:r w:rsidRPr="00D012C0">
        <w:t xml:space="preserve">redit </w:t>
      </w:r>
      <w:r w:rsidR="00484EBE">
        <w:t>U</w:t>
      </w:r>
      <w:r w:rsidRPr="00D012C0">
        <w:t xml:space="preserve">nits is an important mechanism for meeting baselines. </w:t>
      </w:r>
      <w:r w:rsidR="002A256F" w:rsidRPr="00D012C0">
        <w:t>Many market participants</w:t>
      </w:r>
      <w:r w:rsidR="00250177" w:rsidRPr="00D012C0">
        <w:t xml:space="preserve"> </w:t>
      </w:r>
      <w:r w:rsidR="002A256F" w:rsidRPr="00D012C0">
        <w:t xml:space="preserve">are </w:t>
      </w:r>
      <w:r w:rsidR="00250177" w:rsidRPr="00D012C0">
        <w:t>concern</w:t>
      </w:r>
      <w:r w:rsidR="002A256F" w:rsidRPr="00D012C0">
        <w:t>ed</w:t>
      </w:r>
      <w:r w:rsidR="00B018DA" w:rsidRPr="00D012C0">
        <w:t xml:space="preserve"> about the future ava</w:t>
      </w:r>
      <w:r w:rsidR="00250177" w:rsidRPr="00D012C0">
        <w:t xml:space="preserve">ilability of low-cost </w:t>
      </w:r>
      <w:r w:rsidR="003E4446">
        <w:t>units</w:t>
      </w:r>
      <w:r w:rsidR="002A256F" w:rsidRPr="00D012C0">
        <w:t xml:space="preserve"> including because</w:t>
      </w:r>
      <w:r w:rsidR="00B018DA" w:rsidRPr="00D012C0" w:rsidDel="00232276">
        <w:t xml:space="preserve"> </w:t>
      </w:r>
      <w:r w:rsidR="00B018DA" w:rsidRPr="00D012C0">
        <w:t xml:space="preserve">most </w:t>
      </w:r>
      <w:r w:rsidR="005C38B1" w:rsidRPr="00D012C0">
        <w:t xml:space="preserve">of the </w:t>
      </w:r>
      <w:r w:rsidR="003E4446">
        <w:t>units</w:t>
      </w:r>
      <w:r w:rsidR="00B018DA" w:rsidRPr="00D012C0">
        <w:t xml:space="preserve"> </w:t>
      </w:r>
      <w:r w:rsidR="005C38B1" w:rsidRPr="00D012C0">
        <w:t xml:space="preserve">issued </w:t>
      </w:r>
      <w:r w:rsidR="00484EBE">
        <w:t>to date</w:t>
      </w:r>
      <w:r w:rsidR="005C38B1" w:rsidRPr="00D012C0">
        <w:t xml:space="preserve"> </w:t>
      </w:r>
      <w:r w:rsidR="00952142">
        <w:t>have been</w:t>
      </w:r>
      <w:r w:rsidR="00B018DA" w:rsidRPr="00D012C0">
        <w:t xml:space="preserve"> delivered to the Government under</w:t>
      </w:r>
      <w:r w:rsidR="005C38B1" w:rsidRPr="00D012C0">
        <w:t xml:space="preserve"> contract </w:t>
      </w:r>
      <w:r w:rsidR="006A677A">
        <w:t xml:space="preserve">and this is expected to continue to be the case given the large volume of </w:t>
      </w:r>
      <w:r w:rsidR="003E4446">
        <w:t>units</w:t>
      </w:r>
      <w:r w:rsidR="006A677A">
        <w:t xml:space="preserve"> contracted to the Government </w:t>
      </w:r>
      <w:r w:rsidR="005C38B1" w:rsidRPr="00D012C0">
        <w:t>(</w:t>
      </w:r>
      <w:r w:rsidR="0086475F" w:rsidRPr="00D012C0">
        <w:fldChar w:fldCharType="begin"/>
      </w:r>
      <w:r w:rsidR="0086475F" w:rsidRPr="00D012C0">
        <w:instrText xml:space="preserve"> REF _Ref529391494 \r \h </w:instrText>
      </w:r>
      <w:r w:rsidR="00D012C0">
        <w:instrText xml:space="preserve"> \* MERGEFORMAT </w:instrText>
      </w:r>
      <w:r w:rsidR="0086475F" w:rsidRPr="00D012C0">
        <w:fldChar w:fldCharType="separate"/>
      </w:r>
      <w:r w:rsidR="009A203A">
        <w:t>Figure 12</w:t>
      </w:r>
      <w:r w:rsidR="0086475F" w:rsidRPr="00D012C0">
        <w:fldChar w:fldCharType="end"/>
      </w:r>
      <w:r w:rsidR="005C38B1" w:rsidRPr="00D012C0">
        <w:t>)</w:t>
      </w:r>
      <w:r w:rsidR="0052666D" w:rsidRPr="00D012C0">
        <w:t xml:space="preserve">. </w:t>
      </w:r>
    </w:p>
    <w:p w14:paraId="72228908" w14:textId="77777777" w:rsidR="005C38B1" w:rsidRPr="001939BE" w:rsidRDefault="002C03E0" w:rsidP="003A4D92">
      <w:pPr>
        <w:pStyle w:val="CCAquote"/>
      </w:pPr>
      <w:r>
        <w:t>…</w:t>
      </w:r>
      <w:r w:rsidR="005C38B1">
        <w:t xml:space="preserve">there is simply no indication a liquid </w:t>
      </w:r>
      <w:r w:rsidR="006A677A">
        <w:t>[Australian Carbon Cre</w:t>
      </w:r>
      <w:r w:rsidR="005C045E">
        <w:t>d</w:t>
      </w:r>
      <w:r w:rsidR="006A677A">
        <w:t>it Units]</w:t>
      </w:r>
      <w:r w:rsidR="005C38B1">
        <w:t xml:space="preserve"> market will be available</w:t>
      </w:r>
      <w:r>
        <w:t>…</w:t>
      </w:r>
    </w:p>
    <w:p w14:paraId="31EFE11B" w14:textId="77777777" w:rsidR="00CD6969" w:rsidRPr="001939BE" w:rsidRDefault="00CD6969" w:rsidP="00DE00B3">
      <w:pPr>
        <w:pStyle w:val="CCAquotesource"/>
      </w:pPr>
      <w:r>
        <w:t>Chevron</w:t>
      </w:r>
      <w:r w:rsidR="005D0038">
        <w:t>,</w:t>
      </w:r>
      <w:r>
        <w:t xml:space="preserve"> submission on the Government’s review of climate change policies</w:t>
      </w:r>
      <w:r w:rsidR="00DE00B3">
        <w:t xml:space="preserve"> (p</w:t>
      </w:r>
      <w:r w:rsidR="00190737">
        <w:t>.</w:t>
      </w:r>
      <w:r w:rsidR="00DE00B3">
        <w:t xml:space="preserve"> 12)</w:t>
      </w:r>
    </w:p>
    <w:p w14:paraId="5A9BA38C" w14:textId="77777777" w:rsidR="00B018DA" w:rsidRDefault="00B018DA" w:rsidP="00532BE2">
      <w:pPr>
        <w:pStyle w:val="CCAFigureHeader"/>
      </w:pPr>
      <w:bookmarkStart w:id="788" w:name="_Ref529391494"/>
      <w:bookmarkStart w:id="789" w:name="_Toc531095532"/>
      <w:bookmarkStart w:id="790" w:name="_Toc531099298"/>
      <w:bookmarkStart w:id="791" w:name="_Toc531101707"/>
      <w:bookmarkStart w:id="792" w:name="_Toc531764140"/>
      <w:bookmarkStart w:id="793" w:name="_Toc532912065"/>
      <w:bookmarkStart w:id="794" w:name="_Toc532914034"/>
      <w:r>
        <w:t>A</w:t>
      </w:r>
      <w:r w:rsidR="00CD6969">
        <w:t xml:space="preserve">ustralian </w:t>
      </w:r>
      <w:r>
        <w:t>C</w:t>
      </w:r>
      <w:r w:rsidR="00CD6969">
        <w:t xml:space="preserve">arbon </w:t>
      </w:r>
      <w:r>
        <w:t>C</w:t>
      </w:r>
      <w:r w:rsidR="00CD6969">
        <w:t xml:space="preserve">redit </w:t>
      </w:r>
      <w:r>
        <w:t>U</w:t>
      </w:r>
      <w:r w:rsidR="00CD6969">
        <w:t>nit</w:t>
      </w:r>
      <w:r>
        <w:t xml:space="preserve"> supply</w:t>
      </w:r>
      <w:r w:rsidR="00952142">
        <w:t>-</w:t>
      </w:r>
      <w:r>
        <w:t>demand balance</w:t>
      </w:r>
      <w:bookmarkEnd w:id="788"/>
      <w:bookmarkEnd w:id="789"/>
      <w:bookmarkEnd w:id="790"/>
      <w:bookmarkEnd w:id="791"/>
      <w:bookmarkEnd w:id="792"/>
      <w:bookmarkEnd w:id="793"/>
      <w:bookmarkEnd w:id="794"/>
    </w:p>
    <w:p w14:paraId="06F8BA99" w14:textId="79A89250" w:rsidR="005B7D57" w:rsidRDefault="00E62A9D" w:rsidP="008D3715">
      <w:pPr>
        <w:pStyle w:val="CCAFigure"/>
      </w:pPr>
      <w:r>
        <w:drawing>
          <wp:inline distT="0" distB="0" distL="0" distR="0" wp14:anchorId="4DC64709" wp14:editId="5E35C985">
            <wp:extent cx="6267450" cy="3647801"/>
            <wp:effectExtent l="0" t="0" r="0" b="0"/>
            <wp:docPr id="19" name="Picture 19" descr="Figure 12 is a column chart, which shows the Australian Carbon Credit Unit supply demand balance. The volume of Australian Carbon Credit Units in millions is on the x-axis and the financial year is on the y-axis. Roughly, the volume of Australian Carbon Credit Units issued increased from 11 million in 2015-16 to 13 million in 2016-17, before decreasing slightly to 12.5 million in 2017-18. The volume of Australian Carbon Credit Units delivered to Government increased from about 8 million in 2015-16 to 13 million in 2016-17, before decreasing to 11 million in 2017-18. The volume of Australian Carbon Credit Units contracted to Government increases from 8 million in 2018-19 to 21 million in 2021-22 and decreases to 1 million in 2029-30. In 2018, less than 1 million ACCUs were surrendered under the safeguard. " title="Australian Carbon Credit Unit supply demand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4403" cy="3657668"/>
                    </a:xfrm>
                    <a:prstGeom prst="rect">
                      <a:avLst/>
                    </a:prstGeom>
                    <a:noFill/>
                  </pic:spPr>
                </pic:pic>
              </a:graphicData>
            </a:graphic>
          </wp:inline>
        </w:drawing>
      </w:r>
    </w:p>
    <w:p w14:paraId="2442C5E6" w14:textId="2F5C13CC" w:rsidR="00B018DA" w:rsidRPr="00E0204F" w:rsidRDefault="00B018DA" w:rsidP="001D4F22">
      <w:pPr>
        <w:pStyle w:val="CCANotesource"/>
      </w:pPr>
      <w:r w:rsidRPr="00E0204F">
        <w:rPr>
          <w:b/>
        </w:rPr>
        <w:t>Note:</w:t>
      </w:r>
      <w:r w:rsidRPr="00E0204F">
        <w:t xml:space="preserve"> </w:t>
      </w:r>
      <w:r w:rsidR="002B0F30">
        <w:t>Data current as of 13 December</w:t>
      </w:r>
      <w:r w:rsidR="00016858">
        <w:t xml:space="preserve"> 2018. The </w:t>
      </w:r>
      <w:r w:rsidR="00952142" w:rsidRPr="00D012C0">
        <w:t xml:space="preserve">Australian </w:t>
      </w:r>
      <w:r w:rsidR="00952142">
        <w:t>C</w:t>
      </w:r>
      <w:r w:rsidR="00952142" w:rsidRPr="00D012C0">
        <w:t xml:space="preserve">arbon </w:t>
      </w:r>
      <w:r w:rsidR="00952142">
        <w:t>C</w:t>
      </w:r>
      <w:r w:rsidR="00952142" w:rsidRPr="00D012C0">
        <w:t xml:space="preserve">redit </w:t>
      </w:r>
      <w:r w:rsidR="00952142">
        <w:t>U</w:t>
      </w:r>
      <w:r w:rsidR="00952142" w:rsidRPr="00D012C0">
        <w:t xml:space="preserve">nits </w:t>
      </w:r>
      <w:r w:rsidR="00952142">
        <w:t>(</w:t>
      </w:r>
      <w:r w:rsidR="00016858">
        <w:t>ACCUs</w:t>
      </w:r>
      <w:r w:rsidR="00952142">
        <w:t>)</w:t>
      </w:r>
      <w:r w:rsidR="00016858">
        <w:t xml:space="preserve"> contracted to Government will change over time due to early delivery, delivery failures, contract</w:t>
      </w:r>
      <w:r w:rsidR="002B0F30">
        <w:t xml:space="preserve"> lapses and</w:t>
      </w:r>
      <w:r w:rsidR="00016858">
        <w:t xml:space="preserve"> termination</w:t>
      </w:r>
      <w:r w:rsidR="002B0F30">
        <w:t>s,</w:t>
      </w:r>
      <w:r w:rsidR="00016858">
        <w:t xml:space="preserve"> and new contracts.</w:t>
      </w:r>
      <w:r w:rsidR="00B62208">
        <w:t xml:space="preserve"> ANREU </w:t>
      </w:r>
      <w:r w:rsidR="00A16A67">
        <w:t>is</w:t>
      </w:r>
      <w:r w:rsidR="00B62208">
        <w:t> </w:t>
      </w:r>
      <w:r w:rsidR="005B7D57">
        <w:t>the Australian National Registry of Emissions Units</w:t>
      </w:r>
      <w:r w:rsidR="0071282C">
        <w:br/>
      </w:r>
      <w:r w:rsidR="0071282C" w:rsidRPr="00E0204F">
        <w:rPr>
          <w:b/>
        </w:rPr>
        <w:t>Source:</w:t>
      </w:r>
      <w:r w:rsidR="0071282C" w:rsidRPr="00E0204F">
        <w:t xml:space="preserve"> CER </w:t>
      </w:r>
      <w:r w:rsidR="00A6721C">
        <w:t>2018l</w:t>
      </w:r>
    </w:p>
    <w:p w14:paraId="30AEDB47" w14:textId="2C032D81" w:rsidR="00AA2669" w:rsidRPr="00D012C0" w:rsidRDefault="00EC7FA8" w:rsidP="00680DDF">
      <w:pPr>
        <w:pStyle w:val="CCABodytext"/>
      </w:pPr>
      <w:r>
        <w:t xml:space="preserve">The Authority encourages </w:t>
      </w:r>
      <w:r w:rsidR="00184249">
        <w:t xml:space="preserve">companies </w:t>
      </w:r>
      <w:r>
        <w:t xml:space="preserve">to develop options for meeting their safeguard </w:t>
      </w:r>
      <w:r w:rsidR="00430D90">
        <w:t>obligations</w:t>
      </w:r>
      <w:r>
        <w:t xml:space="preserve"> over</w:t>
      </w:r>
      <w:r w:rsidR="00A86522">
        <w:t xml:space="preserve"> </w:t>
      </w:r>
      <w:r>
        <w:t xml:space="preserve">time, including purchasing Australian Carbon Credit Units over both the shorter and longer term. The avenues currently available to companies seeking to purchase Australian Carbon Credit </w:t>
      </w:r>
      <w:r w:rsidRPr="00212386">
        <w:t xml:space="preserve">Units are outlined in </w:t>
      </w:r>
      <w:r>
        <w:fldChar w:fldCharType="begin"/>
      </w:r>
      <w:r>
        <w:instrText xml:space="preserve"> REF _Ref531706886 \r \h </w:instrText>
      </w:r>
      <w:r>
        <w:fldChar w:fldCharType="separate"/>
      </w:r>
      <w:r w:rsidR="009A203A">
        <w:t>Box 6</w:t>
      </w:r>
      <w:r>
        <w:fldChar w:fldCharType="end"/>
      </w:r>
      <w:r w:rsidRPr="00212386">
        <w:t>.</w:t>
      </w:r>
    </w:p>
    <w:tbl>
      <w:tblPr>
        <w:tblStyle w:val="TableLayout1"/>
        <w:tblpPr w:leftFromText="180" w:rightFromText="180" w:vertAnchor="text" w:tblpXSpec="center" w:tblpY="1"/>
        <w:tblOverlap w:val="never"/>
        <w:tblW w:w="49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BF4" w:themeFill="accent4" w:themeFillTint="33"/>
        <w:tblLook w:val="04A0" w:firstRow="1" w:lastRow="0" w:firstColumn="1" w:lastColumn="0" w:noHBand="0" w:noVBand="1"/>
      </w:tblPr>
      <w:tblGrid>
        <w:gridCol w:w="9833"/>
      </w:tblGrid>
      <w:tr w:rsidR="00987D1E" w:rsidRPr="000D5CD5" w14:paraId="3DA1DA1A" w14:textId="77777777" w:rsidTr="0065703D">
        <w:trPr>
          <w:cnfStyle w:val="100000000000" w:firstRow="1" w:lastRow="0" w:firstColumn="0" w:lastColumn="0" w:oddVBand="0" w:evenVBand="0" w:oddHBand="0" w:evenHBand="0" w:firstRowFirstColumn="0" w:firstRowLastColumn="0" w:lastRowFirstColumn="0" w:lastRowLastColumn="0"/>
          <w:trHeight w:val="425"/>
          <w:jc w:val="center"/>
        </w:trPr>
        <w:tc>
          <w:tcPr>
            <w:tcW w:w="5000" w:type="pct"/>
            <w:shd w:val="clear" w:color="auto" w:fill="D4EBF4" w:themeFill="accent4" w:themeFillTint="33"/>
          </w:tcPr>
          <w:p w14:paraId="3F1EFAA6" w14:textId="77777777" w:rsidR="00987D1E" w:rsidRPr="00FA4FC5" w:rsidRDefault="00987D1E" w:rsidP="009947F2">
            <w:pPr>
              <w:pStyle w:val="CCABoxheading"/>
              <w:framePr w:hSpace="0" w:wrap="auto" w:vAnchor="margin" w:xAlign="left" w:yAlign="inline"/>
              <w:suppressOverlap w:val="0"/>
              <w:rPr>
                <w:sz w:val="22"/>
              </w:rPr>
            </w:pPr>
            <w:bookmarkStart w:id="795" w:name="_Ref531706886"/>
            <w:bookmarkStart w:id="796" w:name="_Toc531764075"/>
            <w:bookmarkStart w:id="797" w:name="_Toc532912052"/>
            <w:bookmarkStart w:id="798" w:name="_Toc532914040"/>
            <w:r w:rsidRPr="00FA4FC5">
              <w:rPr>
                <w:sz w:val="22"/>
              </w:rPr>
              <w:t>Avenues available to companies seeking to purchase Australian Carbon Credit Units</w:t>
            </w:r>
            <w:bookmarkEnd w:id="795"/>
            <w:bookmarkEnd w:id="796"/>
            <w:bookmarkEnd w:id="797"/>
            <w:bookmarkEnd w:id="798"/>
          </w:p>
          <w:p w14:paraId="22829390" w14:textId="21BD176F" w:rsidR="00987D1E" w:rsidRPr="00212386" w:rsidRDefault="00987D1E" w:rsidP="00987D1E">
            <w:pPr>
              <w:pStyle w:val="CCABodytext"/>
            </w:pPr>
            <w:r w:rsidRPr="00212386">
              <w:t xml:space="preserve">The Regulator maintains a publicly available project registry, which identifies the volume of credits generated by each project as well as the person(s) to whom they are issued (CER </w:t>
            </w:r>
            <w:r w:rsidR="004E10C2">
              <w:t>2018h</w:t>
            </w:r>
            <w:r w:rsidRPr="00212386">
              <w:t xml:space="preserve">). With support from the Department of the Environment and Energy, the Carbon Market Institute has developed an online market platform for carbon credits including Australian Carbon Credit Units. The Carbon Marketplace provides a description of the project used to generate the credits, including any co-benefits, and contact details for the owner of the credits (CMI </w:t>
            </w:r>
            <w:r w:rsidR="004E10C2">
              <w:t>n.d.</w:t>
            </w:r>
            <w:r w:rsidRPr="00212386">
              <w:t>). Potential buyers could examine the registry or Marketplace and contact those they suspect may have credits they could buy and also enter into longer-term contracts for supply. A spot price is also advertised publicly by CommTrade Carbon on an online market</w:t>
            </w:r>
            <w:r w:rsidR="00F45416">
              <w:t>-</w:t>
            </w:r>
            <w:r w:rsidRPr="00212386">
              <w:t>based platform (with a price of $1</w:t>
            </w:r>
            <w:r>
              <w:t>5</w:t>
            </w:r>
            <w:r w:rsidRPr="00212386">
              <w:t>.</w:t>
            </w:r>
            <w:r>
              <w:t>37</w:t>
            </w:r>
            <w:r w:rsidRPr="00212386">
              <w:t xml:space="preserve"> per unit as at </w:t>
            </w:r>
            <w:r>
              <w:t>30</w:t>
            </w:r>
            <w:r w:rsidRPr="00212386">
              <w:t xml:space="preserve"> November 2018) (CommTrade Carbon </w:t>
            </w:r>
            <w:r w:rsidR="004E10C2">
              <w:t>2018</w:t>
            </w:r>
            <w:r w:rsidRPr="00212386">
              <w:t>).</w:t>
            </w:r>
          </w:p>
          <w:p w14:paraId="0663CC50" w14:textId="7F068970" w:rsidR="00987D1E" w:rsidRPr="000D5CD5" w:rsidRDefault="00987D1E" w:rsidP="00A02F3C">
            <w:pPr>
              <w:pStyle w:val="CCABodytext"/>
            </w:pPr>
            <w:r>
              <w:t xml:space="preserve">As discussed in </w:t>
            </w:r>
            <w:r w:rsidR="00BE6E38">
              <w:t>S</w:t>
            </w:r>
            <w:r w:rsidRPr="00212386">
              <w:t xml:space="preserve">ection </w:t>
            </w:r>
            <w:r w:rsidR="00A02F3C">
              <w:t>5</w:t>
            </w:r>
            <w:r w:rsidRPr="00212386">
              <w:t>.1, in 2016</w:t>
            </w:r>
            <w:r w:rsidR="00DC316F">
              <w:t>–</w:t>
            </w:r>
            <w:r w:rsidRPr="00212386">
              <w:t>17, 16 safeguard facilities surrendered nearly 450,000 Australian Carbon Credit Units (CER 2</w:t>
            </w:r>
            <w:r w:rsidR="004E10C2">
              <w:t>01</w:t>
            </w:r>
            <w:r w:rsidRPr="00212386">
              <w:t>8</w:t>
            </w:r>
            <w:r w:rsidR="004E10C2">
              <w:t>j</w:t>
            </w:r>
            <w:r w:rsidRPr="00212386">
              <w:t xml:space="preserve">). Instead of purchasing credits, companies can also participate in the Emissions Reduction Fund themselves to generate credits available for use by their safeguard facilities. For example, BHP Billiton has </w:t>
            </w:r>
            <w:r>
              <w:t>joint operational control of</w:t>
            </w:r>
            <w:r w:rsidRPr="00212386">
              <w:t xml:space="preserve"> a safeguard facility that surrendered credits in 2016</w:t>
            </w:r>
            <w:r w:rsidR="00DC316F">
              <w:t>–</w:t>
            </w:r>
            <w:r w:rsidRPr="00212386">
              <w:t xml:space="preserve">17 and also participates in the </w:t>
            </w:r>
            <w:r w:rsidR="00430D90">
              <w:t>F</w:t>
            </w:r>
            <w:r w:rsidRPr="00212386">
              <w:t xml:space="preserve">und through one of its subsidiaries (CER </w:t>
            </w:r>
            <w:r>
              <w:t>2</w:t>
            </w:r>
            <w:r w:rsidR="004E10C2">
              <w:t>01</w:t>
            </w:r>
            <w:r>
              <w:t>8</w:t>
            </w:r>
            <w:r w:rsidR="004E10C2">
              <w:t>h, j</w:t>
            </w:r>
            <w:r w:rsidRPr="00212386">
              <w:t>).</w:t>
            </w:r>
          </w:p>
        </w:tc>
      </w:tr>
    </w:tbl>
    <w:p w14:paraId="0538E467" w14:textId="77777777" w:rsidR="00EC7FA8" w:rsidRPr="00D0719E" w:rsidRDefault="00EC7FA8" w:rsidP="00EC7FA8">
      <w:pPr>
        <w:pStyle w:val="CCABodytext"/>
      </w:pPr>
      <w:r w:rsidRPr="00D0719E">
        <w:t>The Authority heard a number of suggestions</w:t>
      </w:r>
      <w:r>
        <w:t xml:space="preserve"> </w:t>
      </w:r>
      <w:r w:rsidRPr="00681041">
        <w:t>from stakeholders</w:t>
      </w:r>
      <w:r w:rsidRPr="00D0719E">
        <w:t xml:space="preserve"> to improve liquidity and lower costs in the market for Australian Carbon Credit Units including:</w:t>
      </w:r>
    </w:p>
    <w:p w14:paraId="729EE56F" w14:textId="77777777" w:rsidR="00EC7FA8" w:rsidRDefault="00EC7FA8" w:rsidP="00EC7FA8">
      <w:pPr>
        <w:pStyle w:val="ListBullet"/>
      </w:pPr>
      <w:r>
        <w:t>introducing a price cap on units</w:t>
      </w:r>
    </w:p>
    <w:p w14:paraId="54D4BEFF" w14:textId="35188B34" w:rsidR="00EC7FA8" w:rsidRDefault="00EC7FA8" w:rsidP="00EC7FA8">
      <w:pPr>
        <w:pStyle w:val="ListBullet"/>
      </w:pPr>
      <w:r>
        <w:t xml:space="preserve">the Clean Energy Regulator holding a reserve of </w:t>
      </w:r>
      <w:r w:rsidR="00623D91">
        <w:t>units</w:t>
      </w:r>
      <w:r>
        <w:t xml:space="preserve"> that could be sold to safeguard </w:t>
      </w:r>
      <w:r w:rsidR="00184249">
        <w:t>facilities</w:t>
      </w:r>
    </w:p>
    <w:p w14:paraId="00B0173B" w14:textId="66FC9607" w:rsidR="00EC7FA8" w:rsidRDefault="00EC7FA8" w:rsidP="00EC7FA8">
      <w:pPr>
        <w:pStyle w:val="ListBullet"/>
      </w:pPr>
      <w:r>
        <w:t>the Regulator entering into</w:t>
      </w:r>
      <w:r w:rsidR="00CD1C1C">
        <w:t xml:space="preserve"> agreements with safeguard facilities</w:t>
      </w:r>
      <w:r w:rsidR="00623D91">
        <w:t xml:space="preserve"> that allow for safeguard obligations to be met through the surrender of units</w:t>
      </w:r>
      <w:r>
        <w:t xml:space="preserve"> </w:t>
      </w:r>
      <w:r w:rsidR="00623D91">
        <w:t xml:space="preserve">based on a </w:t>
      </w:r>
      <w:r>
        <w:t>long-term delivery schedule.</w:t>
      </w:r>
    </w:p>
    <w:p w14:paraId="7E77D6B2" w14:textId="0AB88962" w:rsidR="00EC7FA8" w:rsidRDefault="00EC7FA8" w:rsidP="00EC7FA8">
      <w:pPr>
        <w:pStyle w:val="CCABodytext"/>
      </w:pPr>
      <w:r w:rsidRPr="00D012C0">
        <w:t>For the supply of carbon credits to respond to changes in demand from safeguard facilities, prospective investors in projects that generate credits need visibility of the anticipated volume required to meet safeguard obligations. There are also other sources of demand for credits, such as businesses voluntarily seeking to offset their emissions (</w:t>
      </w:r>
      <w:r>
        <w:t>DoEE n.d.c</w:t>
      </w:r>
      <w:r w:rsidRPr="00D012C0">
        <w:t>) and state government tenders (</w:t>
      </w:r>
      <w:r>
        <w:t>CER pers. comm.</w:t>
      </w:r>
      <w:r w:rsidRPr="00D012C0">
        <w:t>). In its submission on this review, the Australian Industry Greenhouse Network suggested ‘</w:t>
      </w:r>
      <w:r>
        <w:t>…</w:t>
      </w:r>
      <w:r w:rsidRPr="00D012C0">
        <w:t>improving the flow of information to aid in market growth and price discovery</w:t>
      </w:r>
      <w:r>
        <w:t>…</w:t>
      </w:r>
      <w:r w:rsidRPr="00D012C0">
        <w:t>’ (p</w:t>
      </w:r>
      <w:r>
        <w:t>.</w:t>
      </w:r>
      <w:r w:rsidRPr="00D012C0">
        <w:t xml:space="preserve"> 8).</w:t>
      </w:r>
    </w:p>
    <w:p w14:paraId="56746792" w14:textId="77777777" w:rsidR="006C644B" w:rsidRPr="00C805C3" w:rsidRDefault="00442A55" w:rsidP="006C644B">
      <w:pPr>
        <w:pStyle w:val="CCABodytext"/>
      </w:pPr>
      <w:r w:rsidRPr="002104D3">
        <w:t xml:space="preserve">The Authority supports measures to increase the availability of information around the </w:t>
      </w:r>
      <w:r w:rsidR="00CD6969" w:rsidRPr="002104D3">
        <w:t>carbon credit</w:t>
      </w:r>
      <w:r w:rsidRPr="002104D3">
        <w:t xml:space="preserve"> market. </w:t>
      </w:r>
      <w:r w:rsidR="008363EC" w:rsidRPr="002104D3">
        <w:t xml:space="preserve">In its review of the Emissions Reduction Fund (CCA </w:t>
      </w:r>
      <w:r w:rsidR="004E10C2" w:rsidRPr="002104D3">
        <w:t>20</w:t>
      </w:r>
      <w:r w:rsidR="00CB080B" w:rsidRPr="002104D3">
        <w:t>17</w:t>
      </w:r>
      <w:r w:rsidR="008363EC" w:rsidRPr="002104D3">
        <w:t xml:space="preserve">), the Authority supported measures to increase transparency and liquidity in the market for </w:t>
      </w:r>
      <w:r w:rsidR="00CD6969" w:rsidRPr="002104D3">
        <w:t>carbon credits</w:t>
      </w:r>
      <w:r w:rsidR="008363EC" w:rsidRPr="002104D3">
        <w:t xml:space="preserve">. In line with that recommendation, the Regulator has been increasing the availability of information on supply and demand in the </w:t>
      </w:r>
      <w:r w:rsidR="00CD6969" w:rsidRPr="002104D3">
        <w:t>carbon credit</w:t>
      </w:r>
      <w:r w:rsidR="008363EC" w:rsidRPr="002104D3">
        <w:t xml:space="preserve"> market over time</w:t>
      </w:r>
      <w:r w:rsidR="00A02F3C">
        <w:t>, such as running workshops with market participants on sourcing carbon credits</w:t>
      </w:r>
      <w:r w:rsidR="008363EC" w:rsidRPr="002104D3">
        <w:t xml:space="preserve"> (CER</w:t>
      </w:r>
      <w:r w:rsidR="00A02F3C">
        <w:t> </w:t>
      </w:r>
      <w:r w:rsidR="004E10C2" w:rsidRPr="002104D3">
        <w:t>2018b</w:t>
      </w:r>
      <w:r w:rsidR="00E86E40" w:rsidRPr="002104D3">
        <w:t>)</w:t>
      </w:r>
      <w:r w:rsidR="008363EC" w:rsidRPr="002104D3">
        <w:t xml:space="preserve">. This </w:t>
      </w:r>
      <w:r w:rsidR="00CB080B" w:rsidRPr="002104D3">
        <w:t>could</w:t>
      </w:r>
      <w:r w:rsidR="008363EC" w:rsidRPr="002104D3">
        <w:t xml:space="preserve"> provide information to support the development of new Emissions Reduction Fund projects and increase supply of </w:t>
      </w:r>
      <w:r w:rsidR="00CD6969" w:rsidRPr="002104D3">
        <w:t>carbon credits</w:t>
      </w:r>
      <w:r w:rsidR="008363EC" w:rsidRPr="002104D3">
        <w:t>.</w:t>
      </w:r>
      <w:r w:rsidR="008363EC" w:rsidRPr="00D012C0">
        <w:t xml:space="preserve"> </w:t>
      </w:r>
    </w:p>
    <w:tbl>
      <w:tblPr>
        <w:tblStyle w:val="TableGrid"/>
        <w:tblW w:w="0" w:type="auto"/>
        <w:tblInd w:w="284" w:type="dxa"/>
        <w:tblLook w:val="04A0" w:firstRow="1" w:lastRow="0" w:firstColumn="1" w:lastColumn="0" w:noHBand="0" w:noVBand="1"/>
      </w:tblPr>
      <w:tblGrid>
        <w:gridCol w:w="9781"/>
      </w:tblGrid>
      <w:tr w:rsidR="006C644B" w:rsidRPr="00155241" w14:paraId="2A6F1612" w14:textId="77777777" w:rsidTr="00BF23FC">
        <w:tc>
          <w:tcPr>
            <w:tcW w:w="9781" w:type="dxa"/>
            <w:tcBorders>
              <w:top w:val="nil"/>
              <w:left w:val="nil"/>
              <w:bottom w:val="nil"/>
              <w:right w:val="nil"/>
            </w:tcBorders>
            <w:shd w:val="clear" w:color="auto" w:fill="AAD7EA"/>
            <w:tcMar>
              <w:top w:w="170" w:type="dxa"/>
              <w:left w:w="284" w:type="dxa"/>
              <w:bottom w:w="170" w:type="dxa"/>
              <w:right w:w="284" w:type="dxa"/>
            </w:tcMar>
          </w:tcPr>
          <w:p w14:paraId="4AB629A0" w14:textId="77777777" w:rsidR="006C644B" w:rsidRPr="00027FFA" w:rsidRDefault="006C644B" w:rsidP="00BF23FC">
            <w:pPr>
              <w:pStyle w:val="CCAForRheading"/>
            </w:pPr>
            <w:r>
              <w:t>Recommendation</w:t>
            </w:r>
          </w:p>
          <w:p w14:paraId="4967B3F2" w14:textId="77777777" w:rsidR="006C644B" w:rsidRPr="00E45370" w:rsidRDefault="006C644B" w:rsidP="00BF23FC">
            <w:pPr>
              <w:pStyle w:val="CCARecommendation"/>
            </w:pPr>
            <w:r w:rsidRPr="001D4F22">
              <w:t>The</w:t>
            </w:r>
            <w:r w:rsidRPr="001D4F22" w:rsidDel="00887F26">
              <w:t xml:space="preserve"> </w:t>
            </w:r>
            <w:r w:rsidRPr="001D4F22">
              <w:t>Regulator continue to pursue opportunities to increase information available about the market for Australian Carbon Credit Units</w:t>
            </w:r>
            <w:r w:rsidRPr="00E45370">
              <w:t>.</w:t>
            </w:r>
          </w:p>
        </w:tc>
      </w:tr>
    </w:tbl>
    <w:p w14:paraId="02AE6B23" w14:textId="77777777" w:rsidR="006C644B" w:rsidRDefault="006C644B" w:rsidP="006C644B">
      <w:pPr>
        <w:pStyle w:val="CCABodytext"/>
      </w:pPr>
    </w:p>
    <w:p w14:paraId="7850D2D6" w14:textId="77777777" w:rsidR="00B3242A" w:rsidRPr="0031580F" w:rsidRDefault="00005F10" w:rsidP="00C813C5">
      <w:pPr>
        <w:pStyle w:val="CCAHeading3"/>
      </w:pPr>
      <w:bookmarkStart w:id="799" w:name="_Ref531362989"/>
      <w:r>
        <w:t>Increase the incentive for safeguard facilities to invest in projects</w:t>
      </w:r>
      <w:r w:rsidR="002F764E">
        <w:t xml:space="preserve"> that </w:t>
      </w:r>
      <w:r>
        <w:t>reduce their</w:t>
      </w:r>
      <w:r w:rsidR="002F764E">
        <w:t xml:space="preserve"> </w:t>
      </w:r>
      <w:r w:rsidR="00CD6969">
        <w:t>indirect</w:t>
      </w:r>
      <w:r w:rsidR="002F764E">
        <w:t xml:space="preserve"> emissions</w:t>
      </w:r>
      <w:bookmarkEnd w:id="799"/>
    </w:p>
    <w:p w14:paraId="4FB553A1" w14:textId="77777777" w:rsidR="00F67C54" w:rsidRDefault="003B0900" w:rsidP="00005F10">
      <w:pPr>
        <w:pStyle w:val="CCABodytext"/>
      </w:pPr>
      <w:r>
        <w:t xml:space="preserve">The safeguard only applies to a facility’s direct (scope 1) emissions. This means its baseline and reported emissions are </w:t>
      </w:r>
      <w:r w:rsidR="00F67C54">
        <w:t>determined</w:t>
      </w:r>
      <w:r>
        <w:t xml:space="preserve"> on the basis of its direct emissions.</w:t>
      </w:r>
      <w:r w:rsidRPr="00005F10">
        <w:t xml:space="preserve"> </w:t>
      </w:r>
    </w:p>
    <w:p w14:paraId="7A562A04" w14:textId="77777777" w:rsidR="00B3242A" w:rsidRPr="00C1126D" w:rsidRDefault="00B3242A" w:rsidP="003E560F">
      <w:pPr>
        <w:pStyle w:val="CCABodytext"/>
      </w:pPr>
      <w:r>
        <w:t xml:space="preserve">A safeguard </w:t>
      </w:r>
      <w:r w:rsidR="00412273" w:rsidRPr="00005F10">
        <w:t xml:space="preserve">facility </w:t>
      </w:r>
      <w:r>
        <w:t xml:space="preserve">can undertake a project </w:t>
      </w:r>
      <w:r w:rsidR="00EB198D">
        <w:t>under the Emissions Reduction Fund</w:t>
      </w:r>
      <w:r>
        <w:t xml:space="preserve"> </w:t>
      </w:r>
      <w:r w:rsidR="00F07341">
        <w:t xml:space="preserve">that reduces emissions </w:t>
      </w:r>
      <w:r w:rsidR="00F67C54">
        <w:t>at its</w:t>
      </w:r>
      <w:r>
        <w:t xml:space="preserve"> facility and generate</w:t>
      </w:r>
      <w:r w:rsidR="00A86522">
        <w:t>s</w:t>
      </w:r>
      <w:r>
        <w:t xml:space="preserve"> A</w:t>
      </w:r>
      <w:r w:rsidR="00F07341">
        <w:t>ustralian Carbon Credit Units.</w:t>
      </w:r>
      <w:r>
        <w:t xml:space="preserve"> </w:t>
      </w:r>
      <w:r w:rsidR="00F67C54" w:rsidRPr="00010C59">
        <w:t xml:space="preserve">When </w:t>
      </w:r>
      <w:r w:rsidR="00F67C54">
        <w:t>the Regulator issues the facility with credits, it adjusts the facility’s</w:t>
      </w:r>
      <w:r w:rsidR="00F67C54" w:rsidRPr="00C1126D">
        <w:t xml:space="preserve"> </w:t>
      </w:r>
      <w:r w:rsidR="00F67C54">
        <w:t xml:space="preserve">net </w:t>
      </w:r>
      <w:r w:rsidR="00F67C54" w:rsidRPr="00C1126D">
        <w:t>emissions</w:t>
      </w:r>
      <w:r w:rsidR="00F67C54">
        <w:t xml:space="preserve"> number</w:t>
      </w:r>
      <w:r w:rsidR="00F67C54" w:rsidRPr="00C1126D">
        <w:t xml:space="preserve"> upwards </w:t>
      </w:r>
      <w:r w:rsidR="00F67C54">
        <w:t xml:space="preserve">by the amount of the </w:t>
      </w:r>
      <w:r w:rsidR="004A13D5">
        <w:t>credits</w:t>
      </w:r>
      <w:r w:rsidR="00F67C54">
        <w:t xml:space="preserve"> issued</w:t>
      </w:r>
      <w:r w:rsidR="00F67C54" w:rsidRPr="00C1126D">
        <w:t>.</w:t>
      </w:r>
      <w:r w:rsidR="00F67C54">
        <w:t xml:space="preserve"> When it surrenders the </w:t>
      </w:r>
      <w:r w:rsidR="004A13D5">
        <w:t>credits</w:t>
      </w:r>
      <w:r w:rsidR="00F67C54">
        <w:t xml:space="preserve"> to Government</w:t>
      </w:r>
      <w:r w:rsidR="00ED23A9">
        <w:t xml:space="preserve"> or </w:t>
      </w:r>
      <w:r w:rsidR="003E1A03">
        <w:t>it</w:t>
      </w:r>
      <w:r w:rsidR="00547C44">
        <w:t>,</w:t>
      </w:r>
      <w:r w:rsidR="003E1A03">
        <w:t xml:space="preserve"> or </w:t>
      </w:r>
      <w:r w:rsidR="00ED23A9">
        <w:t xml:space="preserve">another </w:t>
      </w:r>
      <w:r w:rsidR="00184249">
        <w:t>company</w:t>
      </w:r>
      <w:r w:rsidR="00547C44">
        <w:t>,</w:t>
      </w:r>
      <w:r w:rsidR="00ED23A9">
        <w:t xml:space="preserve"> delivers the credits to Government under a contract</w:t>
      </w:r>
      <w:r w:rsidR="00F67C54">
        <w:t>, the Regulator adjust</w:t>
      </w:r>
      <w:r w:rsidR="00164FDB">
        <w:t>s</w:t>
      </w:r>
      <w:r w:rsidR="00F67C54">
        <w:t xml:space="preserve"> the facility’s net emissions number downwards by the amount of the </w:t>
      </w:r>
      <w:r w:rsidR="004A13D5">
        <w:t>credits</w:t>
      </w:r>
      <w:r w:rsidR="00F67C54">
        <w:t xml:space="preserve">. </w:t>
      </w:r>
      <w:r w:rsidR="004A13D5" w:rsidRPr="00005F10">
        <w:t>Th</w:t>
      </w:r>
      <w:r w:rsidR="00783A77">
        <w:t>e upwards adjustment</w:t>
      </w:r>
      <w:r w:rsidR="0008119F" w:rsidRPr="00005F10">
        <w:t xml:space="preserve"> prevents a safeguard facility that undertakes a project that reduces its </w:t>
      </w:r>
      <w:r w:rsidR="00CD6969">
        <w:t>direct</w:t>
      </w:r>
      <w:r w:rsidR="0008119F" w:rsidRPr="00005F10">
        <w:t xml:space="preserve"> emissions from </w:t>
      </w:r>
      <w:r w:rsidR="0008119F" w:rsidRPr="001A77D7">
        <w:t>double</w:t>
      </w:r>
      <w:r w:rsidR="00547C44" w:rsidRPr="001A77D7">
        <w:t xml:space="preserve"> </w:t>
      </w:r>
      <w:r w:rsidR="0008119F" w:rsidRPr="001A77D7">
        <w:t>counting</w:t>
      </w:r>
      <w:r w:rsidR="0008119F" w:rsidRPr="00005F10">
        <w:t xml:space="preserve"> the same emissions reduction</w:t>
      </w:r>
      <w:r w:rsidR="00887F26">
        <w:t xml:space="preserve"> from a technical carbon accounting perspective; that is,</w:t>
      </w:r>
      <w:r w:rsidR="0008119F" w:rsidRPr="00005F10">
        <w:t xml:space="preserve"> counting the emissions reduction once when its net emissions are lower because it implemented the project and secondly when it surrenders the </w:t>
      </w:r>
      <w:r w:rsidR="00783A77">
        <w:t>credits</w:t>
      </w:r>
      <w:r w:rsidR="0008119F" w:rsidRPr="00005F10">
        <w:t xml:space="preserve"> created through the project</w:t>
      </w:r>
      <w:r w:rsidR="00ED23A9">
        <w:t xml:space="preserve"> </w:t>
      </w:r>
      <w:r w:rsidR="00ED23A9" w:rsidRPr="00005F10">
        <w:t xml:space="preserve">or </w:t>
      </w:r>
      <w:r w:rsidR="003E1A03">
        <w:t xml:space="preserve">it or </w:t>
      </w:r>
      <w:r w:rsidR="00ED23A9" w:rsidRPr="00005F10">
        <w:t>another facility</w:t>
      </w:r>
      <w:r w:rsidR="00ED23A9">
        <w:t xml:space="preserve"> delivers the credits to Government under a contract</w:t>
      </w:r>
      <w:r w:rsidR="0008119F" w:rsidRPr="00005F10">
        <w:t xml:space="preserve">. </w:t>
      </w:r>
    </w:p>
    <w:p w14:paraId="5696D62F" w14:textId="77777777" w:rsidR="00C97695" w:rsidRPr="00005F10" w:rsidRDefault="0064158A" w:rsidP="00005F10">
      <w:pPr>
        <w:pStyle w:val="CCABodytext"/>
      </w:pPr>
      <w:r w:rsidRPr="00005F10">
        <w:t xml:space="preserve">In </w:t>
      </w:r>
      <w:r w:rsidR="00401CB0">
        <w:t>its</w:t>
      </w:r>
      <w:r w:rsidRPr="00005F10">
        <w:t xml:space="preserve"> submission on this review, Rio Tinto said ‘</w:t>
      </w:r>
      <w:r w:rsidR="00051E94">
        <w:t>…</w:t>
      </w:r>
      <w:r w:rsidRPr="00005F10">
        <w:t>the incentives for reduction in scope 2 emissions through ERF projects are significantly offset by the double counting rule</w:t>
      </w:r>
      <w:r w:rsidR="00051E94">
        <w:t>…</w:t>
      </w:r>
      <w:r w:rsidRPr="00005F10">
        <w:t>’ (p</w:t>
      </w:r>
      <w:r w:rsidR="00190737">
        <w:t>.</w:t>
      </w:r>
      <w:r w:rsidRPr="00005F10">
        <w:t xml:space="preserve"> 7). </w:t>
      </w:r>
      <w:r w:rsidR="00C97695" w:rsidRPr="00005F10">
        <w:t xml:space="preserve">If a facility undertakes a project that reduces its </w:t>
      </w:r>
      <w:r w:rsidR="00CD6969">
        <w:t>indirect</w:t>
      </w:r>
      <w:r w:rsidR="00C97695" w:rsidRPr="00005F10">
        <w:t xml:space="preserve"> </w:t>
      </w:r>
      <w:r w:rsidR="00ED23A9">
        <w:t xml:space="preserve">(scope 2) </w:t>
      </w:r>
      <w:r w:rsidR="00C97695" w:rsidRPr="00005F10">
        <w:t xml:space="preserve">emissions, its net emissions number will </w:t>
      </w:r>
      <w:r w:rsidR="00164FDB">
        <w:t xml:space="preserve">still </w:t>
      </w:r>
      <w:r w:rsidR="00C97695" w:rsidRPr="00005F10">
        <w:t xml:space="preserve">be adjusted upwards by the amount of the </w:t>
      </w:r>
      <w:r w:rsidR="00783A77">
        <w:t>credits</w:t>
      </w:r>
      <w:r w:rsidR="00C97695" w:rsidRPr="00005F10">
        <w:t xml:space="preserve"> issued despite the fact that the project has not reduced its </w:t>
      </w:r>
      <w:r w:rsidR="00CD6969">
        <w:t>direct</w:t>
      </w:r>
      <w:r w:rsidR="00C97695" w:rsidRPr="00005F10">
        <w:t xml:space="preserve"> emissions. </w:t>
      </w:r>
      <w:r w:rsidR="00783A77">
        <w:t xml:space="preserve">If the facility doesn’t surrender the credits to </w:t>
      </w:r>
      <w:r w:rsidR="00783A77" w:rsidRPr="001A77D7">
        <w:t>Government</w:t>
      </w:r>
      <w:r w:rsidR="00783A77">
        <w:t xml:space="preserve"> </w:t>
      </w:r>
      <w:r w:rsidR="00EB198D">
        <w:t>or they are not delivered to Government under a contract in that year</w:t>
      </w:r>
      <w:r w:rsidR="00783A77">
        <w:t xml:space="preserve">, </w:t>
      </w:r>
      <w:r w:rsidR="0055338C">
        <w:t xml:space="preserve">in some circumstances </w:t>
      </w:r>
      <w:r w:rsidR="00952142">
        <w:t>the facility</w:t>
      </w:r>
      <w:r w:rsidR="00783A77">
        <w:t xml:space="preserve"> could exceed its baseline</w:t>
      </w:r>
      <w:r w:rsidR="00A8463B">
        <w:t xml:space="preserve"> thus reducing the incentives to undertake these types of projects</w:t>
      </w:r>
      <w:r w:rsidR="00783A77">
        <w:t xml:space="preserve">. </w:t>
      </w:r>
    </w:p>
    <w:p w14:paraId="73A3B74A" w14:textId="77777777" w:rsidR="00B3242A" w:rsidRDefault="00D04A53" w:rsidP="00B3242A">
      <w:pPr>
        <w:pStyle w:val="CCABodytext"/>
      </w:pPr>
      <w:r>
        <w:t>T</w:t>
      </w:r>
      <w:r w:rsidR="00C87A19" w:rsidRPr="003E560F">
        <w:t xml:space="preserve">he Authority recommends the Department </w:t>
      </w:r>
      <w:r w:rsidR="00EA313F">
        <w:t xml:space="preserve">of the Environment and Energy </w:t>
      </w:r>
      <w:r w:rsidR="00C87A19" w:rsidRPr="003E560F">
        <w:t xml:space="preserve">investigate </w:t>
      </w:r>
      <w:r>
        <w:t xml:space="preserve">the </w:t>
      </w:r>
      <w:r w:rsidR="00A8463B">
        <w:t>feasibility and potential uptake of</w:t>
      </w:r>
      <w:r w:rsidDel="00A8463B">
        <w:t xml:space="preserve"> </w:t>
      </w:r>
      <w:r w:rsidR="00027190">
        <w:t>allowing safeguard facilities to participate in</w:t>
      </w:r>
      <w:r>
        <w:t xml:space="preserve"> </w:t>
      </w:r>
      <w:r w:rsidR="00027190">
        <w:t xml:space="preserve">the </w:t>
      </w:r>
      <w:r>
        <w:t xml:space="preserve">Emissions Reduction Fund </w:t>
      </w:r>
      <w:r w:rsidR="00027190">
        <w:t>in a way</w:t>
      </w:r>
      <w:r>
        <w:t xml:space="preserve"> </w:t>
      </w:r>
      <w:r w:rsidR="00A8463B">
        <w:t>that recognise</w:t>
      </w:r>
      <w:r w:rsidR="00027190">
        <w:t>s</w:t>
      </w:r>
      <w:r w:rsidR="00A8463B">
        <w:t xml:space="preserve"> reductions in indirect emissions without </w:t>
      </w:r>
      <w:r w:rsidR="00BF41FC">
        <w:t>resulting in an increase in reported direct emissions</w:t>
      </w:r>
      <w:r w:rsidR="00C87A19" w:rsidRPr="00005F10">
        <w:t>.</w:t>
      </w:r>
      <w:r w:rsidR="00C97695" w:rsidRPr="00005F10">
        <w:t xml:space="preserve"> </w:t>
      </w:r>
      <w:r>
        <w:t>T</w:t>
      </w:r>
      <w:r w:rsidR="00164FDB">
        <w:t>he Authority notes</w:t>
      </w:r>
      <w:r w:rsidR="00C5226E">
        <w:t xml:space="preserve"> there are a number of other reasons for the low uptake of Emissions Reduction Fund projects by safeguard facilities</w:t>
      </w:r>
      <w:r w:rsidR="00547C44">
        <w:t>,</w:t>
      </w:r>
      <w:r w:rsidR="00C5226E">
        <w:t xml:space="preserve"> including the price of the carbon credits generated. </w:t>
      </w:r>
    </w:p>
    <w:tbl>
      <w:tblPr>
        <w:tblStyle w:val="TableGrid"/>
        <w:tblW w:w="0" w:type="auto"/>
        <w:tblInd w:w="284" w:type="dxa"/>
        <w:tblLook w:val="04A0" w:firstRow="1" w:lastRow="0" w:firstColumn="1" w:lastColumn="0" w:noHBand="0" w:noVBand="1"/>
      </w:tblPr>
      <w:tblGrid>
        <w:gridCol w:w="9781"/>
      </w:tblGrid>
      <w:tr w:rsidR="006C644B" w:rsidRPr="00155241" w14:paraId="2F9F3111" w14:textId="77777777" w:rsidTr="00BF23FC">
        <w:tc>
          <w:tcPr>
            <w:tcW w:w="9781" w:type="dxa"/>
            <w:tcBorders>
              <w:top w:val="nil"/>
              <w:left w:val="nil"/>
              <w:bottom w:val="nil"/>
              <w:right w:val="nil"/>
            </w:tcBorders>
            <w:shd w:val="clear" w:color="auto" w:fill="AAD7EA"/>
            <w:tcMar>
              <w:top w:w="170" w:type="dxa"/>
              <w:left w:w="284" w:type="dxa"/>
              <w:bottom w:w="170" w:type="dxa"/>
              <w:right w:w="284" w:type="dxa"/>
            </w:tcMar>
          </w:tcPr>
          <w:p w14:paraId="6ABB9980" w14:textId="77777777" w:rsidR="006C644B" w:rsidRPr="00027FFA" w:rsidRDefault="006C644B" w:rsidP="00BF23FC">
            <w:pPr>
              <w:pStyle w:val="CCAForRheading"/>
            </w:pPr>
            <w:r>
              <w:t>Recommendation</w:t>
            </w:r>
          </w:p>
          <w:p w14:paraId="39FCBB03" w14:textId="77777777" w:rsidR="006C644B" w:rsidRPr="00E45370" w:rsidRDefault="006C644B" w:rsidP="00BF23FC">
            <w:pPr>
              <w:pStyle w:val="CCARecommendation"/>
            </w:pPr>
            <w:r w:rsidRPr="001D4F22">
              <w:t>The</w:t>
            </w:r>
            <w:r w:rsidRPr="001D4F22" w:rsidDel="00887F26">
              <w:t xml:space="preserve"> </w:t>
            </w:r>
            <w:r w:rsidRPr="001D4F22">
              <w:t xml:space="preserve">Department investigate </w:t>
            </w:r>
            <w:r>
              <w:t>the feasibility and potential uptake of allowing safeguard facilities to participate in the Emissions Reduction Fund in a way that recognises reductions in indirect emissions without resulting in an increase in reported direct emissions</w:t>
            </w:r>
            <w:r w:rsidRPr="00E45370">
              <w:t>.</w:t>
            </w:r>
          </w:p>
        </w:tc>
      </w:tr>
    </w:tbl>
    <w:p w14:paraId="092A1DE4" w14:textId="77777777" w:rsidR="006C644B" w:rsidRDefault="006C644B" w:rsidP="006C644B">
      <w:pPr>
        <w:pStyle w:val="CCABodytext"/>
      </w:pPr>
    </w:p>
    <w:p w14:paraId="2FC95699" w14:textId="77777777" w:rsidR="00B3242A" w:rsidRPr="0031580F" w:rsidRDefault="00B64458" w:rsidP="00C813C5">
      <w:pPr>
        <w:pStyle w:val="CCAHeading3"/>
      </w:pPr>
      <w:r>
        <w:t>Remove deemed surrender</w:t>
      </w:r>
    </w:p>
    <w:p w14:paraId="5A0BE9D9" w14:textId="77777777" w:rsidR="006149B4" w:rsidRPr="006149B4" w:rsidRDefault="00EB198D" w:rsidP="006149B4">
      <w:pPr>
        <w:pStyle w:val="CCABodytext"/>
      </w:pPr>
      <w:r>
        <w:t xml:space="preserve">As discussed in </w:t>
      </w:r>
      <w:r w:rsidR="00C7232B">
        <w:t>S</w:t>
      </w:r>
      <w:r w:rsidR="00E86E40">
        <w:t xml:space="preserve">ection </w:t>
      </w:r>
      <w:r w:rsidR="00E86E40">
        <w:fldChar w:fldCharType="begin"/>
      </w:r>
      <w:r w:rsidR="00E86E40">
        <w:instrText xml:space="preserve"> REF _Ref531362989 \r \h </w:instrText>
      </w:r>
      <w:r w:rsidR="00E86E40">
        <w:fldChar w:fldCharType="separate"/>
      </w:r>
      <w:r w:rsidR="009A203A">
        <w:t>5.2.4</w:t>
      </w:r>
      <w:r w:rsidR="00E86E40">
        <w:fldChar w:fldCharType="end"/>
      </w:r>
      <w:r w:rsidR="00E86E40">
        <w:t>,</w:t>
      </w:r>
      <w:r>
        <w:t xml:space="preserve"> </w:t>
      </w:r>
      <w:r w:rsidR="001F4FF0">
        <w:t xml:space="preserve">when Australian Carbon Credit Units </w:t>
      </w:r>
      <w:r w:rsidR="003E1A03">
        <w:t>generated by a safeguard facility are delivered to</w:t>
      </w:r>
      <w:r w:rsidR="001F4FF0">
        <w:t xml:space="preserve"> Government under a</w:t>
      </w:r>
      <w:r w:rsidR="003E1A03">
        <w:t>n Emissions Reduction Fund</w:t>
      </w:r>
      <w:r w:rsidR="001F4FF0">
        <w:t xml:space="preserve"> contract, the Regulator adjusts the facility’s net emissions number downwards by the amount of the credits </w:t>
      </w:r>
      <w:r w:rsidR="003E1A03">
        <w:t>delivered (deemed surrender).</w:t>
      </w:r>
      <w:r>
        <w:t xml:space="preserve"> </w:t>
      </w:r>
    </w:p>
    <w:p w14:paraId="16170180" w14:textId="314EA53F" w:rsidR="00B3242A" w:rsidRPr="00B3242A" w:rsidRDefault="00ED23A9" w:rsidP="00ED5FD0">
      <w:pPr>
        <w:pStyle w:val="CCABodytext"/>
      </w:pPr>
      <w:r>
        <w:t>If the safeguard facility’s emissions are above its baseline, d</w:t>
      </w:r>
      <w:r w:rsidR="006149B4" w:rsidRPr="006149B4">
        <w:t xml:space="preserve">eemed surrender </w:t>
      </w:r>
      <w:r w:rsidR="004E2ABE">
        <w:t>allows a single Australian Carbon Credit Unit to be used for two purposes</w:t>
      </w:r>
      <w:r w:rsidR="00C27FA7">
        <w:t xml:space="preserve">: </w:t>
      </w:r>
      <w:r w:rsidR="004E2ABE">
        <w:t xml:space="preserve">the satisfaction of a contractual obligation </w:t>
      </w:r>
      <w:r w:rsidR="0031109E">
        <w:t xml:space="preserve">to the Government </w:t>
      </w:r>
      <w:r w:rsidR="00401CB0">
        <w:t xml:space="preserve">(for which a payment is received) </w:t>
      </w:r>
      <w:r w:rsidR="004E2ABE">
        <w:t xml:space="preserve">and reduction of a safeguard facility’s net emissions. </w:t>
      </w:r>
      <w:r w:rsidR="00C0249A">
        <w:t>In contrast, offsets can generally only be used once. Deemed surrender</w:t>
      </w:r>
      <w:r w:rsidR="004E2ABE">
        <w:t xml:space="preserve"> allows</w:t>
      </w:r>
      <w:r w:rsidR="006149B4" w:rsidRPr="006149B4">
        <w:t xml:space="preserve"> the </w:t>
      </w:r>
      <w:r w:rsidR="004E2ABE">
        <w:t>scheme participant</w:t>
      </w:r>
      <w:r w:rsidR="006149B4" w:rsidRPr="006149B4">
        <w:t xml:space="preserve"> to </w:t>
      </w:r>
      <w:r w:rsidR="004E2ABE">
        <w:t xml:space="preserve">gain a </w:t>
      </w:r>
      <w:r w:rsidR="006149B4" w:rsidRPr="006149B4">
        <w:t xml:space="preserve">benefit </w:t>
      </w:r>
      <w:r w:rsidR="004E2ABE">
        <w:t>from the same emissions reductions twice</w:t>
      </w:r>
      <w:r w:rsidR="0031109E">
        <w:t xml:space="preserve">. </w:t>
      </w:r>
    </w:p>
    <w:p w14:paraId="0BA152E9" w14:textId="6AEA3799" w:rsidR="00B3242A" w:rsidRPr="00DF162E" w:rsidRDefault="00B64458" w:rsidP="00B3242A">
      <w:pPr>
        <w:pStyle w:val="CCABodytext"/>
      </w:pPr>
      <w:r w:rsidRPr="00DF162E">
        <w:t xml:space="preserve">Views on deemed surrender varied. </w:t>
      </w:r>
      <w:r w:rsidR="00B43249" w:rsidRPr="00DF162E">
        <w:t xml:space="preserve">Some called for </w:t>
      </w:r>
      <w:r w:rsidR="00430D90">
        <w:t>its</w:t>
      </w:r>
      <w:r w:rsidR="00B43249" w:rsidRPr="00DF162E">
        <w:t xml:space="preserve"> removal</w:t>
      </w:r>
      <w:r w:rsidR="00B331B7" w:rsidRPr="00DF162E">
        <w:t xml:space="preserve">. </w:t>
      </w:r>
      <w:r w:rsidRPr="00DF162E">
        <w:t>National Australia Bank said</w:t>
      </w:r>
      <w:r w:rsidR="00850EAD">
        <w:t>,</w:t>
      </w:r>
      <w:r w:rsidRPr="00DF162E">
        <w:t xml:space="preserve"> ‘</w:t>
      </w:r>
      <w:r w:rsidR="007F63B8">
        <w:t>…</w:t>
      </w:r>
      <w:r w:rsidRPr="00DF162E">
        <w:t>facilities should not be able to use the same emission</w:t>
      </w:r>
      <w:r w:rsidR="00DD4FD4">
        <w:t>s</w:t>
      </w:r>
      <w:r w:rsidRPr="00DF162E">
        <w:t xml:space="preserve"> reductions to meet safeguard mechanism and Emissions Reduction Fund </w:t>
      </w:r>
      <w:r w:rsidR="00B331B7" w:rsidRPr="00DF162E">
        <w:t>(ERF) contract obligations’ (</w:t>
      </w:r>
      <w:r w:rsidR="00430D90">
        <w:t xml:space="preserve">submission on this review, </w:t>
      </w:r>
      <w:r w:rsidR="00B331B7" w:rsidRPr="00DF162E">
        <w:t>p</w:t>
      </w:r>
      <w:r w:rsidR="00190737">
        <w:t>.</w:t>
      </w:r>
      <w:r w:rsidR="00B331B7" w:rsidRPr="00DF162E">
        <w:t xml:space="preserve"> 6). </w:t>
      </w:r>
      <w:r w:rsidR="00B43249" w:rsidRPr="00DF162E">
        <w:t>Others said it should be kept</w:t>
      </w:r>
      <w:r w:rsidR="00B331B7" w:rsidRPr="00DF162E">
        <w:t xml:space="preserve">. Rio </w:t>
      </w:r>
      <w:r w:rsidR="00F30BD5" w:rsidRPr="00DF162E">
        <w:t>Tinto stated</w:t>
      </w:r>
      <w:r w:rsidR="00B331B7" w:rsidRPr="00DF162E">
        <w:t xml:space="preserve"> </w:t>
      </w:r>
      <w:r w:rsidR="00850EAD">
        <w:t xml:space="preserve">that </w:t>
      </w:r>
      <w:r w:rsidR="00B331B7" w:rsidRPr="00DF162E">
        <w:t>the deemed surrender rule ‘</w:t>
      </w:r>
      <w:r w:rsidR="007F63B8">
        <w:t>…</w:t>
      </w:r>
      <w:r w:rsidR="00B331B7" w:rsidRPr="00DF162E">
        <w:t>provides incentives for emissions reduction fund projects at facilities’ (</w:t>
      </w:r>
      <w:r w:rsidR="00430D90">
        <w:t xml:space="preserve">submission on this review, </w:t>
      </w:r>
      <w:r w:rsidR="00B331B7" w:rsidRPr="00DF162E">
        <w:t>p</w:t>
      </w:r>
      <w:r w:rsidR="00190737">
        <w:t>.</w:t>
      </w:r>
      <w:r w:rsidR="00B331B7" w:rsidRPr="00DF162E">
        <w:t xml:space="preserve"> 7).</w:t>
      </w:r>
      <w:r w:rsidR="000111D8" w:rsidRPr="00DF162E">
        <w:t xml:space="preserve"> One industry member suggested safeguard facilities should be eligible to benefit from the Emissions Reduction Fund and meet their baseline requirements, given those outside of the safeguard are supported by </w:t>
      </w:r>
      <w:r w:rsidR="000111D8" w:rsidRPr="00850EAD">
        <w:t>G</w:t>
      </w:r>
      <w:r w:rsidR="000111D8" w:rsidRPr="00DF162E">
        <w:t xml:space="preserve">overnment to </w:t>
      </w:r>
      <w:r w:rsidR="00EB198D">
        <w:t xml:space="preserve">participate in the Fund and </w:t>
      </w:r>
      <w:r w:rsidR="000111D8" w:rsidRPr="00DF162E">
        <w:t xml:space="preserve">reduce their emissions. </w:t>
      </w:r>
    </w:p>
    <w:p w14:paraId="46F66C17" w14:textId="463781AC" w:rsidR="006C644B" w:rsidRPr="00C805C3" w:rsidRDefault="0031109E" w:rsidP="006C644B">
      <w:pPr>
        <w:pStyle w:val="CCABodytext"/>
      </w:pPr>
      <w:r>
        <w:t>T</w:t>
      </w:r>
      <w:r w:rsidR="00B3242A" w:rsidRPr="00DF162E">
        <w:t xml:space="preserve">he Authority </w:t>
      </w:r>
      <w:r>
        <w:t>is of the view</w:t>
      </w:r>
      <w:r w:rsidR="00887F26">
        <w:t xml:space="preserve"> that </w:t>
      </w:r>
      <w:r w:rsidR="0055338C">
        <w:t>in some circumstances</w:t>
      </w:r>
      <w:r>
        <w:t xml:space="preserve"> </w:t>
      </w:r>
      <w:r w:rsidR="002052B8">
        <w:t xml:space="preserve">deemed surrender </w:t>
      </w:r>
      <w:r>
        <w:t xml:space="preserve">may result in the </w:t>
      </w:r>
      <w:r w:rsidR="002052B8">
        <w:t>Government purchasing emissions reductions that would have occurred anyway</w:t>
      </w:r>
      <w:r w:rsidR="00027190">
        <w:t xml:space="preserve">. </w:t>
      </w:r>
      <w:r>
        <w:t>To date the use of deemed surrender has been limited to one facility</w:t>
      </w:r>
      <w:r w:rsidR="00AF18CA">
        <w:t xml:space="preserve"> (CER pers. comm.)</w:t>
      </w:r>
      <w:r w:rsidR="00850EAD">
        <w:t>;</w:t>
      </w:r>
      <w:r>
        <w:t xml:space="preserve"> however</w:t>
      </w:r>
      <w:r w:rsidR="00850EAD">
        <w:t>,</w:t>
      </w:r>
      <w:r>
        <w:t xml:space="preserve"> its use may increase overtime. As such, t</w:t>
      </w:r>
      <w:r w:rsidR="00027190">
        <w:t xml:space="preserve">he Authority </w:t>
      </w:r>
      <w:r w:rsidR="00B3242A" w:rsidRPr="00DF162E">
        <w:t xml:space="preserve">recommends removing deemed surrender </w:t>
      </w:r>
      <w:r w:rsidR="004E2ABE">
        <w:t xml:space="preserve">so safeguard facilities </w:t>
      </w:r>
      <w:r w:rsidR="00430D90">
        <w:t xml:space="preserve">can </w:t>
      </w:r>
      <w:r w:rsidR="004E2ABE">
        <w:t>only benefit once from the Australian Carbon Credit Units they generate</w:t>
      </w:r>
      <w:r w:rsidR="00B3242A" w:rsidRPr="00DF162E">
        <w:t>. Safeguard facilities would still be able to participate in Emission</w:t>
      </w:r>
      <w:r w:rsidR="00887F26">
        <w:t>s</w:t>
      </w:r>
      <w:r w:rsidR="00B3242A" w:rsidRPr="00DF162E">
        <w:t xml:space="preserve"> Reduction Fund projects </w:t>
      </w:r>
      <w:r w:rsidR="004E2ABE">
        <w:t>and would have a choice</w:t>
      </w:r>
      <w:r w:rsidR="00B34F4D">
        <w:t xml:space="preserve"> to </w:t>
      </w:r>
      <w:r w:rsidR="004E2ABE">
        <w:t>either</w:t>
      </w:r>
      <w:r w:rsidR="00B34F4D">
        <w:t xml:space="preserve"> use the </w:t>
      </w:r>
      <w:r w:rsidR="004E2ABE">
        <w:t>units</w:t>
      </w:r>
      <w:r w:rsidR="00B34F4D">
        <w:t xml:space="preserve"> to meet contractual obligation</w:t>
      </w:r>
      <w:r w:rsidR="00164FDB">
        <w:t>s</w:t>
      </w:r>
      <w:r w:rsidR="00B34F4D">
        <w:t xml:space="preserve"> to Government under the Fund</w:t>
      </w:r>
      <w:r w:rsidR="00A86522">
        <w:t>,</w:t>
      </w:r>
      <w:r w:rsidR="00B34F4D">
        <w:t xml:space="preserve"> </w:t>
      </w:r>
      <w:r w:rsidR="004E2ABE">
        <w:t>or use the units to reduce their net emissions under the safeguard</w:t>
      </w:r>
      <w:r w:rsidR="00B34F4D">
        <w:t>.</w:t>
      </w:r>
    </w:p>
    <w:tbl>
      <w:tblPr>
        <w:tblStyle w:val="TableGrid"/>
        <w:tblW w:w="0" w:type="auto"/>
        <w:tblInd w:w="284" w:type="dxa"/>
        <w:tblLook w:val="04A0" w:firstRow="1" w:lastRow="0" w:firstColumn="1" w:lastColumn="0" w:noHBand="0" w:noVBand="1"/>
      </w:tblPr>
      <w:tblGrid>
        <w:gridCol w:w="9781"/>
      </w:tblGrid>
      <w:tr w:rsidR="006C644B" w:rsidRPr="00155241" w14:paraId="2EAF171A" w14:textId="77777777" w:rsidTr="00BF23FC">
        <w:tc>
          <w:tcPr>
            <w:tcW w:w="9781" w:type="dxa"/>
            <w:tcBorders>
              <w:top w:val="nil"/>
              <w:left w:val="nil"/>
              <w:bottom w:val="nil"/>
              <w:right w:val="nil"/>
            </w:tcBorders>
            <w:shd w:val="clear" w:color="auto" w:fill="AAD7EA"/>
            <w:tcMar>
              <w:top w:w="170" w:type="dxa"/>
              <w:left w:w="284" w:type="dxa"/>
              <w:bottom w:w="170" w:type="dxa"/>
              <w:right w:w="284" w:type="dxa"/>
            </w:tcMar>
          </w:tcPr>
          <w:p w14:paraId="769D9814" w14:textId="77777777" w:rsidR="006C644B" w:rsidRPr="00027FFA" w:rsidRDefault="006C644B" w:rsidP="00BF23FC">
            <w:pPr>
              <w:pStyle w:val="CCAForRheading"/>
            </w:pPr>
            <w:r>
              <w:t>Recommendation</w:t>
            </w:r>
          </w:p>
          <w:p w14:paraId="16E01C6C" w14:textId="77777777" w:rsidR="006C644B" w:rsidRPr="00E45370" w:rsidRDefault="006C644B" w:rsidP="00BF23FC">
            <w:pPr>
              <w:pStyle w:val="CCARecommendation"/>
            </w:pPr>
            <w:r>
              <w:rPr>
                <w:sz w:val="22"/>
              </w:rPr>
              <w:t>The</w:t>
            </w:r>
            <w:r w:rsidDel="00887F26">
              <w:rPr>
                <w:sz w:val="22"/>
              </w:rPr>
              <w:t xml:space="preserve"> </w:t>
            </w:r>
            <w:r>
              <w:t>Government r</w:t>
            </w:r>
            <w:r w:rsidRPr="001939BE">
              <w:t>emove the</w:t>
            </w:r>
            <w:r>
              <w:t xml:space="preserve"> option for</w:t>
            </w:r>
            <w:r w:rsidRPr="001939BE">
              <w:t xml:space="preserve"> deemed surrender</w:t>
            </w:r>
            <w:r>
              <w:t xml:space="preserve"> under the safeguard</w:t>
            </w:r>
            <w:r w:rsidRPr="00E45370">
              <w:t>.</w:t>
            </w:r>
          </w:p>
        </w:tc>
      </w:tr>
    </w:tbl>
    <w:p w14:paraId="0E161F4F" w14:textId="77777777" w:rsidR="006C644B" w:rsidRDefault="006C644B" w:rsidP="006C644B">
      <w:pPr>
        <w:pStyle w:val="CCABodytext"/>
      </w:pPr>
    </w:p>
    <w:p w14:paraId="01BBCB88" w14:textId="77777777" w:rsidR="002E5024" w:rsidRDefault="002E5024" w:rsidP="006C644B">
      <w:pPr>
        <w:pStyle w:val="CCABodytext"/>
        <w:sectPr w:rsidR="002E5024" w:rsidSect="00041493">
          <w:footerReference w:type="first" r:id="rId47"/>
          <w:pgSz w:w="11907" w:h="16840" w:code="9"/>
          <w:pgMar w:top="1418" w:right="1077" w:bottom="851" w:left="1077" w:header="850" w:footer="720" w:gutter="0"/>
          <w:pgNumType w:chapStyle="1" w:chapSep="emDash"/>
          <w:cols w:space="720"/>
          <w:docGrid w:linePitch="360"/>
        </w:sectPr>
      </w:pPr>
    </w:p>
    <w:p w14:paraId="1C7BCBDE" w14:textId="77777777" w:rsidR="002E5024" w:rsidRPr="00155241" w:rsidRDefault="002E5024" w:rsidP="00C813C5">
      <w:pPr>
        <w:pStyle w:val="CCAHeading1"/>
      </w:pPr>
      <w:bookmarkStart w:id="800" w:name="_Toc525642991"/>
      <w:bookmarkStart w:id="801" w:name="_Toc525644059"/>
      <w:bookmarkStart w:id="802" w:name="_Toc525661507"/>
      <w:bookmarkStart w:id="803" w:name="_Toc526430716"/>
      <w:bookmarkStart w:id="804" w:name="_Toc528140811"/>
      <w:bookmarkStart w:id="805" w:name="_Toc528143294"/>
      <w:bookmarkStart w:id="806" w:name="_Toc528770256"/>
      <w:bookmarkStart w:id="807" w:name="_Toc529183882"/>
      <w:bookmarkStart w:id="808" w:name="_Toc529187694"/>
      <w:bookmarkStart w:id="809" w:name="_Toc529188120"/>
      <w:bookmarkStart w:id="810" w:name="_Toc529377769"/>
      <w:bookmarkStart w:id="811" w:name="_Toc529389713"/>
      <w:bookmarkStart w:id="812" w:name="_Toc531095585"/>
      <w:bookmarkStart w:id="813" w:name="_Toc531099351"/>
      <w:bookmarkStart w:id="814" w:name="_Toc531101760"/>
      <w:bookmarkStart w:id="815" w:name="_Toc531764028"/>
      <w:bookmarkStart w:id="816" w:name="_Toc532912120"/>
      <w:bookmarkStart w:id="817" w:name="_Toc532914962"/>
      <w:r>
        <w:t>Administration</w:t>
      </w:r>
      <w:bookmarkEnd w:id="800"/>
      <w:bookmarkEnd w:id="801"/>
      <w:bookmarkEnd w:id="802"/>
      <w:bookmarkEnd w:id="803"/>
      <w:bookmarkEnd w:id="804"/>
      <w:bookmarkEnd w:id="805"/>
      <w:bookmarkEnd w:id="806"/>
      <w:r w:rsidR="00A91FF4">
        <w:t xml:space="preserve"> and compliance</w:t>
      </w:r>
      <w:bookmarkEnd w:id="807"/>
      <w:bookmarkEnd w:id="808"/>
      <w:bookmarkEnd w:id="809"/>
      <w:bookmarkEnd w:id="810"/>
      <w:bookmarkEnd w:id="811"/>
      <w:bookmarkEnd w:id="812"/>
      <w:bookmarkEnd w:id="813"/>
      <w:bookmarkEnd w:id="814"/>
      <w:bookmarkEnd w:id="815"/>
      <w:bookmarkEnd w:id="816"/>
      <w:bookmarkEnd w:id="817"/>
    </w:p>
    <w:p w14:paraId="5448C49D" w14:textId="77777777" w:rsidR="009653F6" w:rsidRPr="00B158E0" w:rsidRDefault="00BA5635" w:rsidP="00C813C5">
      <w:pPr>
        <w:pStyle w:val="CCAHeading2"/>
      </w:pPr>
      <w:bookmarkStart w:id="818" w:name="_Toc529377770"/>
      <w:bookmarkStart w:id="819" w:name="_Toc529389714"/>
      <w:bookmarkStart w:id="820" w:name="_Toc531095586"/>
      <w:bookmarkStart w:id="821" w:name="_Toc531099352"/>
      <w:bookmarkStart w:id="822" w:name="_Toc531101761"/>
      <w:bookmarkStart w:id="823" w:name="_Toc531764029"/>
      <w:bookmarkStart w:id="824" w:name="_Toc532912121"/>
      <w:bookmarkStart w:id="825" w:name="_Toc532914963"/>
      <w:r>
        <w:t>W</w:t>
      </w:r>
      <w:r w:rsidR="00812A0C">
        <w:t>ell</w:t>
      </w:r>
      <w:r w:rsidR="00096E71">
        <w:t>-</w:t>
      </w:r>
      <w:r w:rsidR="00812A0C">
        <w:t>administered</w:t>
      </w:r>
      <w:r w:rsidR="0086359F">
        <w:t xml:space="preserve"> </w:t>
      </w:r>
      <w:r>
        <w:t>schemes</w:t>
      </w:r>
      <w:bookmarkEnd w:id="818"/>
      <w:bookmarkEnd w:id="819"/>
      <w:bookmarkEnd w:id="820"/>
      <w:bookmarkEnd w:id="821"/>
      <w:bookmarkEnd w:id="822"/>
      <w:bookmarkEnd w:id="823"/>
      <w:bookmarkEnd w:id="824"/>
      <w:bookmarkEnd w:id="825"/>
    </w:p>
    <w:p w14:paraId="06AB9806" w14:textId="77777777" w:rsidR="009653F6" w:rsidRDefault="00EE5B69">
      <w:pPr>
        <w:pStyle w:val="CCABodytext"/>
        <w:rPr>
          <w:highlight w:val="yellow"/>
        </w:rPr>
      </w:pPr>
      <w:r>
        <w:t xml:space="preserve">Effective </w:t>
      </w:r>
      <w:r w:rsidR="00E7540C">
        <w:t xml:space="preserve">administration of the reporting scheme and the safeguard mechanism </w:t>
      </w:r>
      <w:r w:rsidR="002E440C">
        <w:t xml:space="preserve">helps ensure </w:t>
      </w:r>
      <w:r w:rsidR="00E7540C">
        <w:t>the</w:t>
      </w:r>
      <w:r w:rsidR="002E440C">
        <w:t>ir</w:t>
      </w:r>
      <w:r w:rsidR="00E7540C">
        <w:t xml:space="preserve"> integrity and that the objectives of the legislation are met in a cost</w:t>
      </w:r>
      <w:r w:rsidR="00850EAD">
        <w:t>-</w:t>
      </w:r>
      <w:r w:rsidR="00E7540C">
        <w:t>effective manner.</w:t>
      </w:r>
    </w:p>
    <w:p w14:paraId="7FF3E19D" w14:textId="77777777" w:rsidR="00137BF2" w:rsidRDefault="00137BF2" w:rsidP="00E7540C">
      <w:pPr>
        <w:pStyle w:val="CCABodytext"/>
      </w:pPr>
      <w:r>
        <w:t xml:space="preserve">The </w:t>
      </w:r>
      <w:r w:rsidR="00474D28">
        <w:t>Climate Change</w:t>
      </w:r>
      <w:r>
        <w:t xml:space="preserve"> Authority heard that the current </w:t>
      </w:r>
      <w:r w:rsidR="002400D2">
        <w:t>administration</w:t>
      </w:r>
      <w:r>
        <w:t xml:space="preserve"> of the </w:t>
      </w:r>
      <w:r w:rsidR="00E86EA7">
        <w:t>schemes</w:t>
      </w:r>
      <w:r>
        <w:t xml:space="preserve"> by the Department of the Environment and Energy, and the </w:t>
      </w:r>
      <w:r w:rsidR="00E7540C" w:rsidRPr="00CF7393">
        <w:t xml:space="preserve">Clean Energy Regulator </w:t>
      </w:r>
      <w:r>
        <w:t xml:space="preserve">is working well. The responsibilities of the agencies </w:t>
      </w:r>
      <w:r w:rsidR="002E440C">
        <w:t>are</w:t>
      </w:r>
      <w:r>
        <w:t xml:space="preserve"> clear, and reporters </w:t>
      </w:r>
      <w:r w:rsidR="002E440C">
        <w:t xml:space="preserve">are generally satisfied </w:t>
      </w:r>
      <w:r>
        <w:t>with their engagement, particularly with the Regulator.</w:t>
      </w:r>
    </w:p>
    <w:p w14:paraId="4A233028" w14:textId="77777777" w:rsidR="00E7540C" w:rsidRDefault="00DA58FC">
      <w:pPr>
        <w:pStyle w:val="CCABodytext"/>
      </w:pPr>
      <w:r>
        <w:t>Reporters</w:t>
      </w:r>
      <w:r w:rsidR="00E7540C" w:rsidDel="002400D2">
        <w:t xml:space="preserve"> </w:t>
      </w:r>
      <w:r w:rsidR="00E7540C">
        <w:t>told the Authority that the Department does a good job o</w:t>
      </w:r>
      <w:r w:rsidR="00231C37">
        <w:t>verall and is open to feedback</w:t>
      </w:r>
      <w:r w:rsidR="00E7540C">
        <w:t>.</w:t>
      </w:r>
      <w:r>
        <w:t xml:space="preserve"> They also said</w:t>
      </w:r>
      <w:bookmarkStart w:id="826" w:name="_Ref525312511"/>
      <w:bookmarkEnd w:id="826"/>
      <w:r w:rsidR="00E7540C">
        <w:t xml:space="preserve"> the Regulator’s approach to scheme administration is generally effective and fair</w:t>
      </w:r>
      <w:r>
        <w:t xml:space="preserve">, </w:t>
      </w:r>
      <w:r w:rsidR="00EE5B69">
        <w:t>and</w:t>
      </w:r>
      <w:r w:rsidR="00E7540C">
        <w:t xml:space="preserve"> fosters constructive and positive relation</w:t>
      </w:r>
      <w:r w:rsidR="00231C37">
        <w:t>ships with scheme participants</w:t>
      </w:r>
      <w:r w:rsidR="00E7540C" w:rsidRPr="00055E21">
        <w:t xml:space="preserve">. </w:t>
      </w:r>
      <w:r w:rsidR="00E7540C">
        <w:t xml:space="preserve">Some </w:t>
      </w:r>
      <w:r w:rsidR="00EE5B69">
        <w:t xml:space="preserve">described </w:t>
      </w:r>
      <w:r w:rsidR="00E7540C">
        <w:t xml:space="preserve">the Regulator as a </w:t>
      </w:r>
      <w:r w:rsidR="00E7540C" w:rsidRPr="00DA4F39">
        <w:t>model regulator</w:t>
      </w:r>
      <w:r w:rsidR="00E7540C">
        <w:t xml:space="preserve">. </w:t>
      </w:r>
    </w:p>
    <w:p w14:paraId="42FB4C91" w14:textId="77777777" w:rsidR="001222CB" w:rsidRDefault="001222CB">
      <w:pPr>
        <w:pStyle w:val="CCABodytext"/>
      </w:pPr>
      <w:r>
        <w:t xml:space="preserve">Many </w:t>
      </w:r>
      <w:r w:rsidR="00B23A1E">
        <w:t xml:space="preserve">aspects of </w:t>
      </w:r>
      <w:r w:rsidR="002400D2">
        <w:t xml:space="preserve">the </w:t>
      </w:r>
      <w:r w:rsidR="00B23A1E">
        <w:t xml:space="preserve">administration of specific elements of the reporting scheme </w:t>
      </w:r>
      <w:r w:rsidR="002400D2">
        <w:t>and</w:t>
      </w:r>
      <w:r w:rsidR="00B23A1E">
        <w:t xml:space="preserve"> safeguard mechanism are addressed in </w:t>
      </w:r>
      <w:r w:rsidR="00DA4F39">
        <w:t>C</w:t>
      </w:r>
      <w:r w:rsidR="00B23A1E" w:rsidRPr="00DA4F39">
        <w:t>hapters</w:t>
      </w:r>
      <w:r w:rsidR="00B23A1E">
        <w:t xml:space="preserve"> 3</w:t>
      </w:r>
      <w:r w:rsidR="00F33F8B">
        <w:t xml:space="preserve">, </w:t>
      </w:r>
      <w:r w:rsidR="00B23A1E">
        <w:t>4</w:t>
      </w:r>
      <w:r w:rsidR="00F33F8B">
        <w:t xml:space="preserve"> and 5</w:t>
      </w:r>
      <w:r w:rsidR="00B23A1E">
        <w:t>. Therefore, th</w:t>
      </w:r>
      <w:r w:rsidR="004019D8">
        <w:t>is</w:t>
      </w:r>
      <w:r w:rsidR="00B23A1E">
        <w:t xml:space="preserve"> section takes a broader view of administration</w:t>
      </w:r>
      <w:r w:rsidR="004019D8">
        <w:t xml:space="preserve">, looking at how the overall </w:t>
      </w:r>
      <w:r w:rsidR="00AE14E9">
        <w:t xml:space="preserve">administrative </w:t>
      </w:r>
      <w:r w:rsidR="004019D8">
        <w:t xml:space="preserve">approach seeks to ensure costs to business and government </w:t>
      </w:r>
      <w:r w:rsidR="00EE5B69">
        <w:t>are</w:t>
      </w:r>
      <w:r w:rsidR="004019D8">
        <w:t xml:space="preserve"> </w:t>
      </w:r>
      <w:r w:rsidR="00EE5B69">
        <w:t>appropriate</w:t>
      </w:r>
      <w:r w:rsidR="004019D8">
        <w:t xml:space="preserve">. </w:t>
      </w:r>
    </w:p>
    <w:p w14:paraId="3DB52EF1" w14:textId="77777777" w:rsidR="00DE6F2E" w:rsidRDefault="00DE6F2E" w:rsidP="00C813C5">
      <w:pPr>
        <w:pStyle w:val="CCAHeading3"/>
      </w:pPr>
      <w:r w:rsidRPr="00B158E0">
        <w:t>Cost to business</w:t>
      </w:r>
    </w:p>
    <w:p w14:paraId="6AD6AC57" w14:textId="77777777" w:rsidR="009B3722" w:rsidRDefault="00EE5B69" w:rsidP="00E7540C">
      <w:pPr>
        <w:pStyle w:val="CCABodytext"/>
      </w:pPr>
      <w:r>
        <w:t>Eff</w:t>
      </w:r>
      <w:r w:rsidR="00870DC0">
        <w:t>icient</w:t>
      </w:r>
      <w:r w:rsidR="009B3722">
        <w:t xml:space="preserve"> administration </w:t>
      </w:r>
      <w:r w:rsidR="00DA58FC">
        <w:t>seek</w:t>
      </w:r>
      <w:r w:rsidR="002400D2">
        <w:t>s</w:t>
      </w:r>
      <w:r w:rsidR="00DA58FC">
        <w:t xml:space="preserve"> to minimise the costs, to both the government and report</w:t>
      </w:r>
      <w:r w:rsidR="00FB47A6">
        <w:t>ers</w:t>
      </w:r>
      <w:r w:rsidR="00DA58FC">
        <w:t xml:space="preserve">, </w:t>
      </w:r>
      <w:r w:rsidR="009B3722">
        <w:t>without compromising the outcomes of the scheme</w:t>
      </w:r>
      <w:r w:rsidR="00E86EA7">
        <w:t>s</w:t>
      </w:r>
      <w:r w:rsidR="009B3722">
        <w:t>.</w:t>
      </w:r>
      <w:r w:rsidR="00DA58FC">
        <w:t xml:space="preserve"> </w:t>
      </w:r>
      <w:r w:rsidR="002E440C">
        <w:t>C</w:t>
      </w:r>
      <w:r w:rsidR="00E7540C">
        <w:t xml:space="preserve">osts to businesses of reporting under the National Greenhouse and Energy Reporting scheme </w:t>
      </w:r>
      <w:r w:rsidR="002E440C">
        <w:t xml:space="preserve">can </w:t>
      </w:r>
      <w:r w:rsidR="00E7540C">
        <w:t xml:space="preserve">include purchasing and operating measurement equipment, paying staff or consultants to manage reporting, and auditing. </w:t>
      </w:r>
      <w:r w:rsidR="009B3722">
        <w:t>The Authority heard from some reporters who found the cost of reporting to be significant.</w:t>
      </w:r>
    </w:p>
    <w:p w14:paraId="489E68CF" w14:textId="77777777" w:rsidR="009B3722" w:rsidRDefault="009B3722" w:rsidP="003A4D92">
      <w:pPr>
        <w:pStyle w:val="CCAquote"/>
      </w:pPr>
      <w:r w:rsidRPr="00F70693">
        <w:t xml:space="preserve">It should be acknowledged that the collection of </w:t>
      </w:r>
      <w:r w:rsidR="00C204F4">
        <w:t>[National Greenhouse and Energy Reporting scheme]</w:t>
      </w:r>
      <w:r w:rsidRPr="00F70693">
        <w:t xml:space="preserve"> data requires significant administrative effort by a large number of Australian companies. Nonetheless, there are no equivalent, high-quality sources of this data</w:t>
      </w:r>
      <w:r w:rsidR="00B25D5F">
        <w:t>.</w:t>
      </w:r>
    </w:p>
    <w:p w14:paraId="0027B9ED" w14:textId="77777777" w:rsidR="009B3722" w:rsidRPr="009B3722" w:rsidRDefault="009B3722" w:rsidP="001D4F22">
      <w:pPr>
        <w:pStyle w:val="CCAquotesource"/>
      </w:pPr>
      <w:r w:rsidRPr="009B3722">
        <w:t>Hydro Tasmania</w:t>
      </w:r>
      <w:r w:rsidR="00E86EA7">
        <w:t>, submission on this review</w:t>
      </w:r>
      <w:r w:rsidR="00B25D5F">
        <w:t xml:space="preserve"> (p</w:t>
      </w:r>
      <w:r w:rsidR="00190737">
        <w:t>.</w:t>
      </w:r>
      <w:r w:rsidR="00B25D5F">
        <w:t xml:space="preserve"> 2)</w:t>
      </w:r>
    </w:p>
    <w:p w14:paraId="0F145BB8" w14:textId="447778AB" w:rsidR="009B3722" w:rsidRPr="00346337" w:rsidRDefault="009B3722" w:rsidP="009B3722">
      <w:pPr>
        <w:pStyle w:val="CCABodytext"/>
      </w:pPr>
      <w:r>
        <w:t xml:space="preserve">Specific estimates of the time required to complete the reporting task included </w:t>
      </w:r>
      <w:r w:rsidRPr="00346337">
        <w:t>‘a minimum of five days administrative effort per month</w:t>
      </w:r>
      <w:r w:rsidR="00155F2F">
        <w:t>’</w:t>
      </w:r>
      <w:r w:rsidRPr="00346337">
        <w:t xml:space="preserve"> </w:t>
      </w:r>
      <w:r w:rsidR="00B41FFA">
        <w:t>(</w:t>
      </w:r>
      <w:r w:rsidRPr="00346337">
        <w:t>Australian Pork Ltd</w:t>
      </w:r>
      <w:r w:rsidR="005D0038">
        <w:t>,</w:t>
      </w:r>
      <w:r w:rsidR="00B25D5F">
        <w:t xml:space="preserve"> submission on this review</w:t>
      </w:r>
      <w:r w:rsidR="00623D91">
        <w:t xml:space="preserve">, </w:t>
      </w:r>
      <w:r w:rsidR="00B25D5F">
        <w:t>p</w:t>
      </w:r>
      <w:r w:rsidR="00190737">
        <w:t>.</w:t>
      </w:r>
      <w:r w:rsidR="00B25D5F">
        <w:t xml:space="preserve"> 2</w:t>
      </w:r>
      <w:r w:rsidR="00B41FFA">
        <w:t xml:space="preserve">) and </w:t>
      </w:r>
      <w:r w:rsidR="00B41FFA" w:rsidRPr="00346337">
        <w:t>‘the equivalent of more than five weeks of full time work’ (</w:t>
      </w:r>
      <w:r w:rsidRPr="00346337">
        <w:t>UnitingCare Queensland</w:t>
      </w:r>
      <w:r w:rsidR="005D0038">
        <w:t>,</w:t>
      </w:r>
      <w:r w:rsidR="00B25D5F">
        <w:t xml:space="preserve"> submission on this review</w:t>
      </w:r>
      <w:r w:rsidR="00623D91">
        <w:t xml:space="preserve">, </w:t>
      </w:r>
      <w:r w:rsidR="00B25D5F">
        <w:t>p</w:t>
      </w:r>
      <w:r w:rsidR="00190737">
        <w:t>.</w:t>
      </w:r>
      <w:r w:rsidR="00B25D5F">
        <w:t xml:space="preserve"> 1</w:t>
      </w:r>
      <w:r w:rsidR="00B41FFA">
        <w:t>)</w:t>
      </w:r>
      <w:r w:rsidRPr="00346337">
        <w:t>.</w:t>
      </w:r>
      <w:r w:rsidR="00261158">
        <w:t xml:space="preserve"> </w:t>
      </w:r>
      <w:r w:rsidR="00E86EA7">
        <w:t>Costs may be smaller or larger than these estimates depending on a range of factors</w:t>
      </w:r>
      <w:r w:rsidR="001A2299">
        <w:t>,</w:t>
      </w:r>
      <w:r w:rsidR="00E86EA7">
        <w:t xml:space="preserve"> such as the complexity of the report</w:t>
      </w:r>
      <w:r w:rsidR="00FB47A6">
        <w:t>ers</w:t>
      </w:r>
      <w:r w:rsidR="00E86EA7">
        <w:t xml:space="preserve">. </w:t>
      </w:r>
      <w:r w:rsidR="00261158">
        <w:t xml:space="preserve">The Authority has made a number of recommendations in </w:t>
      </w:r>
      <w:r w:rsidR="004717F5">
        <w:t>C</w:t>
      </w:r>
      <w:r w:rsidR="00261158">
        <w:t>hapter</w:t>
      </w:r>
      <w:r w:rsidR="00E86EA7">
        <w:t> </w:t>
      </w:r>
      <w:r w:rsidR="00F33F8B">
        <w:t>4</w:t>
      </w:r>
      <w:r w:rsidR="00261158">
        <w:t xml:space="preserve"> to reduce regulatory burden, such as allowing data to be uploaded directly from internal systems to the Regulator’s reporting tool (</w:t>
      </w:r>
      <w:r w:rsidR="00C7232B">
        <w:t>S</w:t>
      </w:r>
      <w:r w:rsidR="00261158">
        <w:t xml:space="preserve">ection </w:t>
      </w:r>
      <w:r w:rsidR="004912D9">
        <w:fldChar w:fldCharType="begin"/>
      </w:r>
      <w:r w:rsidR="004912D9">
        <w:instrText xml:space="preserve"> REF _Ref529391990 \r \h </w:instrText>
      </w:r>
      <w:r w:rsidR="004912D9">
        <w:fldChar w:fldCharType="separate"/>
      </w:r>
      <w:r w:rsidR="009A203A">
        <w:t>4.2</w:t>
      </w:r>
      <w:r w:rsidR="004912D9">
        <w:fldChar w:fldCharType="end"/>
      </w:r>
      <w:r w:rsidR="00261158">
        <w:t>).</w:t>
      </w:r>
    </w:p>
    <w:p w14:paraId="1B0F522D" w14:textId="68008558" w:rsidR="00B41FFA" w:rsidRDefault="00B63E80" w:rsidP="00E7540C">
      <w:pPr>
        <w:pStyle w:val="CCABodytext"/>
      </w:pPr>
      <w:r>
        <w:t>Some</w:t>
      </w:r>
      <w:r w:rsidR="00E7540C">
        <w:t xml:space="preserve"> submissions on this review noted the disproportionate costs associated with measuring and reporting on emissions from immaterial facilities and sources. </w:t>
      </w:r>
      <w:r w:rsidR="00B41FFA">
        <w:t xml:space="preserve">The Authority has </w:t>
      </w:r>
      <w:r w:rsidR="00E44DEE">
        <w:t>made recommendations to reduce those costs</w:t>
      </w:r>
      <w:r w:rsidR="00B41FFA">
        <w:t xml:space="preserve"> </w:t>
      </w:r>
      <w:r w:rsidR="001A2299">
        <w:t>(</w:t>
      </w:r>
      <w:r w:rsidR="00C7232B">
        <w:t>S</w:t>
      </w:r>
      <w:r w:rsidR="00B41FFA">
        <w:t xml:space="preserve">ection </w:t>
      </w:r>
      <w:r w:rsidR="004912D9">
        <w:fldChar w:fldCharType="begin"/>
      </w:r>
      <w:r w:rsidR="004912D9">
        <w:instrText xml:space="preserve"> REF _Ref529392026 \r \h </w:instrText>
      </w:r>
      <w:r w:rsidR="004912D9">
        <w:fldChar w:fldCharType="separate"/>
      </w:r>
      <w:r w:rsidR="009A203A">
        <w:t>4.4</w:t>
      </w:r>
      <w:r w:rsidR="004912D9">
        <w:fldChar w:fldCharType="end"/>
      </w:r>
      <w:r w:rsidR="003E4446">
        <w:t>4</w:t>
      </w:r>
      <w:r w:rsidR="001A2299">
        <w:t>)</w:t>
      </w:r>
      <w:r w:rsidR="00B41FFA">
        <w:t>.</w:t>
      </w:r>
    </w:p>
    <w:p w14:paraId="35D05043" w14:textId="572930A8" w:rsidR="00E7540C" w:rsidRDefault="00E7540C" w:rsidP="00E7540C">
      <w:pPr>
        <w:pStyle w:val="CCABodytext"/>
      </w:pPr>
      <w:r>
        <w:t>In addition to costs of measuring and reporting on emissions and energy use, businesses face costs of voluntary and Regulator</w:t>
      </w:r>
      <w:r w:rsidR="00261158">
        <w:t>-</w:t>
      </w:r>
      <w:r>
        <w:t>initiated audits</w:t>
      </w:r>
      <w:r w:rsidR="00623D91">
        <w:t xml:space="preserve"> and t</w:t>
      </w:r>
      <w:r>
        <w:t>he costs of completing voluntary audits var</w:t>
      </w:r>
      <w:r w:rsidR="00261158">
        <w:t>ies</w:t>
      </w:r>
      <w:r>
        <w:t xml:space="preserve"> significantly. Audits also impose internal costs on businesses, </w:t>
      </w:r>
      <w:r w:rsidR="00EE5B69">
        <w:t>through time taken to engage</w:t>
      </w:r>
      <w:r>
        <w:t xml:space="preserve"> with auditors and provid</w:t>
      </w:r>
      <w:r w:rsidR="00EE5B69">
        <w:t>e</w:t>
      </w:r>
      <w:r>
        <w:t xml:space="preserve"> required information. </w:t>
      </w:r>
    </w:p>
    <w:p w14:paraId="13A3E413" w14:textId="77777777" w:rsidR="00C443A9" w:rsidRDefault="00C443A9" w:rsidP="00C443A9">
      <w:pPr>
        <w:pStyle w:val="CCABodytext"/>
      </w:pPr>
      <w:r>
        <w:t xml:space="preserve">Additional costs associated with coverage by the safeguard mechanism are primarily associated with managing emissions to ensure baselines are not breached. Audits </w:t>
      </w:r>
      <w:r w:rsidR="006C5362">
        <w:t xml:space="preserve">must be included with </w:t>
      </w:r>
      <w:r w:rsidR="00B63E80">
        <w:t xml:space="preserve">certain </w:t>
      </w:r>
      <w:r w:rsidR="006C5362">
        <w:t>applications</w:t>
      </w:r>
      <w:r w:rsidR="00E77FE2">
        <w:t>,</w:t>
      </w:r>
      <w:r w:rsidR="006C5362">
        <w:t xml:space="preserve"> </w:t>
      </w:r>
      <w:r w:rsidR="00B63E80">
        <w:t xml:space="preserve">including </w:t>
      </w:r>
      <w:r w:rsidR="006C5362">
        <w:t xml:space="preserve">for calculated baselines. Audits </w:t>
      </w:r>
      <w:r>
        <w:t xml:space="preserve">under the safeguard cost </w:t>
      </w:r>
      <w:r w:rsidR="00D5115D">
        <w:t xml:space="preserve">on average </w:t>
      </w:r>
      <w:r>
        <w:t xml:space="preserve">between $25,000 and $60,000 per audit </w:t>
      </w:r>
      <w:r w:rsidR="004E10C2">
        <w:t>(</w:t>
      </w:r>
      <w:r>
        <w:t xml:space="preserve">CER </w:t>
      </w:r>
      <w:r w:rsidR="003B536B">
        <w:t>pers. comm</w:t>
      </w:r>
      <w:r w:rsidR="00BE54E3">
        <w:t>.</w:t>
      </w:r>
      <w:r w:rsidR="004E10C2">
        <w:t>)</w:t>
      </w:r>
      <w:r>
        <w:t xml:space="preserve">. Some audits are reported as costing higher or lower amounts and may vary due to the </w:t>
      </w:r>
      <w:r w:rsidR="00EE5B69">
        <w:t>scope</w:t>
      </w:r>
      <w:r>
        <w:t xml:space="preserve"> of the audit undertaken and level of experience of the auditors.</w:t>
      </w:r>
    </w:p>
    <w:p w14:paraId="11715631" w14:textId="77777777" w:rsidR="00E7540C" w:rsidRDefault="00E7540C" w:rsidP="00E7540C">
      <w:pPr>
        <w:pStyle w:val="CCABodytext"/>
      </w:pPr>
      <w:r>
        <w:t xml:space="preserve">In an effort to ensure the Regulator </w:t>
      </w:r>
      <w:r w:rsidR="00EE5B69">
        <w:t>has the right</w:t>
      </w:r>
      <w:r>
        <w:t xml:space="preserve"> balance between compliance and regulatory burden, the</w:t>
      </w:r>
      <w:r w:rsidR="0086520F">
        <w:t xml:space="preserve"> Regulator</w:t>
      </w:r>
      <w:r>
        <w:t xml:space="preserve"> conduct</w:t>
      </w:r>
      <w:r w:rsidR="0086520F">
        <w:t>s</w:t>
      </w:r>
      <w:r>
        <w:t xml:space="preserve"> an annual self-assessment under the Government’s Regulator Performance Framework. In 2016</w:t>
      </w:r>
      <w:r w:rsidR="00DC316F">
        <w:t>–</w:t>
      </w:r>
      <w:r>
        <w:t xml:space="preserve">17 the assessment found </w:t>
      </w:r>
      <w:r w:rsidR="006C5362">
        <w:t xml:space="preserve">all key performance indicators had been met and the Regulator had successfully made </w:t>
      </w:r>
      <w:r>
        <w:t>improvements to minimise regulatory burden (such as targeting activities to areas of most importance and ensuring the Regulator is coordinated and informed when responding to clients) (CER 2017</w:t>
      </w:r>
      <w:r w:rsidR="004E10C2">
        <w:t>a</w:t>
      </w:r>
      <w:r>
        <w:t>).</w:t>
      </w:r>
    </w:p>
    <w:p w14:paraId="44044C80" w14:textId="77777777" w:rsidR="00AE14E9" w:rsidRDefault="00AE14E9" w:rsidP="00E7540C">
      <w:pPr>
        <w:pStyle w:val="CCABodytext"/>
      </w:pPr>
      <w:r>
        <w:t>The Authority is of the view the Regulator is suitably mindful of the costs the schemes impose on businesses and reduces costs where possible. The Authority has identified some areas that could help to reduce costs further</w:t>
      </w:r>
      <w:r w:rsidR="00EE5B69">
        <w:t xml:space="preserve"> in </w:t>
      </w:r>
      <w:r w:rsidR="00DA4F39">
        <w:t>C</w:t>
      </w:r>
      <w:r w:rsidR="00EE5B69" w:rsidRPr="00DA4F39">
        <w:t>hapter</w:t>
      </w:r>
      <w:r w:rsidR="00EE5B69">
        <w:t xml:space="preserve">s </w:t>
      </w:r>
      <w:r w:rsidR="00F33F8B">
        <w:t>4</w:t>
      </w:r>
      <w:r w:rsidR="00EE5B69">
        <w:t xml:space="preserve"> and </w:t>
      </w:r>
      <w:r w:rsidR="00F33F8B">
        <w:t>5</w:t>
      </w:r>
      <w:r>
        <w:t>.</w:t>
      </w:r>
    </w:p>
    <w:p w14:paraId="73F794E7" w14:textId="77777777" w:rsidR="00E7540C" w:rsidRPr="00B158E0" w:rsidRDefault="00107C2C" w:rsidP="00C813C5">
      <w:pPr>
        <w:pStyle w:val="CCAHeading3"/>
      </w:pPr>
      <w:r w:rsidRPr="00B158E0">
        <w:t xml:space="preserve">Costs to </w:t>
      </w:r>
      <w:r w:rsidR="00A22384">
        <w:t>G</w:t>
      </w:r>
      <w:r w:rsidR="00A22384" w:rsidRPr="00B158E0">
        <w:t>overnment</w:t>
      </w:r>
    </w:p>
    <w:p w14:paraId="7C1849EA" w14:textId="38F82E6A" w:rsidR="00D36B32" w:rsidRDefault="00EE5B69" w:rsidP="00141F72">
      <w:pPr>
        <w:pStyle w:val="CCABodytext"/>
      </w:pPr>
      <w:r>
        <w:t>In 2017</w:t>
      </w:r>
      <w:r w:rsidR="00DC316F">
        <w:t>–</w:t>
      </w:r>
      <w:r>
        <w:t>18, the Regulator spent around $4.1 million to administer the reporting scheme and safeguard</w:t>
      </w:r>
      <w:r w:rsidR="00E44DEE">
        <w:t xml:space="preserve"> (CER pers. comm.)</w:t>
      </w:r>
      <w:r w:rsidR="001C0A3E" w:rsidRPr="001C0A3E">
        <w:t xml:space="preserve">. This includes costs for </w:t>
      </w:r>
      <w:r w:rsidR="0086520F">
        <w:t xml:space="preserve">registration, </w:t>
      </w:r>
      <w:r w:rsidR="001C0A3E" w:rsidRPr="001C0A3E">
        <w:t xml:space="preserve">engagement, compliance, assessment, publication </w:t>
      </w:r>
      <w:r w:rsidR="001C0A3E">
        <w:t>and</w:t>
      </w:r>
      <w:r w:rsidR="001C0A3E" w:rsidRPr="001C0A3E">
        <w:t xml:space="preserve"> audits</w:t>
      </w:r>
      <w:r w:rsidR="003B012F">
        <w:t>;</w:t>
      </w:r>
      <w:r>
        <w:t xml:space="preserve"> it </w:t>
      </w:r>
      <w:r w:rsidR="001C0A3E" w:rsidRPr="001C0A3E">
        <w:t>does not include corporate overheads.</w:t>
      </w:r>
      <w:r w:rsidR="0030355F">
        <w:t xml:space="preserve"> In the same period, the costs to the Department were about $0.8 million. </w:t>
      </w:r>
      <w:r w:rsidR="00D36B32">
        <w:t xml:space="preserve">The current costs are </w:t>
      </w:r>
      <w:r w:rsidR="00C714F3">
        <w:t xml:space="preserve">of the same order of magnitude </w:t>
      </w:r>
      <w:r>
        <w:t>as</w:t>
      </w:r>
      <w:r w:rsidR="00430D90">
        <w:t xml:space="preserve"> the costs estimated in the e</w:t>
      </w:r>
      <w:r w:rsidR="00C714F3">
        <w:t xml:space="preserve">xplanatory </w:t>
      </w:r>
      <w:r w:rsidR="00430D90">
        <w:t>m</w:t>
      </w:r>
      <w:r w:rsidR="00C714F3">
        <w:t>emorandum for the legislation</w:t>
      </w:r>
      <w:r w:rsidR="0030355F">
        <w:t>, which did not include the safeguard</w:t>
      </w:r>
      <w:r w:rsidR="00430D90">
        <w:t xml:space="preserve"> (Revised Explanatory Memorandum, National Greenhouse and Energy Reporting Bill 2007 (Cth))</w:t>
      </w:r>
      <w:r w:rsidR="00C714F3">
        <w:t xml:space="preserve">. </w:t>
      </w:r>
    </w:p>
    <w:p w14:paraId="4AD89AB5" w14:textId="77777777" w:rsidR="00141F72" w:rsidRDefault="00141F72" w:rsidP="00141F72">
      <w:pPr>
        <w:pStyle w:val="CCABodytext"/>
      </w:pPr>
      <w:r>
        <w:t xml:space="preserve">There are a number of </w:t>
      </w:r>
      <w:r w:rsidR="0086520F">
        <w:t>measures</w:t>
      </w:r>
      <w:r>
        <w:t xml:space="preserve"> in place to ensure </w:t>
      </w:r>
      <w:r w:rsidR="00A22384">
        <w:t xml:space="preserve">Government </w:t>
      </w:r>
      <w:r>
        <w:t xml:space="preserve">operations and expenditure </w:t>
      </w:r>
      <w:r w:rsidR="00E44DEE">
        <w:t>are</w:t>
      </w:r>
      <w:r>
        <w:t xml:space="preserve"> efficient. These </w:t>
      </w:r>
      <w:r w:rsidR="0086520F">
        <w:t>measures</w:t>
      </w:r>
      <w:r>
        <w:t xml:space="preserve"> include an annual efficiency dividend, annual budget processes, audits by the Australian National Audit Office and a review under the National Commission of Audit in 2015. These processes have not identified any issues with the funding and expenditure related to the National Greenhouse and Energy Reporting legislation. </w:t>
      </w:r>
    </w:p>
    <w:p w14:paraId="72B3DF9A" w14:textId="77777777" w:rsidR="009653F6" w:rsidRDefault="009653F6" w:rsidP="00C813C5">
      <w:pPr>
        <w:pStyle w:val="CCAHeading2"/>
      </w:pPr>
      <w:bookmarkStart w:id="827" w:name="_Toc529377771"/>
      <w:bookmarkStart w:id="828" w:name="_Toc529389715"/>
      <w:bookmarkStart w:id="829" w:name="_Toc531095587"/>
      <w:bookmarkStart w:id="830" w:name="_Toc531099353"/>
      <w:bookmarkStart w:id="831" w:name="_Toc531101762"/>
      <w:bookmarkStart w:id="832" w:name="_Toc531764030"/>
      <w:bookmarkStart w:id="833" w:name="_Toc532912122"/>
      <w:bookmarkStart w:id="834" w:name="_Toc532914964"/>
      <w:r w:rsidRPr="00B158E0">
        <w:t>Compliance</w:t>
      </w:r>
      <w:r w:rsidR="00B158E0">
        <w:t xml:space="preserve"> </w:t>
      </w:r>
      <w:r w:rsidR="002400D2">
        <w:t>and enforcement under</w:t>
      </w:r>
      <w:r w:rsidR="00B158E0">
        <w:t xml:space="preserve"> the legislation</w:t>
      </w:r>
      <w:bookmarkEnd w:id="827"/>
      <w:bookmarkEnd w:id="828"/>
      <w:bookmarkEnd w:id="829"/>
      <w:bookmarkEnd w:id="830"/>
      <w:bookmarkEnd w:id="831"/>
      <w:bookmarkEnd w:id="832"/>
      <w:bookmarkEnd w:id="833"/>
      <w:bookmarkEnd w:id="834"/>
    </w:p>
    <w:p w14:paraId="79960C94" w14:textId="77777777" w:rsidR="00465FA9" w:rsidRPr="00F37E14" w:rsidRDefault="00465FA9" w:rsidP="00C813C5">
      <w:pPr>
        <w:pStyle w:val="CCAHeading3"/>
      </w:pPr>
      <w:r>
        <w:t>G</w:t>
      </w:r>
      <w:r w:rsidRPr="00F37E14">
        <w:t xml:space="preserve">uidance </w:t>
      </w:r>
      <w:r>
        <w:t>and education</w:t>
      </w:r>
    </w:p>
    <w:p w14:paraId="0C6D90DD" w14:textId="77777777" w:rsidR="00465FA9" w:rsidRDefault="00465FA9" w:rsidP="00465FA9">
      <w:pPr>
        <w:pStyle w:val="CCABodytext"/>
      </w:pPr>
      <w:r>
        <w:t>The provision of guidance is a key element of the Regulator’s approach to ensuring reports submitted under the reporting scheme are accurat</w:t>
      </w:r>
      <w:r w:rsidRPr="00681041">
        <w:t>e</w:t>
      </w:r>
      <w:r w:rsidR="00F873E5">
        <w:t xml:space="preserve"> and for improving compliance with the safeguard mechanism</w:t>
      </w:r>
      <w:r>
        <w:t>.</w:t>
      </w:r>
      <w:r w:rsidR="00B36AB7" w:rsidRPr="00B36AB7">
        <w:t xml:space="preserve"> </w:t>
      </w:r>
      <w:r w:rsidR="00B36AB7">
        <w:t xml:space="preserve">Some reporters told the Authority </w:t>
      </w:r>
      <w:r w:rsidR="00B36AB7" w:rsidRPr="00055E21">
        <w:t xml:space="preserve">the </w:t>
      </w:r>
      <w:r w:rsidR="00B36AB7">
        <w:t>Regulator’s commitment to</w:t>
      </w:r>
      <w:r w:rsidR="00B36AB7" w:rsidRPr="00055E21">
        <w:t xml:space="preserve"> education is </w:t>
      </w:r>
      <w:r w:rsidR="000727B3">
        <w:t>important</w:t>
      </w:r>
      <w:r w:rsidR="00B36AB7" w:rsidRPr="00055E21">
        <w:t xml:space="preserve"> for </w:t>
      </w:r>
      <w:r w:rsidR="00B36AB7">
        <w:t>supporting</w:t>
      </w:r>
      <w:r w:rsidR="00B36AB7" w:rsidRPr="00055E21">
        <w:t xml:space="preserve"> compliance and data quality</w:t>
      </w:r>
      <w:r w:rsidR="00B36AB7">
        <w:t>.</w:t>
      </w:r>
      <w:r>
        <w:t xml:space="preserve"> Many </w:t>
      </w:r>
      <w:r w:rsidR="00B36AB7">
        <w:t xml:space="preserve">also </w:t>
      </w:r>
      <w:r>
        <w:t>told the Authority of positive experiences with available guidance material and direct communication with the Regulator. Other</w:t>
      </w:r>
      <w:r w:rsidR="00B36AB7">
        <w:t xml:space="preserve"> reporters, however, </w:t>
      </w:r>
      <w:r>
        <w:t>suggested there are opportunities to simplify and consolidate guidance material and</w:t>
      </w:r>
      <w:r w:rsidR="002400D2">
        <w:t xml:space="preserve"> </w:t>
      </w:r>
      <w:r w:rsidR="001A2299" w:rsidRPr="00DA4F39">
        <w:t>there is</w:t>
      </w:r>
      <w:r w:rsidR="001A2299">
        <w:t xml:space="preserve"> </w:t>
      </w:r>
      <w:r w:rsidR="002400D2">
        <w:t>a need to focus on</w:t>
      </w:r>
      <w:r>
        <w:t xml:space="preserve"> notify</w:t>
      </w:r>
      <w:r w:rsidR="002400D2">
        <w:t>ing</w:t>
      </w:r>
      <w:r>
        <w:t xml:space="preserve"> reporters when updated guidance becomes available. The Authority encourages the Regulator to continue to provide guidance where appropriate and consider the best way to make the advice available to reporters.</w:t>
      </w:r>
    </w:p>
    <w:p w14:paraId="625B34F1" w14:textId="77777777" w:rsidR="00465FA9" w:rsidRPr="00F37E14" w:rsidRDefault="00E44DEE" w:rsidP="00465FA9">
      <w:pPr>
        <w:pStyle w:val="CCABodytext"/>
      </w:pPr>
      <w:r w:rsidRPr="00F37E14">
        <w:t>The Autho</w:t>
      </w:r>
      <w:r>
        <w:t>rity received submissions from</w:t>
      </w:r>
      <w:r w:rsidRPr="00F37E14">
        <w:t xml:space="preserve"> industry outlining difficulties in using existing methods</w:t>
      </w:r>
      <w:r w:rsidR="002400D2">
        <w:t xml:space="preserve"> under the measurement determination</w:t>
      </w:r>
      <w:r w:rsidR="001A2299">
        <w:t>,</w:t>
      </w:r>
      <w:r w:rsidRPr="00F37E14">
        <w:t xml:space="preserve"> which they said can be complex or ambiguous as to how they are intended to be applied</w:t>
      </w:r>
      <w:r w:rsidR="000D7A0F">
        <w:t xml:space="preserve"> </w:t>
      </w:r>
      <w:r w:rsidRPr="00F37E14">
        <w:t>(Woodside Energy</w:t>
      </w:r>
      <w:r w:rsidR="005D0038">
        <w:t>,</w:t>
      </w:r>
      <w:r>
        <w:t xml:space="preserve"> submission on this review</w:t>
      </w:r>
      <w:r w:rsidRPr="00F37E14">
        <w:t xml:space="preserve">). </w:t>
      </w:r>
      <w:r w:rsidR="00B36AB7">
        <w:t>Reporters</w:t>
      </w:r>
      <w:r w:rsidR="00465FA9" w:rsidRPr="00F37E14">
        <w:t xml:space="preserve"> </w:t>
      </w:r>
      <w:r w:rsidR="00C86870">
        <w:t>and service providers</w:t>
      </w:r>
      <w:r w:rsidR="00465FA9" w:rsidRPr="00F37E14">
        <w:t xml:space="preserve"> have said a ruling on how to interpret</w:t>
      </w:r>
      <w:r>
        <w:t xml:space="preserve"> some aspects of</w:t>
      </w:r>
      <w:r w:rsidR="00465FA9" w:rsidRPr="00F37E14">
        <w:t xml:space="preserve"> the measurement determination would be particularly beneficial, as is done by the Aus</w:t>
      </w:r>
      <w:r>
        <w:t>tralian Tax Office for tax law</w:t>
      </w:r>
      <w:r w:rsidR="00465FA9" w:rsidRPr="00F37E14">
        <w:t xml:space="preserve">. </w:t>
      </w:r>
    </w:p>
    <w:p w14:paraId="600AE667" w14:textId="2AD6DB97" w:rsidR="00465FA9" w:rsidRDefault="00465FA9" w:rsidP="00465FA9">
      <w:pPr>
        <w:pStyle w:val="CCABodytext"/>
      </w:pPr>
      <w:r>
        <w:t>T</w:t>
      </w:r>
      <w:r w:rsidRPr="00F37E14">
        <w:t xml:space="preserve">he Authority is of the view </w:t>
      </w:r>
      <w:r w:rsidR="001A2299">
        <w:t xml:space="preserve">that </w:t>
      </w:r>
      <w:r w:rsidRPr="00F37E14">
        <w:t>the best way to manage these complexities and ambiguities is to amend the measurement determination itself</w:t>
      </w:r>
      <w:r>
        <w:t xml:space="preserve"> and for the Regulator to continue to </w:t>
      </w:r>
      <w:r w:rsidR="008612B3">
        <w:t>provide appropriate guidance</w:t>
      </w:r>
      <w:r w:rsidRPr="00F37E14">
        <w:t>.</w:t>
      </w:r>
      <w:r>
        <w:t xml:space="preserve"> </w:t>
      </w:r>
      <w:r w:rsidRPr="00F37E14">
        <w:t>The</w:t>
      </w:r>
      <w:r>
        <w:t>se concern</w:t>
      </w:r>
      <w:r w:rsidR="008612B3">
        <w:t>s</w:t>
      </w:r>
      <w:r w:rsidR="00E44DEE">
        <w:t xml:space="preserve"> might be best</w:t>
      </w:r>
      <w:r>
        <w:t xml:space="preserve"> addressed through the enhanced process for annually updating </w:t>
      </w:r>
      <w:r w:rsidR="0065703D">
        <w:t>the measurement determination (R</w:t>
      </w:r>
      <w:r>
        <w:t>ecommendation</w:t>
      </w:r>
      <w:r w:rsidR="007006CB">
        <w:t xml:space="preserve"> </w:t>
      </w:r>
      <w:r w:rsidR="007006CB">
        <w:fldChar w:fldCharType="begin"/>
      </w:r>
      <w:r w:rsidR="007006CB">
        <w:instrText xml:space="preserve"> REF _Ref532894157 \r \h </w:instrText>
      </w:r>
      <w:r w:rsidR="007006CB">
        <w:fldChar w:fldCharType="separate"/>
      </w:r>
      <w:r w:rsidR="009A203A">
        <w:t>R.7</w:t>
      </w:r>
      <w:r w:rsidR="007006CB">
        <w:fldChar w:fldCharType="end"/>
      </w:r>
      <w:r>
        <w:t>).</w:t>
      </w:r>
      <w:r w:rsidRPr="00F37E14">
        <w:t xml:space="preserve"> </w:t>
      </w:r>
    </w:p>
    <w:p w14:paraId="1D35E9FE" w14:textId="77777777" w:rsidR="00A30A52" w:rsidRPr="00B158E0" w:rsidRDefault="00A30A52" w:rsidP="00C813C5">
      <w:pPr>
        <w:pStyle w:val="CCAHeading3"/>
      </w:pPr>
      <w:r>
        <w:t>Resubmissions</w:t>
      </w:r>
      <w:r w:rsidR="00465FA9">
        <w:t xml:space="preserve"> and audits</w:t>
      </w:r>
    </w:p>
    <w:p w14:paraId="385E7051" w14:textId="77777777" w:rsidR="00465FA9" w:rsidRDefault="00465FA9" w:rsidP="00465FA9">
      <w:pPr>
        <w:pStyle w:val="CCABodytext"/>
      </w:pPr>
      <w:r>
        <w:t>Compliance with the legislation ensures the data submitted under the reporting scheme is accurate. The Authority considered two indicators to understand the extent of compliance</w:t>
      </w:r>
      <w:r w:rsidR="00FE7C87" w:rsidRPr="00681041">
        <w:t>:</w:t>
      </w:r>
      <w:r w:rsidRPr="00681041">
        <w:t xml:space="preserve"> </w:t>
      </w:r>
      <w:r>
        <w:t>the number of resubmissions requested by the Regulator because non-compliance was identified in reported data</w:t>
      </w:r>
      <w:r w:rsidR="00681041">
        <w:t>;</w:t>
      </w:r>
      <w:r w:rsidRPr="00DA4F39">
        <w:t xml:space="preserve"> and </w:t>
      </w:r>
      <w:r>
        <w:t xml:space="preserve">the number of adverse audit findings. </w:t>
      </w:r>
    </w:p>
    <w:p w14:paraId="1A07B25D" w14:textId="04056FB6" w:rsidR="00DD695A" w:rsidRDefault="00DD695A" w:rsidP="00473440">
      <w:pPr>
        <w:pStyle w:val="CCABodytext"/>
      </w:pPr>
      <w:r>
        <w:t>In the period between 2012</w:t>
      </w:r>
      <w:r w:rsidR="00DC316F">
        <w:t>–</w:t>
      </w:r>
      <w:r>
        <w:t>13 and 2016</w:t>
      </w:r>
      <w:r w:rsidR="00DC316F">
        <w:t>–</w:t>
      </w:r>
      <w:r>
        <w:t xml:space="preserve">17, the number of resubmissions submitted to the Regulator decreased to 6 per cent of all </w:t>
      </w:r>
      <w:r w:rsidR="0086520F">
        <w:t xml:space="preserve">843 </w:t>
      </w:r>
      <w:r>
        <w:t>reports submitted (</w:t>
      </w:r>
      <w:r w:rsidR="0086475F">
        <w:fldChar w:fldCharType="begin"/>
      </w:r>
      <w:r w:rsidR="0086475F">
        <w:instrText xml:space="preserve"> REF _Ref529391173 \r \h </w:instrText>
      </w:r>
      <w:r w:rsidR="0086475F">
        <w:fldChar w:fldCharType="separate"/>
      </w:r>
      <w:r w:rsidR="009A203A">
        <w:t>Table 8</w:t>
      </w:r>
      <w:r w:rsidR="0086475F">
        <w:fldChar w:fldCharType="end"/>
      </w:r>
      <w:r>
        <w:t>). The decline in resubmissions can be interpreted as an indicator of increased accuracy of the data reported.</w:t>
      </w:r>
    </w:p>
    <w:p w14:paraId="34525295" w14:textId="77777777" w:rsidR="00F069B6" w:rsidRPr="0097426D" w:rsidRDefault="00F069B6" w:rsidP="00532BE2">
      <w:pPr>
        <w:pStyle w:val="CCATableheader"/>
      </w:pPr>
      <w:bookmarkStart w:id="835" w:name="_Ref529391173"/>
      <w:bookmarkStart w:id="836" w:name="_Toc531095540"/>
      <w:bookmarkStart w:id="837" w:name="_Toc531099306"/>
      <w:bookmarkStart w:id="838" w:name="_Toc531101715"/>
      <w:bookmarkStart w:id="839" w:name="_Toc531341084"/>
      <w:bookmarkStart w:id="840" w:name="_Toc531764052"/>
      <w:bookmarkStart w:id="841" w:name="_Toc532912073"/>
      <w:bookmarkStart w:id="842" w:name="_Toc532914017"/>
      <w:r>
        <w:t>Report s</w:t>
      </w:r>
      <w:r w:rsidRPr="0097426D">
        <w:t xml:space="preserve">ubmissions and </w:t>
      </w:r>
      <w:r>
        <w:t>r</w:t>
      </w:r>
      <w:r w:rsidRPr="0097426D">
        <w:t>esubmissions</w:t>
      </w:r>
      <w:bookmarkEnd w:id="835"/>
      <w:bookmarkEnd w:id="836"/>
      <w:bookmarkEnd w:id="837"/>
      <w:bookmarkEnd w:id="838"/>
      <w:bookmarkEnd w:id="839"/>
      <w:bookmarkEnd w:id="840"/>
      <w:bookmarkEnd w:id="841"/>
      <w:bookmarkEnd w:id="842"/>
    </w:p>
    <w:tbl>
      <w:tblPr>
        <w:tblStyle w:val="TableGrid"/>
        <w:tblW w:w="0" w:type="auto"/>
        <w:tblLook w:val="04A0" w:firstRow="1" w:lastRow="0" w:firstColumn="1" w:lastColumn="0" w:noHBand="0" w:noVBand="1"/>
      </w:tblPr>
      <w:tblGrid>
        <w:gridCol w:w="1710"/>
        <w:gridCol w:w="803"/>
        <w:gridCol w:w="909"/>
        <w:gridCol w:w="908"/>
        <w:gridCol w:w="909"/>
        <w:gridCol w:w="909"/>
        <w:gridCol w:w="909"/>
        <w:gridCol w:w="909"/>
        <w:gridCol w:w="909"/>
        <w:gridCol w:w="909"/>
      </w:tblGrid>
      <w:tr w:rsidR="00F069B6" w:rsidRPr="00681041" w14:paraId="32512B91" w14:textId="77777777" w:rsidTr="0086359F">
        <w:trPr>
          <w:trHeight w:val="397"/>
        </w:trPr>
        <w:tc>
          <w:tcPr>
            <w:tcW w:w="1710" w:type="dxa"/>
            <w:tcBorders>
              <w:top w:val="nil"/>
              <w:left w:val="nil"/>
              <w:bottom w:val="nil"/>
              <w:right w:val="nil"/>
            </w:tcBorders>
            <w:shd w:val="clear" w:color="auto" w:fill="309CC8" w:themeFill="accent1"/>
            <w:vAlign w:val="center"/>
          </w:tcPr>
          <w:p w14:paraId="5536EBD4" w14:textId="77777777" w:rsidR="00F069B6" w:rsidRPr="00BE42E5" w:rsidRDefault="00F069B6" w:rsidP="0086359F">
            <w:pPr>
              <w:pStyle w:val="TableHeadingRightAligned"/>
              <w:rPr>
                <w:sz w:val="20"/>
                <w:szCs w:val="20"/>
              </w:rPr>
            </w:pPr>
          </w:p>
        </w:tc>
        <w:tc>
          <w:tcPr>
            <w:tcW w:w="772" w:type="dxa"/>
            <w:tcBorders>
              <w:top w:val="nil"/>
              <w:left w:val="nil"/>
              <w:bottom w:val="nil"/>
              <w:right w:val="nil"/>
            </w:tcBorders>
            <w:shd w:val="clear" w:color="auto" w:fill="309CC8" w:themeFill="accent1"/>
            <w:vAlign w:val="center"/>
          </w:tcPr>
          <w:p w14:paraId="37020BB8"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08</w:t>
            </w:r>
            <w:r w:rsidR="00681041"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09</w:t>
            </w:r>
          </w:p>
        </w:tc>
        <w:tc>
          <w:tcPr>
            <w:tcW w:w="909" w:type="dxa"/>
            <w:tcBorders>
              <w:top w:val="nil"/>
              <w:left w:val="nil"/>
              <w:bottom w:val="nil"/>
              <w:right w:val="nil"/>
            </w:tcBorders>
            <w:shd w:val="clear" w:color="auto" w:fill="309CC8" w:themeFill="accent1"/>
            <w:vAlign w:val="center"/>
          </w:tcPr>
          <w:p w14:paraId="6488544E"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09</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10</w:t>
            </w:r>
          </w:p>
        </w:tc>
        <w:tc>
          <w:tcPr>
            <w:tcW w:w="908" w:type="dxa"/>
            <w:tcBorders>
              <w:top w:val="nil"/>
              <w:left w:val="nil"/>
              <w:bottom w:val="nil"/>
              <w:right w:val="nil"/>
            </w:tcBorders>
            <w:shd w:val="clear" w:color="auto" w:fill="309CC8" w:themeFill="accent1"/>
            <w:vAlign w:val="center"/>
          </w:tcPr>
          <w:p w14:paraId="5D171298"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10</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11</w:t>
            </w:r>
          </w:p>
        </w:tc>
        <w:tc>
          <w:tcPr>
            <w:tcW w:w="909" w:type="dxa"/>
            <w:tcBorders>
              <w:top w:val="nil"/>
              <w:left w:val="nil"/>
              <w:bottom w:val="nil"/>
              <w:right w:val="nil"/>
            </w:tcBorders>
            <w:shd w:val="clear" w:color="auto" w:fill="309CC8" w:themeFill="accent1"/>
            <w:vAlign w:val="center"/>
          </w:tcPr>
          <w:p w14:paraId="59313E63"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11</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12</w:t>
            </w:r>
          </w:p>
        </w:tc>
        <w:tc>
          <w:tcPr>
            <w:tcW w:w="909" w:type="dxa"/>
            <w:tcBorders>
              <w:top w:val="nil"/>
              <w:left w:val="nil"/>
              <w:bottom w:val="nil"/>
              <w:right w:val="nil"/>
            </w:tcBorders>
            <w:shd w:val="clear" w:color="auto" w:fill="309CC8" w:themeFill="accent1"/>
            <w:vAlign w:val="center"/>
          </w:tcPr>
          <w:p w14:paraId="51334EC1"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12</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13</w:t>
            </w:r>
          </w:p>
        </w:tc>
        <w:tc>
          <w:tcPr>
            <w:tcW w:w="909" w:type="dxa"/>
            <w:tcBorders>
              <w:top w:val="nil"/>
              <w:left w:val="nil"/>
              <w:bottom w:val="nil"/>
              <w:right w:val="nil"/>
            </w:tcBorders>
            <w:shd w:val="clear" w:color="auto" w:fill="309CC8" w:themeFill="accent1"/>
            <w:vAlign w:val="center"/>
          </w:tcPr>
          <w:p w14:paraId="38612671"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13</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14</w:t>
            </w:r>
          </w:p>
        </w:tc>
        <w:tc>
          <w:tcPr>
            <w:tcW w:w="909" w:type="dxa"/>
            <w:tcBorders>
              <w:top w:val="nil"/>
              <w:left w:val="nil"/>
              <w:bottom w:val="nil"/>
              <w:right w:val="nil"/>
            </w:tcBorders>
            <w:shd w:val="clear" w:color="auto" w:fill="309CC8" w:themeFill="accent1"/>
            <w:vAlign w:val="center"/>
          </w:tcPr>
          <w:p w14:paraId="020C9F36"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14</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15</w:t>
            </w:r>
          </w:p>
        </w:tc>
        <w:tc>
          <w:tcPr>
            <w:tcW w:w="909" w:type="dxa"/>
            <w:tcBorders>
              <w:top w:val="nil"/>
              <w:left w:val="nil"/>
              <w:bottom w:val="nil"/>
              <w:right w:val="nil"/>
            </w:tcBorders>
            <w:shd w:val="clear" w:color="auto" w:fill="309CC8" w:themeFill="accent1"/>
            <w:vAlign w:val="center"/>
          </w:tcPr>
          <w:p w14:paraId="39448C25"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15</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16</w:t>
            </w:r>
          </w:p>
        </w:tc>
        <w:tc>
          <w:tcPr>
            <w:tcW w:w="909" w:type="dxa"/>
            <w:tcBorders>
              <w:top w:val="nil"/>
              <w:left w:val="nil"/>
              <w:bottom w:val="nil"/>
              <w:right w:val="nil"/>
            </w:tcBorders>
            <w:shd w:val="clear" w:color="auto" w:fill="309CC8" w:themeFill="accent1"/>
            <w:vAlign w:val="center"/>
          </w:tcPr>
          <w:p w14:paraId="15C143C2" w14:textId="77777777" w:rsidR="00F069B6" w:rsidRPr="004C662E" w:rsidRDefault="00BE42E5" w:rsidP="0086359F">
            <w:pPr>
              <w:pStyle w:val="TableHeadingRightAligned"/>
              <w:rPr>
                <w:rFonts w:asciiTheme="minorHAnsi" w:hAnsiTheme="minorHAnsi" w:cstheme="minorHAnsi"/>
                <w:b/>
                <w:sz w:val="20"/>
                <w:szCs w:val="18"/>
              </w:rPr>
            </w:pPr>
            <w:r w:rsidRPr="004C662E">
              <w:rPr>
                <w:rFonts w:asciiTheme="minorHAnsi" w:hAnsiTheme="minorHAnsi" w:cstheme="minorHAnsi"/>
                <w:b/>
                <w:sz w:val="20"/>
                <w:szCs w:val="18"/>
                <w:lang w:eastAsia="en-AU"/>
              </w:rPr>
              <w:t>20</w:t>
            </w:r>
            <w:r w:rsidR="00F069B6" w:rsidRPr="004C662E">
              <w:rPr>
                <w:rFonts w:asciiTheme="minorHAnsi" w:hAnsiTheme="minorHAnsi" w:cstheme="minorHAnsi"/>
                <w:b/>
                <w:sz w:val="20"/>
                <w:szCs w:val="18"/>
                <w:lang w:eastAsia="en-AU"/>
              </w:rPr>
              <w:t>16</w:t>
            </w:r>
            <w:r w:rsidRPr="004C662E">
              <w:rPr>
                <w:rFonts w:asciiTheme="minorHAnsi" w:hAnsiTheme="minorHAnsi" w:cstheme="minorHAnsi"/>
                <w:b/>
                <w:sz w:val="20"/>
                <w:szCs w:val="18"/>
                <w:lang w:eastAsia="en-AU"/>
              </w:rPr>
              <w:t>–</w:t>
            </w:r>
            <w:r w:rsidR="00F069B6" w:rsidRPr="004C662E">
              <w:rPr>
                <w:rFonts w:asciiTheme="minorHAnsi" w:hAnsiTheme="minorHAnsi" w:cstheme="minorHAnsi"/>
                <w:b/>
                <w:sz w:val="20"/>
                <w:szCs w:val="18"/>
                <w:lang w:eastAsia="en-AU"/>
              </w:rPr>
              <w:t>17</w:t>
            </w:r>
          </w:p>
        </w:tc>
      </w:tr>
      <w:tr w:rsidR="00F069B6" w:rsidRPr="00681041" w14:paraId="14168C3F" w14:textId="77777777" w:rsidTr="0086359F">
        <w:trPr>
          <w:trHeight w:val="397"/>
        </w:trPr>
        <w:tc>
          <w:tcPr>
            <w:tcW w:w="1710" w:type="dxa"/>
            <w:tcBorders>
              <w:top w:val="nil"/>
              <w:left w:val="nil"/>
              <w:bottom w:val="dotted" w:sz="4" w:space="0" w:color="309CC8" w:themeColor="accent3"/>
              <w:right w:val="nil"/>
            </w:tcBorders>
            <w:vAlign w:val="center"/>
          </w:tcPr>
          <w:p w14:paraId="6F011517" w14:textId="77777777" w:rsidR="00F069B6" w:rsidRPr="00681041" w:rsidRDefault="00F069B6" w:rsidP="0041439B">
            <w:pPr>
              <w:pStyle w:val="CCAtable0"/>
              <w:jc w:val="left"/>
              <w:rPr>
                <w:b w:val="0"/>
                <w:color w:val="000000" w:themeColor="text1"/>
                <w:szCs w:val="20"/>
              </w:rPr>
            </w:pPr>
            <w:r w:rsidRPr="00681041">
              <w:rPr>
                <w:b w:val="0"/>
                <w:color w:val="000000" w:themeColor="text1"/>
                <w:szCs w:val="20"/>
                <w:lang w:eastAsia="en-AU"/>
              </w:rPr>
              <w:t xml:space="preserve">Number of </w:t>
            </w:r>
            <w:r w:rsidR="0041439B" w:rsidRPr="00681041">
              <w:rPr>
                <w:b w:val="0"/>
                <w:color w:val="000000" w:themeColor="text1"/>
                <w:szCs w:val="20"/>
                <w:lang w:eastAsia="en-AU"/>
              </w:rPr>
              <w:t>s</w:t>
            </w:r>
            <w:r w:rsidRPr="00681041">
              <w:rPr>
                <w:b w:val="0"/>
                <w:color w:val="000000" w:themeColor="text1"/>
                <w:szCs w:val="20"/>
                <w:lang w:eastAsia="en-AU"/>
              </w:rPr>
              <w:t>ubmissions</w:t>
            </w:r>
          </w:p>
        </w:tc>
        <w:tc>
          <w:tcPr>
            <w:tcW w:w="772" w:type="dxa"/>
            <w:tcBorders>
              <w:top w:val="nil"/>
              <w:left w:val="nil"/>
              <w:bottom w:val="dotted" w:sz="4" w:space="0" w:color="309CC8" w:themeColor="accent3"/>
              <w:right w:val="nil"/>
            </w:tcBorders>
            <w:vAlign w:val="center"/>
          </w:tcPr>
          <w:p w14:paraId="17931522" w14:textId="77777777" w:rsidR="00F069B6" w:rsidRPr="00BE42E5" w:rsidRDefault="00F069B6" w:rsidP="0086359F">
            <w:pPr>
              <w:pStyle w:val="CCAtable0"/>
              <w:jc w:val="right"/>
              <w:rPr>
                <w:b w:val="0"/>
                <w:color w:val="000000" w:themeColor="text1"/>
                <w:szCs w:val="20"/>
              </w:rPr>
            </w:pPr>
            <w:r w:rsidRPr="00681041">
              <w:rPr>
                <w:b w:val="0"/>
                <w:color w:val="000000" w:themeColor="text1"/>
                <w:szCs w:val="20"/>
                <w:lang w:eastAsia="en-AU"/>
              </w:rPr>
              <w:t>636</w:t>
            </w:r>
          </w:p>
        </w:tc>
        <w:tc>
          <w:tcPr>
            <w:tcW w:w="909" w:type="dxa"/>
            <w:tcBorders>
              <w:top w:val="nil"/>
              <w:left w:val="nil"/>
              <w:bottom w:val="dotted" w:sz="4" w:space="0" w:color="309CC8" w:themeColor="accent3"/>
              <w:right w:val="nil"/>
            </w:tcBorders>
            <w:vAlign w:val="center"/>
          </w:tcPr>
          <w:p w14:paraId="009E83E9"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776</w:t>
            </w:r>
          </w:p>
        </w:tc>
        <w:tc>
          <w:tcPr>
            <w:tcW w:w="908" w:type="dxa"/>
            <w:tcBorders>
              <w:top w:val="nil"/>
              <w:left w:val="nil"/>
              <w:bottom w:val="dotted" w:sz="4" w:space="0" w:color="309CC8" w:themeColor="accent3"/>
              <w:right w:val="nil"/>
            </w:tcBorders>
            <w:vAlign w:val="center"/>
          </w:tcPr>
          <w:p w14:paraId="5C372ADB"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852</w:t>
            </w:r>
          </w:p>
        </w:tc>
        <w:tc>
          <w:tcPr>
            <w:tcW w:w="909" w:type="dxa"/>
            <w:tcBorders>
              <w:top w:val="nil"/>
              <w:left w:val="nil"/>
              <w:bottom w:val="dotted" w:sz="4" w:space="0" w:color="309CC8" w:themeColor="accent3"/>
              <w:right w:val="nil"/>
            </w:tcBorders>
            <w:vAlign w:val="center"/>
          </w:tcPr>
          <w:p w14:paraId="4B73E9A7"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831</w:t>
            </w:r>
          </w:p>
        </w:tc>
        <w:tc>
          <w:tcPr>
            <w:tcW w:w="909" w:type="dxa"/>
            <w:tcBorders>
              <w:top w:val="nil"/>
              <w:left w:val="nil"/>
              <w:bottom w:val="dotted" w:sz="4" w:space="0" w:color="309CC8" w:themeColor="accent3"/>
              <w:right w:val="nil"/>
            </w:tcBorders>
            <w:vAlign w:val="center"/>
          </w:tcPr>
          <w:p w14:paraId="38D785A8"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841</w:t>
            </w:r>
          </w:p>
        </w:tc>
        <w:tc>
          <w:tcPr>
            <w:tcW w:w="909" w:type="dxa"/>
            <w:tcBorders>
              <w:top w:val="nil"/>
              <w:left w:val="nil"/>
              <w:bottom w:val="dotted" w:sz="4" w:space="0" w:color="309CC8" w:themeColor="accent3"/>
              <w:right w:val="nil"/>
            </w:tcBorders>
            <w:vAlign w:val="center"/>
          </w:tcPr>
          <w:p w14:paraId="3F2F5DA4"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838</w:t>
            </w:r>
          </w:p>
        </w:tc>
        <w:tc>
          <w:tcPr>
            <w:tcW w:w="909" w:type="dxa"/>
            <w:tcBorders>
              <w:top w:val="nil"/>
              <w:left w:val="nil"/>
              <w:bottom w:val="dotted" w:sz="4" w:space="0" w:color="309CC8" w:themeColor="accent3"/>
              <w:right w:val="nil"/>
            </w:tcBorders>
            <w:vAlign w:val="center"/>
          </w:tcPr>
          <w:p w14:paraId="17282DBA"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836</w:t>
            </w:r>
          </w:p>
        </w:tc>
        <w:tc>
          <w:tcPr>
            <w:tcW w:w="909" w:type="dxa"/>
            <w:tcBorders>
              <w:top w:val="nil"/>
              <w:left w:val="nil"/>
              <w:bottom w:val="dotted" w:sz="4" w:space="0" w:color="309CC8" w:themeColor="accent3"/>
              <w:right w:val="nil"/>
            </w:tcBorders>
            <w:vAlign w:val="center"/>
          </w:tcPr>
          <w:p w14:paraId="7B6F078B"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819</w:t>
            </w:r>
          </w:p>
        </w:tc>
        <w:tc>
          <w:tcPr>
            <w:tcW w:w="909" w:type="dxa"/>
            <w:tcBorders>
              <w:top w:val="nil"/>
              <w:left w:val="nil"/>
              <w:bottom w:val="dotted" w:sz="4" w:space="0" w:color="309CC8" w:themeColor="accent3"/>
              <w:right w:val="nil"/>
            </w:tcBorders>
            <w:vAlign w:val="center"/>
          </w:tcPr>
          <w:p w14:paraId="6D814A91"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843</w:t>
            </w:r>
          </w:p>
        </w:tc>
      </w:tr>
      <w:tr w:rsidR="00F069B6" w:rsidRPr="00681041" w14:paraId="04177772" w14:textId="77777777" w:rsidTr="0086359F">
        <w:trPr>
          <w:trHeight w:val="397"/>
        </w:trPr>
        <w:tc>
          <w:tcPr>
            <w:tcW w:w="1710" w:type="dxa"/>
            <w:tcBorders>
              <w:top w:val="dotted" w:sz="4" w:space="0" w:color="309CC8" w:themeColor="accent3"/>
              <w:left w:val="nil"/>
              <w:bottom w:val="dotted" w:sz="4" w:space="0" w:color="309CC8" w:themeColor="accent3"/>
              <w:right w:val="nil"/>
            </w:tcBorders>
            <w:vAlign w:val="center"/>
          </w:tcPr>
          <w:p w14:paraId="400F1232" w14:textId="77777777" w:rsidR="00F069B6" w:rsidRPr="00681041" w:rsidRDefault="00F069B6" w:rsidP="0086359F">
            <w:pPr>
              <w:pStyle w:val="CCAtable0"/>
              <w:jc w:val="left"/>
              <w:rPr>
                <w:b w:val="0"/>
                <w:color w:val="000000" w:themeColor="text1"/>
                <w:szCs w:val="20"/>
              </w:rPr>
            </w:pPr>
            <w:r w:rsidRPr="00681041">
              <w:rPr>
                <w:b w:val="0"/>
                <w:color w:val="000000" w:themeColor="text1"/>
                <w:szCs w:val="20"/>
                <w:lang w:eastAsia="en-AU"/>
              </w:rPr>
              <w:t xml:space="preserve">Number of </w:t>
            </w:r>
            <w:r w:rsidR="0041439B" w:rsidRPr="00681041">
              <w:rPr>
                <w:b w:val="0"/>
                <w:color w:val="000000" w:themeColor="text1"/>
                <w:szCs w:val="20"/>
                <w:lang w:eastAsia="en-AU"/>
              </w:rPr>
              <w:t>r</w:t>
            </w:r>
            <w:r w:rsidRPr="00681041">
              <w:rPr>
                <w:b w:val="0"/>
                <w:color w:val="000000" w:themeColor="text1"/>
                <w:szCs w:val="20"/>
                <w:lang w:eastAsia="en-AU"/>
              </w:rPr>
              <w:t>esubmissions</w:t>
            </w:r>
          </w:p>
        </w:tc>
        <w:tc>
          <w:tcPr>
            <w:tcW w:w="772" w:type="dxa"/>
            <w:tcBorders>
              <w:top w:val="dotted" w:sz="4" w:space="0" w:color="309CC8" w:themeColor="accent3"/>
              <w:left w:val="nil"/>
              <w:bottom w:val="dotted" w:sz="4" w:space="0" w:color="309CC8" w:themeColor="accent3"/>
              <w:right w:val="nil"/>
            </w:tcBorders>
            <w:vAlign w:val="center"/>
          </w:tcPr>
          <w:p w14:paraId="1D39E2AE" w14:textId="77777777" w:rsidR="00F069B6" w:rsidRPr="00BE42E5" w:rsidRDefault="00F069B6" w:rsidP="0086359F">
            <w:pPr>
              <w:pStyle w:val="CCAtable0"/>
              <w:jc w:val="right"/>
              <w:rPr>
                <w:b w:val="0"/>
                <w:color w:val="000000" w:themeColor="text1"/>
                <w:szCs w:val="20"/>
              </w:rPr>
            </w:pPr>
            <w:r w:rsidRPr="00681041">
              <w:rPr>
                <w:b w:val="0"/>
                <w:color w:val="000000" w:themeColor="text1"/>
                <w:szCs w:val="20"/>
                <w:lang w:eastAsia="en-AU"/>
              </w:rPr>
              <w:t>94</w:t>
            </w:r>
          </w:p>
        </w:tc>
        <w:tc>
          <w:tcPr>
            <w:tcW w:w="909" w:type="dxa"/>
            <w:tcBorders>
              <w:top w:val="dotted" w:sz="4" w:space="0" w:color="309CC8" w:themeColor="accent3"/>
              <w:left w:val="nil"/>
              <w:bottom w:val="dotted" w:sz="4" w:space="0" w:color="309CC8" w:themeColor="accent3"/>
              <w:right w:val="nil"/>
            </w:tcBorders>
            <w:vAlign w:val="center"/>
          </w:tcPr>
          <w:p w14:paraId="50B9F0DF"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109</w:t>
            </w:r>
          </w:p>
        </w:tc>
        <w:tc>
          <w:tcPr>
            <w:tcW w:w="908" w:type="dxa"/>
            <w:tcBorders>
              <w:top w:val="dotted" w:sz="4" w:space="0" w:color="309CC8" w:themeColor="accent3"/>
              <w:left w:val="nil"/>
              <w:bottom w:val="dotted" w:sz="4" w:space="0" w:color="309CC8" w:themeColor="accent3"/>
              <w:right w:val="nil"/>
            </w:tcBorders>
            <w:vAlign w:val="center"/>
          </w:tcPr>
          <w:p w14:paraId="085A75AE"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113</w:t>
            </w:r>
          </w:p>
        </w:tc>
        <w:tc>
          <w:tcPr>
            <w:tcW w:w="909" w:type="dxa"/>
            <w:tcBorders>
              <w:top w:val="dotted" w:sz="4" w:space="0" w:color="309CC8" w:themeColor="accent3"/>
              <w:left w:val="nil"/>
              <w:bottom w:val="dotted" w:sz="4" w:space="0" w:color="309CC8" w:themeColor="accent3"/>
              <w:right w:val="nil"/>
            </w:tcBorders>
            <w:vAlign w:val="center"/>
          </w:tcPr>
          <w:p w14:paraId="11613F73"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65</w:t>
            </w:r>
          </w:p>
        </w:tc>
        <w:tc>
          <w:tcPr>
            <w:tcW w:w="909" w:type="dxa"/>
            <w:tcBorders>
              <w:top w:val="dotted" w:sz="4" w:space="0" w:color="309CC8" w:themeColor="accent3"/>
              <w:left w:val="nil"/>
              <w:bottom w:val="dotted" w:sz="4" w:space="0" w:color="309CC8" w:themeColor="accent3"/>
              <w:right w:val="nil"/>
            </w:tcBorders>
            <w:vAlign w:val="center"/>
          </w:tcPr>
          <w:p w14:paraId="5ACBCAD5"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126</w:t>
            </w:r>
          </w:p>
        </w:tc>
        <w:tc>
          <w:tcPr>
            <w:tcW w:w="909" w:type="dxa"/>
            <w:tcBorders>
              <w:top w:val="dotted" w:sz="4" w:space="0" w:color="309CC8" w:themeColor="accent3"/>
              <w:left w:val="nil"/>
              <w:bottom w:val="dotted" w:sz="4" w:space="0" w:color="309CC8" w:themeColor="accent3"/>
              <w:right w:val="nil"/>
            </w:tcBorders>
            <w:vAlign w:val="center"/>
          </w:tcPr>
          <w:p w14:paraId="57314616"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94</w:t>
            </w:r>
          </w:p>
        </w:tc>
        <w:tc>
          <w:tcPr>
            <w:tcW w:w="909" w:type="dxa"/>
            <w:tcBorders>
              <w:top w:val="dotted" w:sz="4" w:space="0" w:color="309CC8" w:themeColor="accent3"/>
              <w:left w:val="nil"/>
              <w:bottom w:val="dotted" w:sz="4" w:space="0" w:color="309CC8" w:themeColor="accent3"/>
              <w:right w:val="nil"/>
            </w:tcBorders>
            <w:vAlign w:val="center"/>
          </w:tcPr>
          <w:p w14:paraId="185AABBC"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79</w:t>
            </w:r>
          </w:p>
        </w:tc>
        <w:tc>
          <w:tcPr>
            <w:tcW w:w="909" w:type="dxa"/>
            <w:tcBorders>
              <w:top w:val="dotted" w:sz="4" w:space="0" w:color="309CC8" w:themeColor="accent3"/>
              <w:left w:val="nil"/>
              <w:bottom w:val="dotted" w:sz="4" w:space="0" w:color="309CC8" w:themeColor="accent3"/>
              <w:right w:val="nil"/>
            </w:tcBorders>
            <w:vAlign w:val="center"/>
          </w:tcPr>
          <w:p w14:paraId="697B1ACB"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78</w:t>
            </w:r>
          </w:p>
        </w:tc>
        <w:tc>
          <w:tcPr>
            <w:tcW w:w="909" w:type="dxa"/>
            <w:tcBorders>
              <w:top w:val="dotted" w:sz="4" w:space="0" w:color="309CC8" w:themeColor="accent3"/>
              <w:left w:val="nil"/>
              <w:bottom w:val="dotted" w:sz="4" w:space="0" w:color="309CC8" w:themeColor="accent3"/>
              <w:right w:val="nil"/>
            </w:tcBorders>
            <w:vAlign w:val="center"/>
          </w:tcPr>
          <w:p w14:paraId="32BFD33C" w14:textId="77777777" w:rsidR="00F069B6" w:rsidRPr="00BE42E5" w:rsidRDefault="00F069B6" w:rsidP="0086359F">
            <w:pPr>
              <w:pStyle w:val="CCAtable0"/>
              <w:jc w:val="right"/>
              <w:rPr>
                <w:b w:val="0"/>
                <w:color w:val="000000" w:themeColor="text1"/>
                <w:szCs w:val="20"/>
              </w:rPr>
            </w:pPr>
            <w:r w:rsidRPr="00BE42E5">
              <w:rPr>
                <w:b w:val="0"/>
                <w:color w:val="000000" w:themeColor="text1"/>
                <w:szCs w:val="20"/>
                <w:lang w:eastAsia="en-AU"/>
              </w:rPr>
              <w:t>49</w:t>
            </w:r>
          </w:p>
        </w:tc>
      </w:tr>
      <w:tr w:rsidR="00F069B6" w:rsidRPr="00681041" w14:paraId="09A14B32" w14:textId="77777777" w:rsidTr="001D17FB">
        <w:trPr>
          <w:trHeight w:val="397"/>
        </w:trPr>
        <w:tc>
          <w:tcPr>
            <w:tcW w:w="1710" w:type="dxa"/>
            <w:tcBorders>
              <w:top w:val="dotted" w:sz="4" w:space="0" w:color="309CC8" w:themeColor="accent3"/>
              <w:left w:val="nil"/>
              <w:bottom w:val="nil"/>
              <w:right w:val="nil"/>
            </w:tcBorders>
            <w:vAlign w:val="center"/>
          </w:tcPr>
          <w:p w14:paraId="134E114E" w14:textId="77777777" w:rsidR="00F069B6" w:rsidRPr="00BE42E5" w:rsidRDefault="00EE5B69" w:rsidP="00EE5B69">
            <w:pPr>
              <w:pStyle w:val="CCAtable0"/>
              <w:jc w:val="left"/>
              <w:rPr>
                <w:b w:val="0"/>
                <w:color w:val="000000" w:themeColor="text1"/>
                <w:szCs w:val="20"/>
                <w:lang w:eastAsia="en-AU"/>
              </w:rPr>
            </w:pPr>
            <w:r w:rsidRPr="00681041">
              <w:rPr>
                <w:b w:val="0"/>
                <w:color w:val="000000" w:themeColor="text1"/>
                <w:szCs w:val="20"/>
                <w:lang w:eastAsia="en-AU"/>
              </w:rPr>
              <w:t>Resubmissions as a p</w:t>
            </w:r>
            <w:r w:rsidR="00F069B6" w:rsidRPr="00681041">
              <w:rPr>
                <w:b w:val="0"/>
                <w:color w:val="000000" w:themeColor="text1"/>
                <w:szCs w:val="20"/>
                <w:lang w:eastAsia="en-AU"/>
              </w:rPr>
              <w:t xml:space="preserve">ercentage </w:t>
            </w:r>
            <w:r w:rsidRPr="00681041">
              <w:rPr>
                <w:b w:val="0"/>
                <w:color w:val="000000" w:themeColor="text1"/>
                <w:szCs w:val="20"/>
                <w:lang w:eastAsia="en-AU"/>
              </w:rPr>
              <w:t xml:space="preserve">of reports submitted </w:t>
            </w:r>
            <w:r w:rsidR="00F069B6" w:rsidRPr="00681041">
              <w:rPr>
                <w:b w:val="0"/>
                <w:color w:val="000000" w:themeColor="text1"/>
                <w:szCs w:val="20"/>
                <w:lang w:eastAsia="en-AU"/>
              </w:rPr>
              <w:t>(%)</w:t>
            </w:r>
          </w:p>
        </w:tc>
        <w:tc>
          <w:tcPr>
            <w:tcW w:w="772" w:type="dxa"/>
            <w:tcBorders>
              <w:top w:val="dotted" w:sz="4" w:space="0" w:color="309CC8" w:themeColor="accent3"/>
              <w:left w:val="nil"/>
              <w:bottom w:val="nil"/>
              <w:right w:val="nil"/>
            </w:tcBorders>
            <w:vAlign w:val="center"/>
          </w:tcPr>
          <w:p w14:paraId="34FA9C5A"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1</w:t>
            </w:r>
            <w:r w:rsidR="00DD2897" w:rsidRPr="00BE42E5">
              <w:rPr>
                <w:b w:val="0"/>
                <w:color w:val="000000" w:themeColor="text1"/>
                <w:szCs w:val="20"/>
                <w:lang w:eastAsia="en-AU"/>
              </w:rPr>
              <w:t>5</w:t>
            </w:r>
          </w:p>
        </w:tc>
        <w:tc>
          <w:tcPr>
            <w:tcW w:w="909" w:type="dxa"/>
            <w:tcBorders>
              <w:top w:val="dotted" w:sz="4" w:space="0" w:color="309CC8" w:themeColor="accent3"/>
              <w:left w:val="nil"/>
              <w:bottom w:val="nil"/>
              <w:right w:val="nil"/>
            </w:tcBorders>
            <w:vAlign w:val="center"/>
          </w:tcPr>
          <w:p w14:paraId="0D4CF952"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14</w:t>
            </w:r>
          </w:p>
        </w:tc>
        <w:tc>
          <w:tcPr>
            <w:tcW w:w="908" w:type="dxa"/>
            <w:tcBorders>
              <w:top w:val="dotted" w:sz="4" w:space="0" w:color="309CC8" w:themeColor="accent3"/>
              <w:left w:val="nil"/>
              <w:bottom w:val="nil"/>
              <w:right w:val="nil"/>
            </w:tcBorders>
            <w:vAlign w:val="center"/>
          </w:tcPr>
          <w:p w14:paraId="5D058359"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13</w:t>
            </w:r>
          </w:p>
        </w:tc>
        <w:tc>
          <w:tcPr>
            <w:tcW w:w="909" w:type="dxa"/>
            <w:tcBorders>
              <w:top w:val="dotted" w:sz="4" w:space="0" w:color="309CC8" w:themeColor="accent3"/>
              <w:left w:val="nil"/>
              <w:bottom w:val="nil"/>
              <w:right w:val="nil"/>
            </w:tcBorders>
            <w:vAlign w:val="center"/>
          </w:tcPr>
          <w:p w14:paraId="378CCEE4"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8</w:t>
            </w:r>
          </w:p>
        </w:tc>
        <w:tc>
          <w:tcPr>
            <w:tcW w:w="909" w:type="dxa"/>
            <w:tcBorders>
              <w:top w:val="dotted" w:sz="4" w:space="0" w:color="309CC8" w:themeColor="accent3"/>
              <w:left w:val="nil"/>
              <w:bottom w:val="nil"/>
              <w:right w:val="nil"/>
            </w:tcBorders>
            <w:vAlign w:val="center"/>
          </w:tcPr>
          <w:p w14:paraId="2FE9C756"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15</w:t>
            </w:r>
          </w:p>
        </w:tc>
        <w:tc>
          <w:tcPr>
            <w:tcW w:w="909" w:type="dxa"/>
            <w:tcBorders>
              <w:top w:val="dotted" w:sz="4" w:space="0" w:color="309CC8" w:themeColor="accent3"/>
              <w:left w:val="nil"/>
              <w:bottom w:val="nil"/>
              <w:right w:val="nil"/>
            </w:tcBorders>
            <w:vAlign w:val="center"/>
          </w:tcPr>
          <w:p w14:paraId="36910529"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11</w:t>
            </w:r>
          </w:p>
        </w:tc>
        <w:tc>
          <w:tcPr>
            <w:tcW w:w="909" w:type="dxa"/>
            <w:tcBorders>
              <w:top w:val="dotted" w:sz="4" w:space="0" w:color="309CC8" w:themeColor="accent3"/>
              <w:left w:val="nil"/>
              <w:bottom w:val="nil"/>
              <w:right w:val="nil"/>
            </w:tcBorders>
            <w:vAlign w:val="center"/>
          </w:tcPr>
          <w:p w14:paraId="747FC457"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9</w:t>
            </w:r>
          </w:p>
        </w:tc>
        <w:tc>
          <w:tcPr>
            <w:tcW w:w="909" w:type="dxa"/>
            <w:tcBorders>
              <w:top w:val="dotted" w:sz="4" w:space="0" w:color="309CC8" w:themeColor="accent3"/>
              <w:left w:val="nil"/>
              <w:bottom w:val="nil"/>
              <w:right w:val="nil"/>
            </w:tcBorders>
            <w:vAlign w:val="center"/>
          </w:tcPr>
          <w:p w14:paraId="649C44A0"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10</w:t>
            </w:r>
          </w:p>
        </w:tc>
        <w:tc>
          <w:tcPr>
            <w:tcW w:w="909" w:type="dxa"/>
            <w:tcBorders>
              <w:top w:val="dotted" w:sz="4" w:space="0" w:color="309CC8" w:themeColor="accent3"/>
              <w:left w:val="nil"/>
              <w:bottom w:val="nil"/>
              <w:right w:val="nil"/>
            </w:tcBorders>
            <w:vAlign w:val="center"/>
          </w:tcPr>
          <w:p w14:paraId="5A019440" w14:textId="77777777" w:rsidR="00F069B6" w:rsidRPr="00BE42E5" w:rsidRDefault="00F069B6" w:rsidP="0086359F">
            <w:pPr>
              <w:pStyle w:val="CCAtable0"/>
              <w:jc w:val="right"/>
              <w:rPr>
                <w:b w:val="0"/>
                <w:color w:val="000000" w:themeColor="text1"/>
                <w:szCs w:val="20"/>
                <w:lang w:eastAsia="en-AU"/>
              </w:rPr>
            </w:pPr>
            <w:r w:rsidRPr="00BE42E5">
              <w:rPr>
                <w:b w:val="0"/>
                <w:color w:val="000000" w:themeColor="text1"/>
                <w:szCs w:val="20"/>
                <w:lang w:eastAsia="en-AU"/>
              </w:rPr>
              <w:t>6</w:t>
            </w:r>
          </w:p>
        </w:tc>
      </w:tr>
    </w:tbl>
    <w:p w14:paraId="0BCE7EE1" w14:textId="77777777" w:rsidR="00F069B6" w:rsidRDefault="00DD695A" w:rsidP="00D807BE">
      <w:pPr>
        <w:pStyle w:val="CCANotesource"/>
      </w:pPr>
      <w:r w:rsidRPr="001D4F22">
        <w:rPr>
          <w:b/>
        </w:rPr>
        <w:t xml:space="preserve">Note: </w:t>
      </w:r>
      <w:r w:rsidRPr="005366EC">
        <w:t>The</w:t>
      </w:r>
      <w:r>
        <w:t xml:space="preserve"> increase in the number of resubmissions in 2012</w:t>
      </w:r>
      <w:r w:rsidR="00DC316F">
        <w:t>–</w:t>
      </w:r>
      <w:r>
        <w:t>13 and 2013</w:t>
      </w:r>
      <w:r w:rsidR="00DC316F">
        <w:t>–</w:t>
      </w:r>
      <w:r>
        <w:t xml:space="preserve">14 correlates to the introduction and repeal of the carbon pricing mechanism and increased scrutiny by </w:t>
      </w:r>
      <w:r w:rsidR="00EE5B69">
        <w:t xml:space="preserve">both </w:t>
      </w:r>
      <w:r>
        <w:t xml:space="preserve">the Regulator and reporters at that time (CER </w:t>
      </w:r>
      <w:r w:rsidR="00BE54E3">
        <w:t>p</w:t>
      </w:r>
      <w:r>
        <w:t xml:space="preserve">ers. </w:t>
      </w:r>
      <w:r w:rsidR="00BE54E3">
        <w:t>c</w:t>
      </w:r>
      <w:r>
        <w:t>omm.)</w:t>
      </w:r>
      <w:r w:rsidR="001D4F22">
        <w:br/>
      </w:r>
      <w:r w:rsidR="00F069B6" w:rsidRPr="001D4F22">
        <w:rPr>
          <w:b/>
        </w:rPr>
        <w:t>Source:</w:t>
      </w:r>
      <w:r w:rsidR="00F069B6">
        <w:t xml:space="preserve"> CER </w:t>
      </w:r>
      <w:r w:rsidR="004E10C2">
        <w:t>p</w:t>
      </w:r>
      <w:r w:rsidR="00F069B6">
        <w:t xml:space="preserve">ers. </w:t>
      </w:r>
      <w:r w:rsidR="004E10C2">
        <w:t>c</w:t>
      </w:r>
      <w:r w:rsidR="00F069B6">
        <w:t>omm.</w:t>
      </w:r>
      <w:r w:rsidR="0030355F" w:rsidDel="0030355F">
        <w:t xml:space="preserve"> </w:t>
      </w:r>
    </w:p>
    <w:p w14:paraId="0BE63CAE" w14:textId="77777777" w:rsidR="00E44DEE" w:rsidRDefault="00A966C5" w:rsidP="00E44DEE">
      <w:pPr>
        <w:pStyle w:val="CCABodytext"/>
      </w:pPr>
      <w:r w:rsidRPr="00212386">
        <w:t>In 20</w:t>
      </w:r>
      <w:r w:rsidR="001356F1" w:rsidRPr="00212386">
        <w:t>16</w:t>
      </w:r>
      <w:r w:rsidR="00DC316F">
        <w:t>–</w:t>
      </w:r>
      <w:r w:rsidRPr="00212386">
        <w:t>17</w:t>
      </w:r>
      <w:r w:rsidR="00363A50">
        <w:t>,</w:t>
      </w:r>
      <w:r w:rsidRPr="00212386">
        <w:t xml:space="preserve"> the Regulator received </w:t>
      </w:r>
      <w:r w:rsidR="001356F1" w:rsidRPr="00212386">
        <w:t>73</w:t>
      </w:r>
      <w:r w:rsidRPr="00212386">
        <w:t xml:space="preserve"> voluntary audits under the reporting scheme and </w:t>
      </w:r>
      <w:r w:rsidR="0041439B">
        <w:t>14</w:t>
      </w:r>
      <w:r w:rsidRPr="00212386">
        <w:t xml:space="preserve"> audits for the safeguard.</w:t>
      </w:r>
      <w:r w:rsidR="00363A50" w:rsidRPr="00212386">
        <w:rPr>
          <w:rStyle w:val="FootnoteReference"/>
        </w:rPr>
        <w:footnoteReference w:id="33"/>
      </w:r>
      <w:r w:rsidRPr="00212386">
        <w:t xml:space="preserve"> </w:t>
      </w:r>
      <w:r w:rsidR="001356F1" w:rsidRPr="00212386">
        <w:t>The Regulator also initiates a series of audits each year to investigate particular compliance priorities or risks. Of the Regulator</w:t>
      </w:r>
      <w:r w:rsidR="00836A44">
        <w:t>-</w:t>
      </w:r>
      <w:r w:rsidR="001356F1" w:rsidRPr="00212386">
        <w:t>initiated audits of the reporting scheme in 2016</w:t>
      </w:r>
      <w:r w:rsidR="00DC316F">
        <w:t>–</w:t>
      </w:r>
      <w:r w:rsidR="001356F1" w:rsidRPr="00212386">
        <w:t xml:space="preserve">17, </w:t>
      </w:r>
      <w:r w:rsidR="009111F8">
        <w:t>almost</w:t>
      </w:r>
      <w:r w:rsidR="009111F8" w:rsidRPr="00212386">
        <w:t xml:space="preserve"> </w:t>
      </w:r>
      <w:r w:rsidR="001356F1" w:rsidRPr="00212386">
        <w:t>80</w:t>
      </w:r>
      <w:r w:rsidR="00836A44">
        <w:t> </w:t>
      </w:r>
      <w:r w:rsidR="001356F1" w:rsidRPr="00212386">
        <w:t>per</w:t>
      </w:r>
      <w:r w:rsidR="00836A44">
        <w:t> </w:t>
      </w:r>
      <w:r w:rsidR="001356F1" w:rsidRPr="00212386">
        <w:t>cent</w:t>
      </w:r>
      <w:r w:rsidRPr="00212386">
        <w:t xml:space="preserve"> </w:t>
      </w:r>
      <w:r w:rsidR="00E44DEE" w:rsidRPr="00212386">
        <w:t xml:space="preserve">returned an unqualified (no </w:t>
      </w:r>
      <w:r w:rsidR="0041439B">
        <w:t xml:space="preserve">material </w:t>
      </w:r>
      <w:r w:rsidR="00E44DEE" w:rsidRPr="00212386">
        <w:t>errors)</w:t>
      </w:r>
      <w:r w:rsidR="001356F1" w:rsidRPr="00212386">
        <w:t xml:space="preserve"> or </w:t>
      </w:r>
      <w:r w:rsidR="00E44DEE" w:rsidRPr="00212386">
        <w:t xml:space="preserve">qualified </w:t>
      </w:r>
      <w:r w:rsidR="00363A50">
        <w:t xml:space="preserve">audit </w:t>
      </w:r>
      <w:r w:rsidR="00E44DEE" w:rsidRPr="00212386">
        <w:t xml:space="preserve">(one or more </w:t>
      </w:r>
      <w:r w:rsidR="0041439B">
        <w:t xml:space="preserve">material </w:t>
      </w:r>
      <w:r w:rsidR="00E44DEE" w:rsidRPr="00212386">
        <w:t>errors were found not affecting the conclusions)</w:t>
      </w:r>
      <w:r w:rsidR="001356F1" w:rsidRPr="00212386">
        <w:t xml:space="preserve"> </w:t>
      </w:r>
      <w:r w:rsidR="00E44DEE" w:rsidRPr="00212386">
        <w:t xml:space="preserve">(CER pers. comm.). Again, a low number of adverse findings </w:t>
      </w:r>
      <w:r w:rsidR="001356F1" w:rsidRPr="00212386">
        <w:t>from audits targeting known risks</w:t>
      </w:r>
      <w:r w:rsidR="00E44DEE" w:rsidRPr="00212386">
        <w:t xml:space="preserve"> can indicate the reported data is generally accurate.</w:t>
      </w:r>
    </w:p>
    <w:p w14:paraId="1AB2A8DE" w14:textId="6FC07625" w:rsidR="00D807BE" w:rsidRDefault="00CE5B58" w:rsidP="00AF55CA">
      <w:pPr>
        <w:pStyle w:val="CCABodytext"/>
      </w:pPr>
      <w:r>
        <w:t xml:space="preserve">The Regulator monitors the performance of auditors </w:t>
      </w:r>
      <w:r w:rsidR="00020E6D">
        <w:t>accredited under the National Greenhouse and Energy Reporting legislation</w:t>
      </w:r>
      <w:r>
        <w:t xml:space="preserve"> </w:t>
      </w:r>
      <w:r w:rsidR="008351FD">
        <w:t xml:space="preserve">by </w:t>
      </w:r>
      <w:r w:rsidR="00D807BE">
        <w:t xml:space="preserve">conducting analysis and risk profiling of </w:t>
      </w:r>
      <w:r>
        <w:t>auditor</w:t>
      </w:r>
      <w:r w:rsidR="00D807BE">
        <w:t>s</w:t>
      </w:r>
      <w:r>
        <w:t>, on-site and desktop assessments</w:t>
      </w:r>
      <w:r w:rsidR="00D807BE">
        <w:t xml:space="preserve"> and </w:t>
      </w:r>
      <w:r>
        <w:t>registration reviews</w:t>
      </w:r>
      <w:r w:rsidR="00D807BE">
        <w:t xml:space="preserve">. The Regulator also undertakes active </w:t>
      </w:r>
      <w:r>
        <w:t xml:space="preserve">education and engagement </w:t>
      </w:r>
      <w:r w:rsidR="00D807BE">
        <w:t xml:space="preserve">activities </w:t>
      </w:r>
      <w:r>
        <w:t xml:space="preserve">with auditors. </w:t>
      </w:r>
      <w:r w:rsidR="00AF55CA" w:rsidRPr="00A62C00">
        <w:t>In 2016</w:t>
      </w:r>
      <w:r w:rsidR="00DC316F">
        <w:t>–</w:t>
      </w:r>
      <w:r w:rsidR="00AF55CA" w:rsidRPr="00A62C00">
        <w:t xml:space="preserve">17, the Regulator conducted nine inspections of registered auditors. </w:t>
      </w:r>
      <w:r w:rsidR="00AF55CA">
        <w:t xml:space="preserve">As a result, </w:t>
      </w:r>
      <w:r w:rsidR="00AF55CA" w:rsidRPr="00A62C00">
        <w:t>one auditor was de</w:t>
      </w:r>
      <w:r w:rsidR="008F2E04">
        <w:t>-</w:t>
      </w:r>
      <w:r w:rsidR="00AF55CA" w:rsidRPr="00A62C00">
        <w:t>registered due to issues with the conduct of their audits. Two other auditors chose to de</w:t>
      </w:r>
      <w:r w:rsidR="008F2E04">
        <w:t>-</w:t>
      </w:r>
      <w:r w:rsidR="00AF55CA" w:rsidRPr="00A62C00">
        <w:t xml:space="preserve">register voluntarily following inspection. </w:t>
      </w:r>
    </w:p>
    <w:p w14:paraId="53051554" w14:textId="77777777" w:rsidR="00AF55CA" w:rsidRDefault="00AF55CA" w:rsidP="00AF55CA">
      <w:pPr>
        <w:pStyle w:val="CCABodytext"/>
      </w:pPr>
      <w:r>
        <w:t>The Authority is of the view</w:t>
      </w:r>
      <w:r w:rsidR="00836A44">
        <w:t xml:space="preserve"> that</w:t>
      </w:r>
      <w:r>
        <w:t xml:space="preserve"> the Regulator is actively monitoring and improving the audit </w:t>
      </w:r>
      <w:r w:rsidR="0041439B">
        <w:t>framework</w:t>
      </w:r>
      <w:r w:rsidR="00836A44">
        <w:t>. This</w:t>
      </w:r>
      <w:r>
        <w:t xml:space="preserve"> provides confidence in the data and outcomes of the audited schemes administered by the Regulator (the reporting scheme, safeguard mechanism, Emissions Reduction Fund and Renewable Energy Target)</w:t>
      </w:r>
      <w:r w:rsidR="00020E6D">
        <w:t xml:space="preserve"> and the National Carbon Offset Standard</w:t>
      </w:r>
      <w:r w:rsidR="00363A50">
        <w:t>,</w:t>
      </w:r>
      <w:r w:rsidR="00020E6D">
        <w:t xml:space="preserve"> which also relies on accredited auditors</w:t>
      </w:r>
      <w:r>
        <w:t>.</w:t>
      </w:r>
    </w:p>
    <w:p w14:paraId="051018B4" w14:textId="77777777" w:rsidR="00B36AB7" w:rsidRDefault="003117BA" w:rsidP="00B36AB7">
      <w:pPr>
        <w:pStyle w:val="CCABodytext"/>
      </w:pPr>
      <w:r>
        <w:t xml:space="preserve">Overall, reporters agreed </w:t>
      </w:r>
      <w:r w:rsidRPr="00F52B18">
        <w:t xml:space="preserve">the </w:t>
      </w:r>
      <w:r>
        <w:t xml:space="preserve">compliance approach was appropriate and the </w:t>
      </w:r>
      <w:r w:rsidRPr="00F52B18">
        <w:t>audit framework is working well.</w:t>
      </w:r>
      <w:r>
        <w:t xml:space="preserve"> </w:t>
      </w:r>
      <w:r w:rsidR="00B36AB7" w:rsidRPr="00B560C4">
        <w:t xml:space="preserve">A number of </w:t>
      </w:r>
      <w:r w:rsidR="00B36AB7">
        <w:t>reporters</w:t>
      </w:r>
      <w:r w:rsidR="00D2735D">
        <w:t xml:space="preserve">, however, </w:t>
      </w:r>
      <w:r w:rsidR="00B36AB7">
        <w:t xml:space="preserve">said </w:t>
      </w:r>
      <w:r w:rsidR="00B36AB7" w:rsidRPr="00B560C4">
        <w:t xml:space="preserve">the Regulator has initiated an audit of the same information that they had previously had voluntarily audited. </w:t>
      </w:r>
      <w:r w:rsidR="00B36AB7">
        <w:t xml:space="preserve">This imposes costs to both </w:t>
      </w:r>
      <w:r w:rsidR="00E44DEE">
        <w:t>G</w:t>
      </w:r>
      <w:r w:rsidR="00B36AB7">
        <w:t xml:space="preserve">overnment and the business, and reporters were unaware of the reasons for re-auditing </w:t>
      </w:r>
      <w:r w:rsidR="00363A50">
        <w:t>the same</w:t>
      </w:r>
      <w:r w:rsidR="00B36AB7">
        <w:t xml:space="preserve"> information. </w:t>
      </w:r>
      <w:r w:rsidR="00B36AB7" w:rsidRPr="00B560C4">
        <w:t>Some also said audits were focused on immaterial energy or emissions data</w:t>
      </w:r>
      <w:r w:rsidR="00B36AB7">
        <w:t xml:space="preserve">. Again, this </w:t>
      </w:r>
      <w:r w:rsidR="00D2735D">
        <w:t xml:space="preserve">imposes </w:t>
      </w:r>
      <w:r w:rsidR="00B36AB7" w:rsidRPr="00B560C4">
        <w:t xml:space="preserve">costs </w:t>
      </w:r>
      <w:r w:rsidR="00D2735D">
        <w:t xml:space="preserve">on both </w:t>
      </w:r>
      <w:r w:rsidR="00B36AB7" w:rsidRPr="00B560C4">
        <w:t xml:space="preserve">business </w:t>
      </w:r>
      <w:r w:rsidR="00D2735D">
        <w:t>and the Regulator</w:t>
      </w:r>
      <w:r w:rsidR="00B36AB7">
        <w:t xml:space="preserve"> but appeared to have little significance in terms of identifying material errors in reported data</w:t>
      </w:r>
      <w:r w:rsidR="00B36AB7" w:rsidRPr="00B560C4">
        <w:t>.</w:t>
      </w:r>
    </w:p>
    <w:p w14:paraId="5590550E" w14:textId="77777777" w:rsidR="006C644B" w:rsidRPr="00C805C3" w:rsidRDefault="00B36AB7" w:rsidP="006C644B">
      <w:pPr>
        <w:pStyle w:val="CCABodytext"/>
      </w:pPr>
      <w:r>
        <w:t xml:space="preserve">While the costs of a compliance audit are paid </w:t>
      </w:r>
      <w:r w:rsidR="00363A50">
        <w:t xml:space="preserve">for </w:t>
      </w:r>
      <w:r>
        <w:t xml:space="preserve">by the Regulator, there can be significant internal costs to the audited company to facilitate the audit and provide requested information. </w:t>
      </w:r>
      <w:r w:rsidR="00344FD1" w:rsidRPr="00344FD1">
        <w:t>Chevron reported that a Regulator-initiated audit cost over $100,000 in internal resources (submission on this review).</w:t>
      </w:r>
      <w:r w:rsidR="00D2735D" w:rsidRPr="00344FD1">
        <w:t xml:space="preserve"> </w:t>
      </w:r>
      <w:r w:rsidR="00E44DEE" w:rsidRPr="00344FD1">
        <w:t>The Authority notes the Regulator’s efforts to reduce business costs associated with audits, by issuing guidance targeted to avoiding duplicating effort in re-auditing information covered by voluntary audits (CER 2018</w:t>
      </w:r>
      <w:r w:rsidR="004E10C2">
        <w:t>k</w:t>
      </w:r>
      <w:r w:rsidR="00E44DEE" w:rsidRPr="00344FD1">
        <w:t xml:space="preserve">). </w:t>
      </w:r>
      <w:r w:rsidR="00344FD1" w:rsidRPr="00344FD1">
        <w:t>The Authority welcomes this position and is of the view this should continue. It</w:t>
      </w:r>
      <w:r w:rsidR="00E44DEE" w:rsidRPr="00344FD1">
        <w:t xml:space="preserve"> considers the guidance strikes the right balance in seeking to avoid duplication of effort and associated costs, while retaining the ability to conduct compliance audits where required.</w:t>
      </w:r>
      <w:r w:rsidR="00344FD1">
        <w:t xml:space="preserve"> </w:t>
      </w:r>
    </w:p>
    <w:tbl>
      <w:tblPr>
        <w:tblStyle w:val="TableGrid"/>
        <w:tblW w:w="0" w:type="auto"/>
        <w:tblInd w:w="284" w:type="dxa"/>
        <w:tblLook w:val="04A0" w:firstRow="1" w:lastRow="0" w:firstColumn="1" w:lastColumn="0" w:noHBand="0" w:noVBand="1"/>
      </w:tblPr>
      <w:tblGrid>
        <w:gridCol w:w="9781"/>
      </w:tblGrid>
      <w:tr w:rsidR="006C644B" w:rsidRPr="00155241" w14:paraId="23E08928" w14:textId="77777777" w:rsidTr="00BF23FC">
        <w:tc>
          <w:tcPr>
            <w:tcW w:w="9781" w:type="dxa"/>
            <w:tcBorders>
              <w:top w:val="nil"/>
              <w:left w:val="nil"/>
              <w:bottom w:val="nil"/>
              <w:right w:val="nil"/>
            </w:tcBorders>
            <w:shd w:val="clear" w:color="auto" w:fill="AAD7EA"/>
            <w:tcMar>
              <w:top w:w="170" w:type="dxa"/>
              <w:left w:w="284" w:type="dxa"/>
              <w:bottom w:w="170" w:type="dxa"/>
              <w:right w:w="284" w:type="dxa"/>
            </w:tcMar>
          </w:tcPr>
          <w:p w14:paraId="1D1BE59C" w14:textId="77777777" w:rsidR="006C644B" w:rsidRPr="00027FFA" w:rsidRDefault="006C644B" w:rsidP="00BF23FC">
            <w:pPr>
              <w:pStyle w:val="CCAForRheading"/>
            </w:pPr>
            <w:r>
              <w:t>Recommendation</w:t>
            </w:r>
          </w:p>
          <w:p w14:paraId="52445E3F" w14:textId="77777777" w:rsidR="006C644B" w:rsidRPr="00E45370" w:rsidRDefault="006C644B" w:rsidP="00BF23FC">
            <w:pPr>
              <w:pStyle w:val="CCARecommendation"/>
            </w:pPr>
            <w:r w:rsidRPr="001D4F22">
              <w:t>The</w:t>
            </w:r>
            <w:r w:rsidRPr="001D4F22" w:rsidDel="00363A50">
              <w:t xml:space="preserve"> </w:t>
            </w:r>
            <w:r w:rsidRPr="001D4F22">
              <w:t>Regulator continue to work with reporters and auditors to better target compliance audits to ensure integrity of the data and reduce costs to business</w:t>
            </w:r>
            <w:r w:rsidRPr="00E45370">
              <w:t>.</w:t>
            </w:r>
          </w:p>
        </w:tc>
      </w:tr>
    </w:tbl>
    <w:p w14:paraId="77FA7714" w14:textId="77777777" w:rsidR="006C644B" w:rsidRDefault="006C644B" w:rsidP="006C644B">
      <w:pPr>
        <w:pStyle w:val="CCABodytext"/>
      </w:pPr>
    </w:p>
    <w:p w14:paraId="5EB73944" w14:textId="77777777" w:rsidR="00465FA9" w:rsidRDefault="00363A50" w:rsidP="00BF23FC">
      <w:pPr>
        <w:pStyle w:val="CCAHeading3"/>
      </w:pPr>
      <w:r>
        <w:t>Enforcement</w:t>
      </w:r>
      <w:r w:rsidR="00465FA9">
        <w:t xml:space="preserve"> action</w:t>
      </w:r>
    </w:p>
    <w:p w14:paraId="361CE169" w14:textId="313DD970" w:rsidR="00363A50" w:rsidRDefault="000E57E4" w:rsidP="00F00E46">
      <w:pPr>
        <w:pStyle w:val="CCABodytext"/>
      </w:pPr>
      <w:r>
        <w:t>The Regulator has the power to issue infringement notices for non-compliance with civil penalty provisions</w:t>
      </w:r>
      <w:r w:rsidR="00C86870">
        <w:t>,</w:t>
      </w:r>
      <w:r>
        <w:t xml:space="preserve"> commence court proceedings</w:t>
      </w:r>
      <w:r w:rsidR="00C86870">
        <w:t xml:space="preserve"> </w:t>
      </w:r>
      <w:r>
        <w:t xml:space="preserve">and enter into enforceable undertakings with scheme participants. Enforceable undertakings require </w:t>
      </w:r>
      <w:r w:rsidR="00C86870">
        <w:t xml:space="preserve">participants </w:t>
      </w:r>
      <w:r>
        <w:t>to undertake to implement</w:t>
      </w:r>
      <w:r w:rsidR="00D40510">
        <w:t xml:space="preserve">, </w:t>
      </w:r>
      <w:r w:rsidR="00C86870">
        <w:t>or refrain from</w:t>
      </w:r>
      <w:r w:rsidR="00D40510">
        <w:t>,</w:t>
      </w:r>
      <w:r w:rsidR="00C86870">
        <w:t xml:space="preserve"> certain actions</w:t>
      </w:r>
      <w:r>
        <w:t xml:space="preserve"> to rectify breaches or potential breaches of the legislation. </w:t>
      </w:r>
      <w:r w:rsidR="0086520F">
        <w:t>T</w:t>
      </w:r>
      <w:r>
        <w:t xml:space="preserve">hose undertakings </w:t>
      </w:r>
      <w:r w:rsidR="00431C5F">
        <w:t>are</w:t>
      </w:r>
      <w:r>
        <w:t xml:space="preserve"> enforceable by a court. </w:t>
      </w:r>
      <w:r w:rsidR="00F00E46">
        <w:t xml:space="preserve">To date, the </w:t>
      </w:r>
      <w:r w:rsidR="00776D15">
        <w:t>Regulator</w:t>
      </w:r>
      <w:r w:rsidR="00F00E46">
        <w:t xml:space="preserve">’s enforcement action relating to greenhouse and energy reporting </w:t>
      </w:r>
      <w:r w:rsidR="00776D15">
        <w:t xml:space="preserve">has </w:t>
      </w:r>
      <w:r w:rsidR="00F00E46">
        <w:t>been limited to issuing</w:t>
      </w:r>
      <w:r w:rsidR="00776D15">
        <w:t xml:space="preserve"> two enforceable undertakings. </w:t>
      </w:r>
      <w:r w:rsidR="00F00E46">
        <w:t xml:space="preserve">One </w:t>
      </w:r>
      <w:r w:rsidR="00D75A4B">
        <w:t>has been completed</w:t>
      </w:r>
      <w:r w:rsidR="00086F41">
        <w:t>;</w:t>
      </w:r>
      <w:r w:rsidR="00F00E46">
        <w:t xml:space="preserve"> the other is still </w:t>
      </w:r>
      <w:r w:rsidR="00776D15">
        <w:t xml:space="preserve">current </w:t>
      </w:r>
      <w:r w:rsidR="00F00E46">
        <w:t xml:space="preserve">and </w:t>
      </w:r>
      <w:r w:rsidR="00776D15">
        <w:t>requires a reporter to commit to meet future reporting deadlines and employ a consultant to support the completion of reports (CER 2018</w:t>
      </w:r>
      <w:r w:rsidR="004E10C2">
        <w:t>e</w:t>
      </w:r>
      <w:r w:rsidR="00776D15">
        <w:t xml:space="preserve">). </w:t>
      </w:r>
      <w:r w:rsidR="00F00E46">
        <w:t xml:space="preserve">The Authority heard there was broad support by reporters for the </w:t>
      </w:r>
      <w:r w:rsidR="00776D15">
        <w:t xml:space="preserve">current </w:t>
      </w:r>
      <w:r w:rsidR="00F00E46">
        <w:t xml:space="preserve">approach and level of penalties. </w:t>
      </w:r>
      <w:r w:rsidR="00E93A48">
        <w:t xml:space="preserve">Some data users expressed views that </w:t>
      </w:r>
      <w:r w:rsidR="00E93A48" w:rsidRPr="003E47F2">
        <w:t>the penalt</w:t>
      </w:r>
      <w:r w:rsidR="00363A50">
        <w:t>ies</w:t>
      </w:r>
      <w:r w:rsidR="00E93A48" w:rsidRPr="003E47F2">
        <w:t xml:space="preserve"> for unlawful disclosure of </w:t>
      </w:r>
      <w:r w:rsidR="00363A50">
        <w:t xml:space="preserve">emissions </w:t>
      </w:r>
      <w:r w:rsidR="00E93A48" w:rsidRPr="003E47F2">
        <w:t xml:space="preserve">and energy information </w:t>
      </w:r>
      <w:r w:rsidR="00363A50">
        <w:t>a</w:t>
      </w:r>
      <w:r w:rsidR="00E93A48" w:rsidRPr="003E47F2">
        <w:t>re too severe</w:t>
      </w:r>
      <w:r w:rsidR="00E93A48">
        <w:t xml:space="preserve"> (</w:t>
      </w:r>
      <w:r w:rsidR="00C7232B">
        <w:t>S</w:t>
      </w:r>
      <w:r w:rsidR="00430D90">
        <w:t>ection </w:t>
      </w:r>
      <w:r w:rsidR="00E93A48">
        <w:rPr>
          <w:highlight w:val="yellow"/>
        </w:rPr>
        <w:fldChar w:fldCharType="begin"/>
      </w:r>
      <w:r w:rsidR="00E93A48">
        <w:instrText xml:space="preserve"> REF _Ref530646834 \r \h </w:instrText>
      </w:r>
      <w:r w:rsidR="00E93A48">
        <w:rPr>
          <w:highlight w:val="yellow"/>
        </w:rPr>
      </w:r>
      <w:r w:rsidR="00E93A48">
        <w:rPr>
          <w:highlight w:val="yellow"/>
        </w:rPr>
        <w:fldChar w:fldCharType="separate"/>
      </w:r>
      <w:r w:rsidR="009A203A">
        <w:t>4.1.3</w:t>
      </w:r>
      <w:r w:rsidR="00E93A48">
        <w:rPr>
          <w:highlight w:val="yellow"/>
        </w:rPr>
        <w:fldChar w:fldCharType="end"/>
      </w:r>
      <w:r w:rsidR="00E93A48">
        <w:t xml:space="preserve">). </w:t>
      </w:r>
    </w:p>
    <w:p w14:paraId="0D004EB7" w14:textId="77777777" w:rsidR="00F00E46" w:rsidRDefault="00F00E46" w:rsidP="00F00E46">
      <w:pPr>
        <w:pStyle w:val="CCABodytext"/>
      </w:pPr>
      <w:r>
        <w:t xml:space="preserve">The Authority </w:t>
      </w:r>
      <w:r w:rsidR="000727B3">
        <w:t>considers</w:t>
      </w:r>
      <w:r w:rsidR="000E57E4">
        <w:t xml:space="preserve"> </w:t>
      </w:r>
      <w:r>
        <w:t xml:space="preserve">the current approach to monitoring compliance and enforcement </w:t>
      </w:r>
      <w:r w:rsidR="000E57E4">
        <w:t>is appropriate</w:t>
      </w:r>
      <w:r>
        <w:t>. The Regulator’s tiered approach</w:t>
      </w:r>
      <w:r w:rsidR="005C085F">
        <w:t xml:space="preserve"> to compliance (</w:t>
      </w:r>
      <w:r w:rsidR="00C7232B">
        <w:t>S</w:t>
      </w:r>
      <w:r w:rsidR="005C085F">
        <w:t xml:space="preserve">ection </w:t>
      </w:r>
      <w:r w:rsidR="005C085F">
        <w:fldChar w:fldCharType="begin"/>
      </w:r>
      <w:r w:rsidR="005C085F">
        <w:instrText xml:space="preserve"> REF _Ref530392099 \r \h </w:instrText>
      </w:r>
      <w:r w:rsidR="005C085F">
        <w:fldChar w:fldCharType="separate"/>
      </w:r>
      <w:r w:rsidR="009A203A">
        <w:t>2.6</w:t>
      </w:r>
      <w:r w:rsidR="005C085F">
        <w:fldChar w:fldCharType="end"/>
      </w:r>
      <w:r w:rsidR="005C085F">
        <w:t>)</w:t>
      </w:r>
      <w:r>
        <w:t xml:space="preserve"> is </w:t>
      </w:r>
      <w:r w:rsidR="000E57E4">
        <w:t xml:space="preserve">considered fitting </w:t>
      </w:r>
      <w:r>
        <w:t>as it seeks to minimise the burden on reporters and maintain productive relationships</w:t>
      </w:r>
      <w:r w:rsidR="00E93A48">
        <w:t xml:space="preserve"> while supporting compliance with the legislation</w:t>
      </w:r>
      <w:r>
        <w:t>.</w:t>
      </w:r>
    </w:p>
    <w:p w14:paraId="5FD88697" w14:textId="2CCB5AAE" w:rsidR="00E93A48" w:rsidRDefault="00931CAB" w:rsidP="00B43E8F">
      <w:pPr>
        <w:pStyle w:val="CCABodytext"/>
      </w:pPr>
      <w:r>
        <w:t xml:space="preserve">Accuracy of the reported emissions data also </w:t>
      </w:r>
      <w:r w:rsidR="00363A50">
        <w:t xml:space="preserve">assists with </w:t>
      </w:r>
      <w:r>
        <w:t xml:space="preserve">compliance </w:t>
      </w:r>
      <w:r w:rsidR="00363A50">
        <w:t>under</w:t>
      </w:r>
      <w:r>
        <w:t xml:space="preserve"> the safeguard mechanism. </w:t>
      </w:r>
      <w:r>
        <w:rPr>
          <w:rFonts w:eastAsia="Calibri" w:cs="Times New Roman"/>
        </w:rPr>
        <w:t xml:space="preserve">Compliance with the legislation for the </w:t>
      </w:r>
      <w:r>
        <w:t xml:space="preserve">safeguard is achieved when facilities have net emissions </w:t>
      </w:r>
      <w:r w:rsidR="008D4969">
        <w:t xml:space="preserve">(based on reported emissions data) </w:t>
      </w:r>
      <w:r>
        <w:t xml:space="preserve">at or below baselines, which as noted in </w:t>
      </w:r>
      <w:r w:rsidR="00C7232B">
        <w:t>S</w:t>
      </w:r>
      <w:r>
        <w:t xml:space="preserve">ection </w:t>
      </w:r>
      <w:r w:rsidR="001819BB">
        <w:t>5.1</w:t>
      </w:r>
      <w:r w:rsidR="008D4969">
        <w:t xml:space="preserve">, was achieved in </w:t>
      </w:r>
      <w:r w:rsidR="00430D90">
        <w:t xml:space="preserve"> </w:t>
      </w:r>
      <w:r w:rsidR="008D4969" w:rsidRPr="00BE42E5">
        <w:t>2016</w:t>
      </w:r>
      <w:r w:rsidR="00DC316F" w:rsidRPr="00BE42E5">
        <w:t>–</w:t>
      </w:r>
      <w:r w:rsidRPr="00BE42E5">
        <w:t>17</w:t>
      </w:r>
      <w:r>
        <w:t xml:space="preserve">. </w:t>
      </w:r>
    </w:p>
    <w:p w14:paraId="10B02CF8" w14:textId="77777777" w:rsidR="00E93A48" w:rsidRDefault="00E93A48" w:rsidP="00C813C5">
      <w:pPr>
        <w:pStyle w:val="CCAHeading3"/>
      </w:pPr>
      <w:r>
        <w:t>Ensuring participation</w:t>
      </w:r>
    </w:p>
    <w:p w14:paraId="51B9DEF7" w14:textId="77777777" w:rsidR="00B43E8F" w:rsidRDefault="00E93A48" w:rsidP="00B43E8F">
      <w:pPr>
        <w:pStyle w:val="CCABodytext"/>
      </w:pPr>
      <w:r>
        <w:t>The Authority heard from some who</w:t>
      </w:r>
      <w:r w:rsidR="00B43E8F">
        <w:t xml:space="preserve"> </w:t>
      </w:r>
      <w:r w:rsidR="000727B3">
        <w:t>queried</w:t>
      </w:r>
      <w:r w:rsidR="00B43E8F">
        <w:t xml:space="preserve"> how the Regulator ensures companies</w:t>
      </w:r>
      <w:r w:rsidR="00B43E8F" w:rsidRPr="00852E76">
        <w:t xml:space="preserve"> that </w:t>
      </w:r>
      <w:r w:rsidR="00B43E8F">
        <w:t>should be registered under the reporting scheme are registered.</w:t>
      </w:r>
    </w:p>
    <w:p w14:paraId="62AB7E66" w14:textId="77777777" w:rsidR="00B43E8F" w:rsidRPr="00155F2F" w:rsidRDefault="00B43E8F" w:rsidP="003A4D92">
      <w:pPr>
        <w:pStyle w:val="CCAquote"/>
      </w:pPr>
      <w:r w:rsidRPr="00B43E8F">
        <w:t>We are keen to understand how the CER identifies companies that should be reporting</w:t>
      </w:r>
      <w:r w:rsidR="00155F2F">
        <w:t xml:space="preserve"> </w:t>
      </w:r>
      <w:r w:rsidRPr="00155F2F">
        <w:t>under the scheme but have not yet commenced reporting</w:t>
      </w:r>
      <w:r w:rsidR="001819BB">
        <w:t>.</w:t>
      </w:r>
    </w:p>
    <w:p w14:paraId="681CF2A2" w14:textId="77777777" w:rsidR="00B43E8F" w:rsidRDefault="00B43E8F" w:rsidP="001D4F22">
      <w:pPr>
        <w:pStyle w:val="CCAquotesource"/>
      </w:pPr>
      <w:r>
        <w:t>N</w:t>
      </w:r>
      <w:r w:rsidR="00D40510">
        <w:t>ational Australia Bank</w:t>
      </w:r>
      <w:r w:rsidR="00344FD1">
        <w:t>, submission on this review</w:t>
      </w:r>
      <w:r w:rsidR="00D7522E">
        <w:t xml:space="preserve"> </w:t>
      </w:r>
      <w:r w:rsidR="00363A50">
        <w:t>(</w:t>
      </w:r>
      <w:r w:rsidR="00D7522E">
        <w:t>p</w:t>
      </w:r>
      <w:r w:rsidR="00190737">
        <w:t>.</w:t>
      </w:r>
      <w:r w:rsidR="00D7522E">
        <w:t xml:space="preserve"> 11</w:t>
      </w:r>
      <w:r w:rsidR="00363A50">
        <w:t>)</w:t>
      </w:r>
    </w:p>
    <w:p w14:paraId="39951A0D" w14:textId="77777777" w:rsidR="00A91FF4" w:rsidRDefault="00F069B6" w:rsidP="007272B9">
      <w:pPr>
        <w:pStyle w:val="CCABodytext"/>
      </w:pPr>
      <w:r>
        <w:t>Under the reporting scheme r</w:t>
      </w:r>
      <w:r w:rsidRPr="00852E76">
        <w:t>eporters must self-identify as required to register.</w:t>
      </w:r>
      <w:r>
        <w:t xml:space="preserve"> However</w:t>
      </w:r>
      <w:r w:rsidR="00E93A48">
        <w:t>,</w:t>
      </w:r>
      <w:r w:rsidRPr="00487F78">
        <w:t xml:space="preserve"> the Regulator </w:t>
      </w:r>
      <w:r>
        <w:t xml:space="preserve">also conducts its own checks, </w:t>
      </w:r>
      <w:r w:rsidRPr="00487F78">
        <w:t>including identifying growth areas</w:t>
      </w:r>
      <w:r w:rsidR="00F4332F">
        <w:t>, cross-checking with reporters under other schemes</w:t>
      </w:r>
      <w:r w:rsidRPr="00487F78">
        <w:t xml:space="preserve"> and data matching companies against comparable </w:t>
      </w:r>
      <w:r w:rsidR="00184249">
        <w:t>compan</w:t>
      </w:r>
      <w:r w:rsidR="00184249" w:rsidRPr="00487F78">
        <w:t xml:space="preserve">ies </w:t>
      </w:r>
      <w:r w:rsidRPr="00487F78">
        <w:t>who ha</w:t>
      </w:r>
      <w:r w:rsidR="00907B12">
        <w:t>ve</w:t>
      </w:r>
      <w:r w:rsidRPr="00487F78">
        <w:t xml:space="preserve"> registered</w:t>
      </w:r>
      <w:r w:rsidR="00F4332F">
        <w:t xml:space="preserve">. The Regulator </w:t>
      </w:r>
      <w:r>
        <w:t>contacts companies when they identify a possible need for registration</w:t>
      </w:r>
      <w:r w:rsidRPr="00487F78">
        <w:t>.</w:t>
      </w:r>
      <w:r>
        <w:t xml:space="preserve"> In some cases</w:t>
      </w:r>
      <w:r w:rsidR="00907B12">
        <w:t>,</w:t>
      </w:r>
      <w:r>
        <w:t xml:space="preserve"> the Regulator is notified by other reporters or interested parties of potential gaps in registration and investigates these</w:t>
      </w:r>
      <w:r w:rsidR="001819BB">
        <w:t xml:space="preserve"> (</w:t>
      </w:r>
      <w:r w:rsidR="004E10C2">
        <w:t>CER</w:t>
      </w:r>
      <w:r w:rsidR="003B536B">
        <w:t xml:space="preserve"> pers. comm</w:t>
      </w:r>
      <w:r w:rsidR="004E10C2">
        <w:t>.</w:t>
      </w:r>
      <w:r w:rsidR="001819BB">
        <w:t>)</w:t>
      </w:r>
      <w:r>
        <w:t xml:space="preserve">. The Authority is </w:t>
      </w:r>
      <w:r w:rsidRPr="00BE42E5">
        <w:t>satisfied</w:t>
      </w:r>
      <w:r w:rsidRPr="00B53C75">
        <w:t xml:space="preserve"> this risk-based approach</w:t>
      </w:r>
      <w:r>
        <w:t xml:space="preserve"> is adequate to ensure high levels of compliance.</w:t>
      </w:r>
    </w:p>
    <w:p w14:paraId="28153F76" w14:textId="77777777" w:rsidR="00AD4B8E" w:rsidRPr="00A34FE8" w:rsidRDefault="00AD4B8E" w:rsidP="00C418E0">
      <w:pPr>
        <w:pStyle w:val="CCABodytext"/>
        <w:sectPr w:rsidR="00AD4B8E" w:rsidRPr="00A34FE8" w:rsidSect="00041493">
          <w:pgSz w:w="11907" w:h="16840" w:code="9"/>
          <w:pgMar w:top="1418" w:right="1077" w:bottom="851" w:left="1077" w:header="850" w:footer="720" w:gutter="0"/>
          <w:pgNumType w:chapStyle="1" w:chapSep="emDash"/>
          <w:cols w:space="720"/>
          <w:docGrid w:linePitch="360"/>
        </w:sectPr>
      </w:pPr>
      <w:bookmarkStart w:id="843" w:name="_Toc525642992"/>
      <w:bookmarkStart w:id="844" w:name="_Toc525644060"/>
      <w:bookmarkStart w:id="845" w:name="_Toc525661508"/>
      <w:bookmarkStart w:id="846" w:name="_Toc526430717"/>
      <w:bookmarkStart w:id="847" w:name="_Toc528140817"/>
      <w:bookmarkStart w:id="848" w:name="_Toc528143300"/>
    </w:p>
    <w:p w14:paraId="52306A6F" w14:textId="77777777" w:rsidR="004F4F1B" w:rsidRDefault="004F4F1B" w:rsidP="00C813C5">
      <w:pPr>
        <w:pStyle w:val="CCAHeading1"/>
      </w:pPr>
      <w:bookmarkStart w:id="849" w:name="_Toc529377773"/>
      <w:bookmarkStart w:id="850" w:name="_Toc529389717"/>
      <w:bookmarkStart w:id="851" w:name="_Toc531095588"/>
      <w:bookmarkStart w:id="852" w:name="_Toc531099354"/>
      <w:bookmarkStart w:id="853" w:name="_Toc531101763"/>
      <w:bookmarkStart w:id="854" w:name="_Toc531764031"/>
      <w:bookmarkStart w:id="855" w:name="_Toc532912123"/>
      <w:bookmarkStart w:id="856" w:name="_Toc532914965"/>
      <w:bookmarkStart w:id="857" w:name="_Toc528770261"/>
      <w:bookmarkStart w:id="858" w:name="_Toc529183887"/>
      <w:bookmarkStart w:id="859" w:name="_Toc529187699"/>
      <w:bookmarkStart w:id="860" w:name="_Toc529188125"/>
      <w:r>
        <w:t>The future of the safeguard mechanism</w:t>
      </w:r>
      <w:bookmarkEnd w:id="849"/>
      <w:bookmarkEnd w:id="850"/>
      <w:bookmarkEnd w:id="851"/>
      <w:bookmarkEnd w:id="852"/>
      <w:bookmarkEnd w:id="853"/>
      <w:bookmarkEnd w:id="854"/>
      <w:bookmarkEnd w:id="855"/>
      <w:bookmarkEnd w:id="856"/>
    </w:p>
    <w:p w14:paraId="266FF2A0" w14:textId="785AAA0D" w:rsidR="00D11BB5" w:rsidRDefault="004A3DC1" w:rsidP="00B15B2C">
      <w:pPr>
        <w:pStyle w:val="CCABodytext"/>
      </w:pPr>
      <w:bookmarkStart w:id="861" w:name="_Toc529377774"/>
      <w:bookmarkStart w:id="862" w:name="_Toc529389718"/>
      <w:r>
        <w:t xml:space="preserve">In </w:t>
      </w:r>
      <w:r w:rsidR="004717F5">
        <w:t>C</w:t>
      </w:r>
      <w:r w:rsidR="00D11BB5">
        <w:t xml:space="preserve">hapter </w:t>
      </w:r>
      <w:r w:rsidR="00FD3DA1">
        <w:t>5</w:t>
      </w:r>
      <w:r w:rsidR="00D11BB5">
        <w:t xml:space="preserve">, the </w:t>
      </w:r>
      <w:r w:rsidR="00474D28">
        <w:t xml:space="preserve">Climate Change </w:t>
      </w:r>
      <w:r w:rsidR="00D11BB5">
        <w:t>Authority reviewed the current operation of the safeguard mechanism</w:t>
      </w:r>
      <w:r w:rsidR="005057B7">
        <w:t xml:space="preserve"> as required by the </w:t>
      </w:r>
      <w:r w:rsidR="002C2FE4" w:rsidRPr="00B15B2C">
        <w:rPr>
          <w:i/>
        </w:rPr>
        <w:t>National Greenhouse and Energy Reporting Act 2007</w:t>
      </w:r>
      <w:r w:rsidR="002C2FE4">
        <w:t xml:space="preserve"> (Cth)</w:t>
      </w:r>
      <w:r w:rsidR="005C7CBA">
        <w:t>.</w:t>
      </w:r>
      <w:r w:rsidR="00D11BB5">
        <w:t xml:space="preserve"> </w:t>
      </w:r>
      <w:r w:rsidR="005057B7">
        <w:t xml:space="preserve">In this </w:t>
      </w:r>
      <w:r w:rsidR="005057B7" w:rsidRPr="00702D78">
        <w:t>chapter</w:t>
      </w:r>
      <w:r w:rsidR="002C2FE4">
        <w:t>,</w:t>
      </w:r>
      <w:r w:rsidR="005057B7">
        <w:t xml:space="preserve"> the </w:t>
      </w:r>
      <w:r w:rsidR="00D11BB5">
        <w:t>Authority provide</w:t>
      </w:r>
      <w:r w:rsidR="005057B7">
        <w:t xml:space="preserve">s </w:t>
      </w:r>
      <w:r w:rsidR="00D11BB5">
        <w:t>advice on the future</w:t>
      </w:r>
      <w:r w:rsidR="005057B7">
        <w:t xml:space="preserve"> role</w:t>
      </w:r>
      <w:r w:rsidR="00D11BB5">
        <w:t xml:space="preserve"> of the safeguard </w:t>
      </w:r>
      <w:r w:rsidR="005057B7">
        <w:t xml:space="preserve">drawing on </w:t>
      </w:r>
      <w:r w:rsidR="00430D90">
        <w:t>its</w:t>
      </w:r>
      <w:r w:rsidR="005057B7">
        <w:t xml:space="preserve"> 2016 </w:t>
      </w:r>
      <w:r w:rsidR="00E409C4">
        <w:t xml:space="preserve">report: </w:t>
      </w:r>
      <w:r w:rsidR="00E409C4" w:rsidRPr="00A046F4">
        <w:rPr>
          <w:i/>
        </w:rPr>
        <w:t>Towards a Climate Policy Toolkit: Special Review on Australia’s climate goals and policies</w:t>
      </w:r>
      <w:r w:rsidR="00E409C4" w:rsidRPr="00026744">
        <w:t xml:space="preserve"> </w:t>
      </w:r>
      <w:r w:rsidR="00E409C4">
        <w:t>(</w:t>
      </w:r>
      <w:r w:rsidR="00430D90">
        <w:t xml:space="preserve">2016 </w:t>
      </w:r>
      <w:r w:rsidR="00E409C4">
        <w:t>Special Review)</w:t>
      </w:r>
      <w:r w:rsidR="005057B7">
        <w:t xml:space="preserve">, which made recommendations on the safeguard </w:t>
      </w:r>
      <w:r w:rsidR="00D11BB5">
        <w:t>as part of a broader policy toolkit to reduce Australia’s emissions</w:t>
      </w:r>
      <w:r w:rsidR="008C2E67">
        <w:t xml:space="preserve"> (CCA </w:t>
      </w:r>
      <w:r w:rsidR="004E10C2">
        <w:t>2016</w:t>
      </w:r>
      <w:r w:rsidR="008C2E67">
        <w:t>)</w:t>
      </w:r>
      <w:r w:rsidR="00D11BB5">
        <w:t xml:space="preserve">. </w:t>
      </w:r>
    </w:p>
    <w:p w14:paraId="2FBBB6D9" w14:textId="77777777" w:rsidR="00AE50A0" w:rsidRDefault="00595D5D" w:rsidP="00C813C5">
      <w:pPr>
        <w:pStyle w:val="CCAHeading2"/>
      </w:pPr>
      <w:bookmarkStart w:id="863" w:name="_Toc531095589"/>
      <w:bookmarkStart w:id="864" w:name="_Toc531099355"/>
      <w:bookmarkStart w:id="865" w:name="_Toc531101764"/>
      <w:bookmarkStart w:id="866" w:name="_Toc531764032"/>
      <w:bookmarkStart w:id="867" w:name="_Toc532912124"/>
      <w:bookmarkStart w:id="868" w:name="_Toc532914966"/>
      <w:r>
        <w:t>The safeguard m</w:t>
      </w:r>
      <w:r w:rsidR="00AE50A0">
        <w:t>echanism’s objective</w:t>
      </w:r>
      <w:bookmarkEnd w:id="861"/>
      <w:bookmarkEnd w:id="862"/>
      <w:bookmarkEnd w:id="863"/>
      <w:bookmarkEnd w:id="864"/>
      <w:bookmarkEnd w:id="865"/>
      <w:bookmarkEnd w:id="866"/>
      <w:bookmarkEnd w:id="867"/>
      <w:bookmarkEnd w:id="868"/>
    </w:p>
    <w:p w14:paraId="4F626AB0" w14:textId="15107EFF" w:rsidR="004F4F1B" w:rsidRPr="006C644B" w:rsidRDefault="004F4F1B" w:rsidP="00380195">
      <w:pPr>
        <w:pStyle w:val="CCABodytext"/>
      </w:pPr>
      <w:r>
        <w:t xml:space="preserve">The safeguard’s objective is to </w:t>
      </w:r>
      <w:r w:rsidRPr="00E0204F">
        <w:rPr>
          <w:rFonts w:eastAsia="Calibri" w:cs="Times New Roman"/>
        </w:rPr>
        <w:t xml:space="preserve">ensure net </w:t>
      </w:r>
      <w:r w:rsidRPr="006C644B">
        <w:rPr>
          <w:rFonts w:eastAsia="Calibri" w:cs="Times New Roman"/>
        </w:rPr>
        <w:t xml:space="preserve">emissions from large industrial </w:t>
      </w:r>
      <w:r w:rsidR="005D2C06" w:rsidRPr="006C644B">
        <w:rPr>
          <w:rFonts w:eastAsia="Calibri" w:cs="Times New Roman"/>
        </w:rPr>
        <w:t xml:space="preserve">and electricity </w:t>
      </w:r>
      <w:r w:rsidRPr="006C644B">
        <w:rPr>
          <w:rFonts w:eastAsia="Calibri" w:cs="Times New Roman"/>
        </w:rPr>
        <w:t xml:space="preserve">facilities do not exceed the emissions limits </w:t>
      </w:r>
      <w:r w:rsidR="00430D90">
        <w:rPr>
          <w:rFonts w:eastAsia="Calibri" w:cs="Times New Roman"/>
        </w:rPr>
        <w:t xml:space="preserve">(baselines) </w:t>
      </w:r>
      <w:r w:rsidRPr="006C644B">
        <w:rPr>
          <w:rFonts w:eastAsia="Calibri" w:cs="Times New Roman"/>
        </w:rPr>
        <w:t>set under th</w:t>
      </w:r>
      <w:r w:rsidR="004C7D6D" w:rsidRPr="006C644B">
        <w:rPr>
          <w:rFonts w:eastAsia="Calibri" w:cs="Times New Roman"/>
        </w:rPr>
        <w:t xml:space="preserve">e legislation. As discussed in </w:t>
      </w:r>
      <w:r w:rsidR="00C7232B" w:rsidRPr="006C644B">
        <w:rPr>
          <w:rFonts w:eastAsia="Calibri" w:cs="Times New Roman"/>
        </w:rPr>
        <w:t>S</w:t>
      </w:r>
      <w:r w:rsidRPr="006C644B">
        <w:rPr>
          <w:rFonts w:eastAsia="Calibri" w:cs="Times New Roman"/>
        </w:rPr>
        <w:t xml:space="preserve">ection </w:t>
      </w:r>
      <w:r w:rsidR="004A3DC1" w:rsidRPr="006C644B">
        <w:rPr>
          <w:rFonts w:eastAsia="Calibri" w:cs="Times New Roman"/>
        </w:rPr>
        <w:fldChar w:fldCharType="begin"/>
      </w:r>
      <w:r w:rsidR="004A3DC1" w:rsidRPr="006C644B">
        <w:rPr>
          <w:rFonts w:eastAsia="Calibri" w:cs="Times New Roman"/>
        </w:rPr>
        <w:instrText xml:space="preserve"> REF _Ref531551000 \r \h </w:instrText>
      </w:r>
      <w:r w:rsidR="006C644B">
        <w:rPr>
          <w:rFonts w:eastAsia="Calibri" w:cs="Times New Roman"/>
        </w:rPr>
        <w:instrText xml:space="preserve"> \* MERGEFORMAT </w:instrText>
      </w:r>
      <w:r w:rsidR="004A3DC1" w:rsidRPr="006C644B">
        <w:rPr>
          <w:rFonts w:eastAsia="Calibri" w:cs="Times New Roman"/>
        </w:rPr>
      </w:r>
      <w:r w:rsidR="004A3DC1" w:rsidRPr="006C644B">
        <w:rPr>
          <w:rFonts w:eastAsia="Calibri" w:cs="Times New Roman"/>
        </w:rPr>
        <w:fldChar w:fldCharType="separate"/>
      </w:r>
      <w:r w:rsidR="009A203A">
        <w:rPr>
          <w:rFonts w:eastAsia="Calibri" w:cs="Times New Roman"/>
        </w:rPr>
        <w:t>5.1</w:t>
      </w:r>
      <w:r w:rsidR="004A3DC1" w:rsidRPr="006C644B">
        <w:rPr>
          <w:rFonts w:eastAsia="Calibri" w:cs="Times New Roman"/>
        </w:rPr>
        <w:fldChar w:fldCharType="end"/>
      </w:r>
      <w:r w:rsidRPr="006C644B">
        <w:rPr>
          <w:rFonts w:eastAsia="Calibri" w:cs="Times New Roman"/>
        </w:rPr>
        <w:t xml:space="preserve">, in </w:t>
      </w:r>
      <w:r w:rsidR="004C662E">
        <w:rPr>
          <w:rFonts w:eastAsia="Calibri" w:cs="Times New Roman"/>
        </w:rPr>
        <w:t xml:space="preserve">    </w:t>
      </w:r>
      <w:r w:rsidRPr="006C644B">
        <w:rPr>
          <w:rFonts w:eastAsia="Calibri" w:cs="Times New Roman"/>
        </w:rPr>
        <w:t>2016</w:t>
      </w:r>
      <w:r w:rsidR="00107726" w:rsidRPr="006C644B">
        <w:rPr>
          <w:rFonts w:eastAsia="Calibri" w:cs="Times New Roman"/>
        </w:rPr>
        <w:t>–</w:t>
      </w:r>
      <w:r w:rsidRPr="006C644B">
        <w:rPr>
          <w:rFonts w:eastAsia="Calibri" w:cs="Times New Roman"/>
        </w:rPr>
        <w:t xml:space="preserve">17 </w:t>
      </w:r>
      <w:r w:rsidR="009D34B0" w:rsidRPr="006C644B">
        <w:rPr>
          <w:rFonts w:eastAsia="Calibri" w:cs="Times New Roman"/>
        </w:rPr>
        <w:t>all facilities covered by the safeguard kept their net emissions at or below their baselines</w:t>
      </w:r>
      <w:r w:rsidRPr="006C644B">
        <w:rPr>
          <w:rFonts w:eastAsia="Calibri" w:cs="Times New Roman"/>
        </w:rPr>
        <w:t>.</w:t>
      </w:r>
    </w:p>
    <w:p w14:paraId="0DA3C333" w14:textId="58FCEF4C" w:rsidR="004F4F1B" w:rsidRDefault="00FF6F11" w:rsidP="00380195">
      <w:pPr>
        <w:pStyle w:val="CCABodytext"/>
      </w:pPr>
      <w:r w:rsidRPr="006C644B">
        <w:t>However, s</w:t>
      </w:r>
      <w:r w:rsidR="004F4F1B" w:rsidRPr="006C644B">
        <w:t>ome suggested the safeguard’s objective</w:t>
      </w:r>
      <w:r w:rsidRPr="006C644B">
        <w:t xml:space="preserve"> should</w:t>
      </w:r>
      <w:r w:rsidR="004F4F1B" w:rsidRPr="006C644B">
        <w:t xml:space="preserve"> be redefined</w:t>
      </w:r>
      <w:r w:rsidR="004F4F1B">
        <w:t xml:space="preserve"> to </w:t>
      </w:r>
      <w:r>
        <w:t xml:space="preserve">reduce </w:t>
      </w:r>
      <w:r w:rsidR="006A520D">
        <w:t>baselines</w:t>
      </w:r>
      <w:r>
        <w:t xml:space="preserve"> in line with Australia’s long</w:t>
      </w:r>
      <w:r w:rsidR="004477CC">
        <w:t>-</w:t>
      </w:r>
      <w:r>
        <w:t>term</w:t>
      </w:r>
      <w:r w:rsidR="001A5CD8">
        <w:t>, economy-wide</w:t>
      </w:r>
      <w:r>
        <w:t xml:space="preserve"> emissions reduction target.</w:t>
      </w:r>
    </w:p>
    <w:p w14:paraId="5E842629" w14:textId="77777777" w:rsidR="00FF6F11" w:rsidRDefault="002C2FE4" w:rsidP="003A4D92">
      <w:pPr>
        <w:pStyle w:val="CCAquote"/>
      </w:pPr>
      <w:r>
        <w:t>The Government should consider maintaining the current policy architecture established under the Safeguard Mechanism</w:t>
      </w:r>
      <w:r w:rsidR="00FF6F11">
        <w:t xml:space="preserve"> </w:t>
      </w:r>
      <w:r>
        <w:t>and adapting the framework by implementing design features that will drive down emissions nationally.</w:t>
      </w:r>
    </w:p>
    <w:p w14:paraId="0EB8DA4D" w14:textId="77777777" w:rsidR="00FF6F11" w:rsidRDefault="002C2FE4" w:rsidP="001D4F22">
      <w:pPr>
        <w:pStyle w:val="CCAquotesource"/>
      </w:pPr>
      <w:r>
        <w:t>Carbon Market Institute</w:t>
      </w:r>
      <w:r w:rsidR="00F4332F">
        <w:t>,</w:t>
      </w:r>
      <w:r>
        <w:t xml:space="preserve"> submission on this review</w:t>
      </w:r>
      <w:r w:rsidR="001D4F22">
        <w:t xml:space="preserve"> (p</w:t>
      </w:r>
      <w:r w:rsidR="00190737">
        <w:t>.</w:t>
      </w:r>
      <w:r w:rsidR="001D4F22">
        <w:t xml:space="preserve"> </w:t>
      </w:r>
      <w:r>
        <w:t>13</w:t>
      </w:r>
      <w:r w:rsidR="001D4F22">
        <w:t>)</w:t>
      </w:r>
    </w:p>
    <w:p w14:paraId="649B628F" w14:textId="5681BCC4" w:rsidR="004F4F1B" w:rsidRDefault="00FF6F11" w:rsidP="00380195">
      <w:pPr>
        <w:pStyle w:val="CCABodytext"/>
      </w:pPr>
      <w:r>
        <w:t xml:space="preserve">Others said reducing </w:t>
      </w:r>
      <w:r w:rsidR="006A520D">
        <w:t>baselines</w:t>
      </w:r>
      <w:r>
        <w:t xml:space="preserve"> would have cost implications, which would need to be managed. </w:t>
      </w:r>
    </w:p>
    <w:p w14:paraId="3820F6B2" w14:textId="77777777" w:rsidR="00FF6F11" w:rsidRPr="00343346" w:rsidRDefault="00907B12" w:rsidP="003A4D92">
      <w:pPr>
        <w:pStyle w:val="CCAquote"/>
      </w:pPr>
      <w:r w:rsidRPr="00BE42E5">
        <w:t>[The]</w:t>
      </w:r>
      <w:r>
        <w:t xml:space="preserve"> </w:t>
      </w:r>
      <w:r w:rsidR="00FF6F11" w:rsidRPr="00343346">
        <w:t>Safeguard Mechanism should avoid arbitrary reductions in facility baselines given the disproportionate emissions reduction burden likely to be placed on those covered facilities and the potential to introduce unintended distortions to trade and investment flows into and out of Australia</w:t>
      </w:r>
      <w:r w:rsidR="00F50184">
        <w:t>.</w:t>
      </w:r>
      <w:r w:rsidR="00FF6F11" w:rsidRPr="00343346">
        <w:t xml:space="preserve"> </w:t>
      </w:r>
    </w:p>
    <w:p w14:paraId="63A4CFF9" w14:textId="77777777" w:rsidR="00FF6F11" w:rsidRDefault="00FF6F11" w:rsidP="001D4F22">
      <w:pPr>
        <w:pStyle w:val="CCAquotesource"/>
      </w:pPr>
      <w:r w:rsidRPr="00343346">
        <w:t>Chevron</w:t>
      </w:r>
      <w:r w:rsidR="00F4332F">
        <w:t>,</w:t>
      </w:r>
      <w:r w:rsidR="00A960FA">
        <w:t xml:space="preserve"> submission on this review</w:t>
      </w:r>
      <w:r w:rsidR="001D4F22">
        <w:t xml:space="preserve"> </w:t>
      </w:r>
      <w:r w:rsidR="001D4F22" w:rsidRPr="00343346">
        <w:t>(p</w:t>
      </w:r>
      <w:r w:rsidR="00190737">
        <w:t>.</w:t>
      </w:r>
      <w:r w:rsidR="001D4F22" w:rsidRPr="00343346">
        <w:t xml:space="preserve"> 5)</w:t>
      </w:r>
    </w:p>
    <w:p w14:paraId="44CB5DF8" w14:textId="77777777" w:rsidR="00FF6F11" w:rsidRDefault="00FF6F11" w:rsidP="00FF6F11">
      <w:pPr>
        <w:pStyle w:val="CCABodytext"/>
      </w:pPr>
      <w:r>
        <w:t xml:space="preserve">The Authority heard a range of different suggestions for how the costs of declining baselines </w:t>
      </w:r>
      <w:r w:rsidR="00A960FA">
        <w:t>and the impacts on emissions</w:t>
      </w:r>
      <w:r w:rsidR="00F50184">
        <w:t>-</w:t>
      </w:r>
      <w:r w:rsidR="00A960FA">
        <w:t>intensive trade</w:t>
      </w:r>
      <w:r w:rsidR="00F50184">
        <w:t>-</w:t>
      </w:r>
      <w:r w:rsidR="00A960FA">
        <w:t>exposed</w:t>
      </w:r>
      <w:r>
        <w:t xml:space="preserve"> </w:t>
      </w:r>
      <w:r w:rsidR="00A960FA">
        <w:t xml:space="preserve">industries </w:t>
      </w:r>
      <w:r>
        <w:t>could be managed</w:t>
      </w:r>
      <w:r w:rsidR="009819CD">
        <w:t xml:space="preserve">. These included </w:t>
      </w:r>
      <w:r w:rsidR="0076697B">
        <w:t xml:space="preserve">improving access to international and domestic carbon credit units </w:t>
      </w:r>
      <w:r w:rsidR="008D31C5">
        <w:t>and</w:t>
      </w:r>
      <w:r w:rsidR="0076697B">
        <w:t xml:space="preserve"> </w:t>
      </w:r>
      <w:r w:rsidR="003F5A0E">
        <w:t>investment in research and development of new emissions reduction technologies</w:t>
      </w:r>
      <w:r w:rsidR="008D31C5">
        <w:t>.</w:t>
      </w:r>
    </w:p>
    <w:p w14:paraId="48E0DD1E" w14:textId="77777777" w:rsidR="00AE50A0" w:rsidRPr="001D4F22" w:rsidRDefault="00AE50A0" w:rsidP="00C813C5">
      <w:pPr>
        <w:pStyle w:val="CCAHeading2"/>
      </w:pPr>
      <w:bookmarkStart w:id="869" w:name="_Toc529377775"/>
      <w:bookmarkStart w:id="870" w:name="_Toc529389719"/>
      <w:bookmarkStart w:id="871" w:name="_Toc531095590"/>
      <w:bookmarkStart w:id="872" w:name="_Toc531099356"/>
      <w:bookmarkStart w:id="873" w:name="_Toc531101765"/>
      <w:bookmarkStart w:id="874" w:name="_Toc531764033"/>
      <w:bookmarkStart w:id="875" w:name="_Toc532912125"/>
      <w:bookmarkStart w:id="876" w:name="_Toc532914967"/>
      <w:r>
        <w:t>The Authority’s previous advice</w:t>
      </w:r>
      <w:bookmarkEnd w:id="869"/>
      <w:bookmarkEnd w:id="870"/>
      <w:bookmarkEnd w:id="871"/>
      <w:bookmarkEnd w:id="872"/>
      <w:bookmarkEnd w:id="873"/>
      <w:bookmarkEnd w:id="874"/>
      <w:bookmarkEnd w:id="875"/>
      <w:bookmarkEnd w:id="876"/>
    </w:p>
    <w:p w14:paraId="758FA28F" w14:textId="2FCDF57D" w:rsidR="00FF6F11" w:rsidRDefault="00FF6F11" w:rsidP="00FF6F11">
      <w:pPr>
        <w:pStyle w:val="CCABodytext"/>
      </w:pPr>
      <w:r>
        <w:t xml:space="preserve">In </w:t>
      </w:r>
      <w:r w:rsidR="006A520D">
        <w:t>its 2016 Special Review</w:t>
      </w:r>
      <w:r w:rsidR="00A960FA">
        <w:rPr>
          <w:i/>
          <w:iCs/>
        </w:rPr>
        <w:t xml:space="preserve"> </w:t>
      </w:r>
      <w:r w:rsidR="00A960FA">
        <w:t xml:space="preserve">(CCA </w:t>
      </w:r>
      <w:r w:rsidR="004E10C2">
        <w:t>2016</w:t>
      </w:r>
      <w:r w:rsidR="00A960FA">
        <w:t>)</w:t>
      </w:r>
      <w:r>
        <w:t xml:space="preserve">, the Authority recommended the safeguard be enhanced to reduce emissions in the </w:t>
      </w:r>
      <w:r w:rsidR="006E4271">
        <w:t>direct combustion,</w:t>
      </w:r>
      <w:r>
        <w:t xml:space="preserve"> industrial</w:t>
      </w:r>
      <w:r w:rsidR="006E4271">
        <w:t xml:space="preserve"> processes and fugitive emissions</w:t>
      </w:r>
      <w:r>
        <w:t xml:space="preserve"> sector</w:t>
      </w:r>
      <w:r w:rsidR="006E4271">
        <w:t>s</w:t>
      </w:r>
      <w:r>
        <w:t xml:space="preserve">. The enhanced safeguard would remove access to further baseline increases and baselines would decline linearly in line with </w:t>
      </w:r>
      <w:r w:rsidR="00424C49">
        <w:t xml:space="preserve">Australia’s </w:t>
      </w:r>
      <w:r w:rsidR="006A520D">
        <w:t xml:space="preserve">economy-wide </w:t>
      </w:r>
      <w:r w:rsidR="00424C49">
        <w:t xml:space="preserve">emissions reduction </w:t>
      </w:r>
      <w:r w:rsidR="00A960FA">
        <w:t>commitment</w:t>
      </w:r>
      <w:r w:rsidR="00424C49">
        <w:t>s</w:t>
      </w:r>
      <w:r w:rsidR="00A960FA">
        <w:t xml:space="preserve"> under the</w:t>
      </w:r>
      <w:r>
        <w:t xml:space="preserve"> Paris </w:t>
      </w:r>
      <w:r w:rsidR="00AF4A10">
        <w:t>A</w:t>
      </w:r>
      <w:r>
        <w:t xml:space="preserve">greement (Box </w:t>
      </w:r>
      <w:r w:rsidR="000A3CB8">
        <w:t>7</w:t>
      </w:r>
      <w:r>
        <w:t>).</w:t>
      </w:r>
      <w:r w:rsidR="004E4ABB">
        <w:t xml:space="preserve"> For the electricity sector, the Authority recommended an emissions intensity scheme be implemented. In its 2017 joint review with the Australian Energy Market Commission,</w:t>
      </w:r>
      <w:r w:rsidR="005D2C06">
        <w:t xml:space="preserve"> the Authority recommended </w:t>
      </w:r>
      <w:r w:rsidR="004E4ABB">
        <w:t>the Governm</w:t>
      </w:r>
      <w:r w:rsidR="008F2E04">
        <w:t>ent consider implementing a low-</w:t>
      </w:r>
      <w:r w:rsidR="004E4ABB">
        <w:t xml:space="preserve">emissions target </w:t>
      </w:r>
      <w:r w:rsidR="001A5CD8">
        <w:t xml:space="preserve">in the electricity sector </w:t>
      </w:r>
      <w:r w:rsidR="002A17E4">
        <w:t xml:space="preserve">given the Government had ruled out an emissions intensity scheme </w:t>
      </w:r>
      <w:r w:rsidR="004E4ABB">
        <w:t xml:space="preserve">(CCA and AEMC </w:t>
      </w:r>
      <w:r w:rsidR="004E10C2">
        <w:t>2017</w:t>
      </w:r>
      <w:r w:rsidR="004E4ABB">
        <w:t>)</w:t>
      </w:r>
      <w:r w:rsidR="002A17E4">
        <w:t>.</w:t>
      </w:r>
      <w:r w:rsidR="002A17E4" w:rsidDel="002A17E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F6F11" w:rsidRPr="00D901CE" w14:paraId="0650E22E" w14:textId="77777777" w:rsidTr="0097097A">
        <w:tc>
          <w:tcPr>
            <w:tcW w:w="9639" w:type="dxa"/>
            <w:shd w:val="clear" w:color="auto" w:fill="D4EBF4"/>
            <w:tcMar>
              <w:left w:w="170" w:type="dxa"/>
            </w:tcMar>
          </w:tcPr>
          <w:p w14:paraId="225C3FE9" w14:textId="4BE52788" w:rsidR="00FF6F11" w:rsidRPr="00212386" w:rsidRDefault="006A520D" w:rsidP="009947F2">
            <w:pPr>
              <w:pStyle w:val="CCABoxheading"/>
              <w:framePr w:wrap="around"/>
            </w:pPr>
            <w:bookmarkStart w:id="877" w:name="_Toc529389720"/>
            <w:bookmarkStart w:id="878" w:name="_Toc531095520"/>
            <w:bookmarkStart w:id="879" w:name="_Toc531099286"/>
            <w:bookmarkStart w:id="880" w:name="_Toc531101695"/>
            <w:bookmarkStart w:id="881" w:name="_Ref531626076"/>
            <w:bookmarkStart w:id="882" w:name="_Toc531764076"/>
            <w:bookmarkStart w:id="883" w:name="_Toc532912053"/>
            <w:bookmarkStart w:id="884" w:name="_Toc532914041"/>
            <w:r>
              <w:t xml:space="preserve">2016 </w:t>
            </w:r>
            <w:r w:rsidR="00FF6F11" w:rsidRPr="009947F2">
              <w:t>Special</w:t>
            </w:r>
            <w:r w:rsidR="00FF6F11" w:rsidRPr="00212386">
              <w:t xml:space="preserve"> </w:t>
            </w:r>
            <w:r w:rsidR="002A17E4">
              <w:t>R</w:t>
            </w:r>
            <w:r w:rsidR="00FF6F11" w:rsidRPr="00212386">
              <w:t>eview findings</w:t>
            </w:r>
            <w:bookmarkEnd w:id="877"/>
            <w:bookmarkEnd w:id="878"/>
            <w:bookmarkEnd w:id="879"/>
            <w:bookmarkEnd w:id="880"/>
            <w:bookmarkEnd w:id="881"/>
            <w:bookmarkEnd w:id="882"/>
            <w:bookmarkEnd w:id="883"/>
            <w:bookmarkEnd w:id="884"/>
          </w:p>
          <w:p w14:paraId="480CA024" w14:textId="576FDF13" w:rsidR="00FF6F11" w:rsidRPr="002A17E4" w:rsidRDefault="00FF6F11" w:rsidP="002A17E4">
            <w:pPr>
              <w:pStyle w:val="CCABodytext"/>
              <w:ind w:right="175"/>
            </w:pPr>
            <w:r w:rsidRPr="002A17E4">
              <w:t>In</w:t>
            </w:r>
            <w:r w:rsidR="006A520D">
              <w:t xml:space="preserve"> its 2016 Spec</w:t>
            </w:r>
            <w:r w:rsidR="00AF18CA">
              <w:t>i</w:t>
            </w:r>
            <w:r w:rsidR="006A520D">
              <w:t>al Review</w:t>
            </w:r>
            <w:r w:rsidRPr="0097097A">
              <w:rPr>
                <w:i/>
              </w:rPr>
              <w:t xml:space="preserve"> </w:t>
            </w:r>
            <w:r w:rsidRPr="002A17E4">
              <w:t xml:space="preserve">(CCA </w:t>
            </w:r>
            <w:r w:rsidR="004E10C2">
              <w:t>2016</w:t>
            </w:r>
            <w:r w:rsidRPr="002A17E4">
              <w:t xml:space="preserve">), the Authority recommended a policy toolkit be put in place that uses current </w:t>
            </w:r>
            <w:r w:rsidR="00F50184">
              <w:t xml:space="preserve">and </w:t>
            </w:r>
            <w:r w:rsidRPr="002A17E4">
              <w:t>new measures to form a long</w:t>
            </w:r>
            <w:r w:rsidR="004477CC">
              <w:t>-</w:t>
            </w:r>
            <w:r w:rsidRPr="002A17E4">
              <w:t xml:space="preserve">term and durable solution to Australia’s climate change challenge. </w:t>
            </w:r>
          </w:p>
          <w:p w14:paraId="27685E65" w14:textId="77777777" w:rsidR="00FF6F11" w:rsidRPr="0097097A" w:rsidRDefault="00FF6F11" w:rsidP="002A17E4">
            <w:pPr>
              <w:pStyle w:val="CCABodytext"/>
              <w:ind w:right="175"/>
            </w:pPr>
            <w:r w:rsidRPr="0097097A">
              <w:t xml:space="preserve">The Authority’s key recommendations were: </w:t>
            </w:r>
          </w:p>
          <w:p w14:paraId="69FA0FF2" w14:textId="77777777" w:rsidR="00FF6F11" w:rsidRPr="0097097A" w:rsidRDefault="00FF6F11" w:rsidP="00B94E56">
            <w:pPr>
              <w:pStyle w:val="ListBullet"/>
            </w:pPr>
            <w:r w:rsidRPr="0097097A">
              <w:t>For the industrial sector</w:t>
            </w:r>
            <w:r w:rsidR="005B24D7" w:rsidRPr="0097097A">
              <w:t xml:space="preserve"> (direct combustion, industrial processes and fugitives)</w:t>
            </w:r>
            <w:r w:rsidRPr="0097097A">
              <w:t xml:space="preserve">: </w:t>
            </w:r>
          </w:p>
          <w:p w14:paraId="3942AD27" w14:textId="77777777" w:rsidR="00FF6F11" w:rsidRPr="00212386" w:rsidRDefault="00FF6F11" w:rsidP="00B94E56">
            <w:pPr>
              <w:pStyle w:val="ListBullet"/>
              <w:numPr>
                <w:ilvl w:val="1"/>
                <w:numId w:val="30"/>
              </w:numPr>
            </w:pPr>
            <w:r w:rsidRPr="00212386">
              <w:t xml:space="preserve">Enhance the safeguard mechanism: </w:t>
            </w:r>
          </w:p>
          <w:p w14:paraId="4DF97CC5" w14:textId="77777777" w:rsidR="00A960FA" w:rsidRPr="00212386" w:rsidRDefault="00A960FA" w:rsidP="00B94E56">
            <w:pPr>
              <w:pStyle w:val="ListBullet"/>
              <w:numPr>
                <w:ilvl w:val="2"/>
                <w:numId w:val="44"/>
              </w:numPr>
              <w:ind w:right="175"/>
            </w:pPr>
            <w:r w:rsidRPr="00212386">
              <w:t>Remove access to further baseline increases</w:t>
            </w:r>
            <w:r w:rsidR="00424C49" w:rsidRPr="00212386">
              <w:t>.</w:t>
            </w:r>
          </w:p>
          <w:p w14:paraId="773475F8" w14:textId="77777777" w:rsidR="00FF6F11" w:rsidRPr="00212386" w:rsidRDefault="00FF6F11" w:rsidP="00B94E56">
            <w:pPr>
              <w:pStyle w:val="ListBullet"/>
              <w:numPr>
                <w:ilvl w:val="2"/>
                <w:numId w:val="44"/>
              </w:numPr>
              <w:ind w:right="175"/>
            </w:pPr>
            <w:r w:rsidRPr="00212386">
              <w:t>Decline safeguard baselines</w:t>
            </w:r>
            <w:r w:rsidR="00424C49" w:rsidRPr="00212386">
              <w:t xml:space="preserve"> from 2018</w:t>
            </w:r>
            <w:r w:rsidRPr="00212386">
              <w:t xml:space="preserve"> in line with Australia’s</w:t>
            </w:r>
            <w:r w:rsidR="00424C49" w:rsidRPr="00212386">
              <w:t xml:space="preserve"> </w:t>
            </w:r>
            <w:r w:rsidR="001A5CD8">
              <w:t xml:space="preserve">economy-wide </w:t>
            </w:r>
            <w:r w:rsidR="00424C49" w:rsidRPr="00212386">
              <w:t>emissions reduction commitments under the</w:t>
            </w:r>
            <w:r w:rsidRPr="00212386">
              <w:t xml:space="preserve"> Paris </w:t>
            </w:r>
            <w:r w:rsidR="00AF4A10">
              <w:t>A</w:t>
            </w:r>
            <w:r w:rsidR="00911001" w:rsidRPr="00212386">
              <w:t>greement</w:t>
            </w:r>
            <w:r w:rsidRPr="00212386">
              <w:t xml:space="preserve">. </w:t>
            </w:r>
          </w:p>
          <w:p w14:paraId="329E9438" w14:textId="77777777" w:rsidR="00FF6F11" w:rsidRPr="00212386" w:rsidRDefault="00FF6F11" w:rsidP="00B94E56">
            <w:pPr>
              <w:pStyle w:val="ListBullet"/>
              <w:numPr>
                <w:ilvl w:val="2"/>
                <w:numId w:val="44"/>
              </w:numPr>
              <w:ind w:right="175"/>
            </w:pPr>
            <w:r w:rsidRPr="00212386">
              <w:t xml:space="preserve">Allow </w:t>
            </w:r>
            <w:r w:rsidRPr="00B94E56">
              <w:t xml:space="preserve">safeguard facilities to meet their safeguard obligations with Emissions Reduction Fund offsets and international credits and permits </w:t>
            </w:r>
            <w:r w:rsidR="00911001" w:rsidRPr="00B94E56">
              <w:t>(</w:t>
            </w:r>
            <w:r w:rsidRPr="00B94E56">
              <w:t>provided the international units meet qualitative and quantitative eligibility restrictions</w:t>
            </w:r>
            <w:r w:rsidR="00911001" w:rsidRPr="00B94E56">
              <w:t>)</w:t>
            </w:r>
            <w:r w:rsidRPr="00B94E56">
              <w:t xml:space="preserve">. </w:t>
            </w:r>
          </w:p>
          <w:p w14:paraId="08A8FC31" w14:textId="77777777" w:rsidR="00FF6F11" w:rsidRPr="00212386" w:rsidRDefault="00911001" w:rsidP="00B94E56">
            <w:pPr>
              <w:pStyle w:val="ListBullet"/>
              <w:numPr>
                <w:ilvl w:val="2"/>
                <w:numId w:val="44"/>
              </w:numPr>
              <w:ind w:right="175"/>
            </w:pPr>
            <w:r w:rsidRPr="00212386">
              <w:t xml:space="preserve">Lower thresholds to </w:t>
            </w:r>
            <w:r w:rsidR="00E650B5" w:rsidRPr="00212386">
              <w:t>25,000 t CO</w:t>
            </w:r>
            <w:r w:rsidR="00E650B5" w:rsidRPr="001A5CD8">
              <w:rPr>
                <w:vertAlign w:val="subscript"/>
              </w:rPr>
              <w:t>2</w:t>
            </w:r>
            <w:r w:rsidR="00E650B5" w:rsidRPr="00212386">
              <w:t>-e to e</w:t>
            </w:r>
            <w:r w:rsidR="00FF6F11" w:rsidRPr="00212386">
              <w:t xml:space="preserve">xtend </w:t>
            </w:r>
            <w:r w:rsidRPr="00212386">
              <w:t>the</w:t>
            </w:r>
            <w:r w:rsidR="00FF6F11" w:rsidRPr="00212386">
              <w:t xml:space="preserve"> coverage of </w:t>
            </w:r>
            <w:r w:rsidRPr="00212386">
              <w:t>the safeguard</w:t>
            </w:r>
            <w:r w:rsidR="00FF6F11" w:rsidRPr="00212386">
              <w:t xml:space="preserve"> to more facilities.</w:t>
            </w:r>
            <w:r w:rsidR="00E650B5" w:rsidRPr="00212386">
              <w:t xml:space="preserve"> Recent analysis by the Authority suggests this would capture </w:t>
            </w:r>
            <w:r w:rsidR="00CC2311">
              <w:t xml:space="preserve">around </w:t>
            </w:r>
            <w:r w:rsidR="00E650B5" w:rsidRPr="00212386">
              <w:t xml:space="preserve">an additional </w:t>
            </w:r>
            <w:r w:rsidR="0097097A">
              <w:t>25</w:t>
            </w:r>
            <w:r w:rsidR="00CC2311">
              <w:t>0</w:t>
            </w:r>
            <w:r w:rsidR="00E650B5" w:rsidRPr="00212386">
              <w:t xml:space="preserve"> facilities and a further </w:t>
            </w:r>
            <w:r w:rsidR="00CC2311">
              <w:t>2</w:t>
            </w:r>
            <w:r w:rsidR="00E650B5" w:rsidRPr="00212386">
              <w:t xml:space="preserve"> per cent of Australia’s emissions.</w:t>
            </w:r>
          </w:p>
          <w:p w14:paraId="55DFA117" w14:textId="77777777" w:rsidR="00FF6F11" w:rsidRPr="00212386" w:rsidRDefault="00FF6F11" w:rsidP="00B94E56">
            <w:pPr>
              <w:pStyle w:val="ListBullet"/>
              <w:rPr>
                <w:lang w:eastAsia="en-AU"/>
              </w:rPr>
            </w:pPr>
            <w:r w:rsidRPr="00212386">
              <w:rPr>
                <w:lang w:eastAsia="en-AU"/>
              </w:rPr>
              <w:t>For the electricity</w:t>
            </w:r>
            <w:r w:rsidR="00C471ED">
              <w:rPr>
                <w:lang w:eastAsia="en-AU"/>
              </w:rPr>
              <w:t>-</w:t>
            </w:r>
            <w:r w:rsidRPr="00212386">
              <w:rPr>
                <w:lang w:eastAsia="en-AU"/>
              </w:rPr>
              <w:t>generation sector:</w:t>
            </w:r>
          </w:p>
          <w:p w14:paraId="7F33DF85" w14:textId="77777777" w:rsidR="00FF6F11" w:rsidRPr="00212386" w:rsidRDefault="00FF6F11" w:rsidP="00B94E56">
            <w:pPr>
              <w:pStyle w:val="ListBullet"/>
              <w:numPr>
                <w:ilvl w:val="1"/>
                <w:numId w:val="30"/>
              </w:numPr>
            </w:pPr>
            <w:r w:rsidRPr="00212386">
              <w:t>Implement an emissions intensity scheme.</w:t>
            </w:r>
            <w:r w:rsidR="004E4ABB" w:rsidRPr="00212386" w:rsidDel="004E4ABB">
              <w:rPr>
                <w:rStyle w:val="FootnoteReference"/>
                <w:rFonts w:cs="Arial"/>
                <w:color w:val="000000"/>
                <w:lang w:eastAsia="en-AU"/>
              </w:rPr>
              <w:t xml:space="preserve"> </w:t>
            </w:r>
          </w:p>
          <w:p w14:paraId="0412EE4D" w14:textId="77777777" w:rsidR="00FF6F11" w:rsidRPr="00212386" w:rsidRDefault="00FF6F11" w:rsidP="00B94E56">
            <w:pPr>
              <w:pStyle w:val="ListBullet"/>
            </w:pPr>
            <w:r w:rsidRPr="00212386">
              <w:t>For the transport sector:</w:t>
            </w:r>
          </w:p>
          <w:p w14:paraId="654CB28C" w14:textId="77777777" w:rsidR="00FF6F11" w:rsidRPr="00212386" w:rsidRDefault="00FF6F11" w:rsidP="00B94E56">
            <w:pPr>
              <w:pStyle w:val="ListBullet"/>
              <w:numPr>
                <w:ilvl w:val="1"/>
                <w:numId w:val="30"/>
              </w:numPr>
            </w:pPr>
            <w:r w:rsidRPr="00212386">
              <w:t>Introduce emissions reduction standards for light vehicles.</w:t>
            </w:r>
          </w:p>
          <w:p w14:paraId="4A6A9600" w14:textId="21337EBA" w:rsidR="00FF6F11" w:rsidRPr="00212386" w:rsidRDefault="00FF6F11" w:rsidP="00B94E56">
            <w:pPr>
              <w:pStyle w:val="ListBullet"/>
              <w:numPr>
                <w:ilvl w:val="1"/>
                <w:numId w:val="30"/>
              </w:numPr>
            </w:pPr>
            <w:r w:rsidRPr="00212386">
              <w:t>Conduct a cost</w:t>
            </w:r>
            <w:r w:rsidR="006A520D">
              <w:t>-</w:t>
            </w:r>
            <w:r w:rsidRPr="00212386">
              <w:t>benefit analysis to investigate emissions reduction standards for heavy vehicles.</w:t>
            </w:r>
          </w:p>
          <w:p w14:paraId="7609627A" w14:textId="77777777" w:rsidR="00FF6F11" w:rsidRPr="00212386" w:rsidRDefault="00FF6F11" w:rsidP="00B94E56">
            <w:pPr>
              <w:pStyle w:val="ListBullet"/>
              <w:rPr>
                <w:lang w:eastAsia="en-AU"/>
              </w:rPr>
            </w:pPr>
            <w:r w:rsidRPr="00212386">
              <w:rPr>
                <w:lang w:eastAsia="en-AU"/>
              </w:rPr>
              <w:t xml:space="preserve">For </w:t>
            </w:r>
            <w:r w:rsidRPr="00212386">
              <w:t>the</w:t>
            </w:r>
            <w:r w:rsidRPr="00212386">
              <w:rPr>
                <w:lang w:eastAsia="en-AU"/>
              </w:rPr>
              <w:t xml:space="preserve"> waste sector:</w:t>
            </w:r>
          </w:p>
          <w:p w14:paraId="6113D269" w14:textId="77777777" w:rsidR="00FF6F11" w:rsidRPr="00212386" w:rsidRDefault="00FF6F11" w:rsidP="00B94E56">
            <w:pPr>
              <w:pStyle w:val="ListBullet"/>
              <w:numPr>
                <w:ilvl w:val="1"/>
                <w:numId w:val="30"/>
              </w:numPr>
            </w:pPr>
            <w:r w:rsidRPr="00212386">
              <w:t>Harmonise and enhance regulation.</w:t>
            </w:r>
          </w:p>
          <w:p w14:paraId="507BFC28" w14:textId="77777777" w:rsidR="00FF6F11" w:rsidRPr="00212386" w:rsidRDefault="00FF6F11" w:rsidP="00B94E56">
            <w:pPr>
              <w:pStyle w:val="ListBullet"/>
              <w:rPr>
                <w:lang w:eastAsia="en-AU"/>
              </w:rPr>
            </w:pPr>
            <w:r w:rsidRPr="00212386">
              <w:rPr>
                <w:lang w:eastAsia="en-AU"/>
              </w:rPr>
              <w:t xml:space="preserve">For </w:t>
            </w:r>
            <w:r w:rsidRPr="00212386">
              <w:t>the</w:t>
            </w:r>
            <w:r w:rsidRPr="00212386">
              <w:rPr>
                <w:lang w:eastAsia="en-AU"/>
              </w:rPr>
              <w:t xml:space="preserve"> agriculture and land sector:</w:t>
            </w:r>
          </w:p>
          <w:p w14:paraId="3F856798" w14:textId="77777777" w:rsidR="00FF6F11" w:rsidRPr="00212386" w:rsidRDefault="00FF6F11" w:rsidP="00B94E56">
            <w:pPr>
              <w:pStyle w:val="ListBullet"/>
              <w:numPr>
                <w:ilvl w:val="1"/>
                <w:numId w:val="30"/>
              </w:numPr>
            </w:pPr>
            <w:r w:rsidRPr="00212386">
              <w:t>Continue Emissions Reduction Fund crediting.</w:t>
            </w:r>
          </w:p>
          <w:p w14:paraId="7BE3FC9F" w14:textId="77777777" w:rsidR="00FF6F11" w:rsidRPr="00212386" w:rsidRDefault="00FF6F11" w:rsidP="00B94E56">
            <w:pPr>
              <w:pStyle w:val="ListBullet"/>
              <w:numPr>
                <w:ilvl w:val="1"/>
                <w:numId w:val="30"/>
              </w:numPr>
            </w:pPr>
            <w:r w:rsidRPr="00212386">
              <w:t>Continue Emissions Reduction Fund purchasing until the enhanced safeguard is in place and provides a source of demand for these offsets.</w:t>
            </w:r>
          </w:p>
          <w:p w14:paraId="745F47C2" w14:textId="77777777" w:rsidR="00FF6F11" w:rsidRPr="00D901CE" w:rsidRDefault="00FF6F11" w:rsidP="002A17E4">
            <w:pPr>
              <w:pStyle w:val="CCABodytext"/>
              <w:ind w:right="175"/>
              <w:rPr>
                <w:lang w:eastAsia="en-AU"/>
              </w:rPr>
            </w:pPr>
          </w:p>
        </w:tc>
      </w:tr>
    </w:tbl>
    <w:p w14:paraId="6801A632" w14:textId="6C6350A9" w:rsidR="004F4F1B" w:rsidRPr="006C644B" w:rsidRDefault="00595D5D" w:rsidP="00C813C5">
      <w:pPr>
        <w:pStyle w:val="CCAHeading2"/>
      </w:pPr>
      <w:bookmarkStart w:id="885" w:name="_Toc529377776"/>
      <w:bookmarkStart w:id="886" w:name="_Toc529389721"/>
      <w:bookmarkStart w:id="887" w:name="_Toc531095591"/>
      <w:bookmarkStart w:id="888" w:name="_Toc531099357"/>
      <w:bookmarkStart w:id="889" w:name="_Toc531101766"/>
      <w:bookmarkStart w:id="890" w:name="_Toc531764034"/>
      <w:bookmarkStart w:id="891" w:name="_Toc532912126"/>
      <w:bookmarkStart w:id="892" w:name="_Toc532914968"/>
      <w:r>
        <w:t xml:space="preserve">Australia’s emissions </w:t>
      </w:r>
      <w:r w:rsidR="006A520D">
        <w:t>for safeguard sectors</w:t>
      </w:r>
      <w:bookmarkEnd w:id="885"/>
      <w:bookmarkEnd w:id="886"/>
      <w:bookmarkEnd w:id="887"/>
      <w:bookmarkEnd w:id="888"/>
      <w:bookmarkEnd w:id="889"/>
      <w:bookmarkEnd w:id="890"/>
      <w:bookmarkEnd w:id="891"/>
      <w:bookmarkEnd w:id="892"/>
    </w:p>
    <w:p w14:paraId="2251C1CE" w14:textId="6F170F25" w:rsidR="00EA2686" w:rsidRDefault="004F4F1B" w:rsidP="004F4F1B">
      <w:pPr>
        <w:pStyle w:val="CCABodytext"/>
      </w:pPr>
      <w:r w:rsidRPr="006C644B">
        <w:t xml:space="preserve">The </w:t>
      </w:r>
      <w:r w:rsidR="00EA2686" w:rsidRPr="006C644B">
        <w:t>Department of the Environment and Energy</w:t>
      </w:r>
      <w:r w:rsidR="006A520D">
        <w:t xml:space="preserve"> </w:t>
      </w:r>
      <w:r w:rsidRPr="006C644B">
        <w:t>project</w:t>
      </w:r>
      <w:r w:rsidR="006A520D">
        <w:t>s</w:t>
      </w:r>
      <w:r w:rsidR="00911001" w:rsidRPr="006C644B">
        <w:t xml:space="preserve"> </w:t>
      </w:r>
      <w:r w:rsidRPr="006C644B">
        <w:t>electricity</w:t>
      </w:r>
      <w:r w:rsidR="00F50184" w:rsidRPr="006C644B">
        <w:t>-</w:t>
      </w:r>
      <w:r w:rsidRPr="006C644B">
        <w:t>s</w:t>
      </w:r>
      <w:r w:rsidR="006A520D">
        <w:t xml:space="preserve">ector emissions </w:t>
      </w:r>
      <w:r w:rsidR="00035222">
        <w:t>will decline</w:t>
      </w:r>
      <w:r w:rsidR="006A520D">
        <w:t xml:space="preserve"> </w:t>
      </w:r>
      <w:r w:rsidR="00035222">
        <w:t xml:space="preserve">to </w:t>
      </w:r>
      <w:r w:rsidR="006A520D">
        <w:t>1</w:t>
      </w:r>
      <w:r w:rsidR="00160F7B">
        <w:t>7</w:t>
      </w:r>
      <w:r w:rsidR="006A520D">
        <w:t> per </w:t>
      </w:r>
      <w:r w:rsidRPr="006C644B">
        <w:t>cent below 2005 levels in 2030</w:t>
      </w:r>
      <w:r w:rsidR="00CF2A4E">
        <w:t>, from 197 Mt CO</w:t>
      </w:r>
      <w:r w:rsidR="00CF2A4E" w:rsidRPr="00CF2A4E">
        <w:rPr>
          <w:vertAlign w:val="subscript"/>
        </w:rPr>
        <w:t>2</w:t>
      </w:r>
      <w:r w:rsidR="00CF2A4E">
        <w:t>-e</w:t>
      </w:r>
      <w:r w:rsidRPr="006C644B">
        <w:t xml:space="preserve"> </w:t>
      </w:r>
      <w:r w:rsidR="00CF2A4E">
        <w:t>to 1</w:t>
      </w:r>
      <w:r w:rsidR="00160F7B">
        <w:t>6</w:t>
      </w:r>
      <w:r w:rsidR="00CF2A4E">
        <w:t>3 Mt CO</w:t>
      </w:r>
      <w:r w:rsidR="00CF2A4E" w:rsidRPr="00CF2A4E">
        <w:rPr>
          <w:vertAlign w:val="subscript"/>
        </w:rPr>
        <w:t>2</w:t>
      </w:r>
      <w:r w:rsidR="00CF2A4E">
        <w:t xml:space="preserve">-e </w:t>
      </w:r>
      <w:r w:rsidRPr="006C644B">
        <w:t>(</w:t>
      </w:r>
      <w:r w:rsidR="004E10C2" w:rsidRPr="006C644B">
        <w:t>Commonwealth of Australia 201</w:t>
      </w:r>
      <w:r w:rsidR="00160F7B">
        <w:t>8e</w:t>
      </w:r>
      <w:r w:rsidRPr="006C644B">
        <w:t xml:space="preserve">). </w:t>
      </w:r>
      <w:r w:rsidR="00160F7B">
        <w:t>E</w:t>
      </w:r>
      <w:r w:rsidR="0022544F" w:rsidRPr="006C644B">
        <w:t>missions in the National Electricity Market</w:t>
      </w:r>
      <w:r w:rsidR="00B62208">
        <w:t xml:space="preserve"> </w:t>
      </w:r>
      <w:r w:rsidR="00160F7B">
        <w:t xml:space="preserve">are projected to </w:t>
      </w:r>
      <w:r w:rsidR="008D3715">
        <w:t xml:space="preserve">decline to </w:t>
      </w:r>
      <w:r w:rsidR="0022544F" w:rsidRPr="006C644B">
        <w:t>2</w:t>
      </w:r>
      <w:r w:rsidR="00160F7B">
        <w:t>6</w:t>
      </w:r>
      <w:r w:rsidR="0022544F" w:rsidRPr="006C644B">
        <w:t xml:space="preserve"> per cent below 2005 levels by 2030</w:t>
      </w:r>
      <w:r w:rsidR="00CF2A4E">
        <w:t>, from 17</w:t>
      </w:r>
      <w:r w:rsidR="00160F7B">
        <w:t>6</w:t>
      </w:r>
      <w:r w:rsidR="00CF2A4E">
        <w:t xml:space="preserve"> Mt CO</w:t>
      </w:r>
      <w:r w:rsidR="00CF2A4E" w:rsidRPr="00CF2A4E">
        <w:rPr>
          <w:vertAlign w:val="subscript"/>
        </w:rPr>
        <w:t>2</w:t>
      </w:r>
      <w:r w:rsidR="00CF2A4E">
        <w:t>-e to 13</w:t>
      </w:r>
      <w:r w:rsidR="00160F7B">
        <w:t>1</w:t>
      </w:r>
      <w:r w:rsidR="00CF2A4E">
        <w:t xml:space="preserve"> Mt CO</w:t>
      </w:r>
      <w:r w:rsidR="00CF2A4E" w:rsidRPr="00CF2A4E">
        <w:rPr>
          <w:vertAlign w:val="subscript"/>
        </w:rPr>
        <w:t>2</w:t>
      </w:r>
      <w:r w:rsidR="00CF2A4E">
        <w:t>-e</w:t>
      </w:r>
      <w:r w:rsidR="00EA2686" w:rsidRPr="006C644B">
        <w:t xml:space="preserve"> </w:t>
      </w:r>
      <w:r w:rsidR="004E10C2" w:rsidRPr="006C644B">
        <w:t>(</w:t>
      </w:r>
      <w:r w:rsidR="00160F7B" w:rsidRPr="006C644B">
        <w:t>Commonwealth of Australia 201</w:t>
      </w:r>
      <w:r w:rsidR="00160F7B">
        <w:t>8e</w:t>
      </w:r>
      <w:r w:rsidR="004E10C2" w:rsidRPr="006C644B">
        <w:t>)</w:t>
      </w:r>
      <w:r w:rsidR="0022544F" w:rsidRPr="006C644B">
        <w:t>.</w:t>
      </w:r>
      <w:r w:rsidR="0022544F">
        <w:t xml:space="preserve"> </w:t>
      </w:r>
      <w:r w:rsidR="00B62208" w:rsidRPr="00B62208">
        <w:t xml:space="preserve">The </w:t>
      </w:r>
      <w:r w:rsidR="00B62208">
        <w:t>National Electricity Market</w:t>
      </w:r>
      <w:r w:rsidR="00B62208" w:rsidRPr="00B62208">
        <w:t xml:space="preserve"> includes grid</w:t>
      </w:r>
      <w:r w:rsidR="008D3715">
        <w:t>-connected</w:t>
      </w:r>
      <w:r w:rsidR="00B62208" w:rsidRPr="00B62208">
        <w:t xml:space="preserve"> electricity in the </w:t>
      </w:r>
      <w:r w:rsidR="00942412">
        <w:t>e</w:t>
      </w:r>
      <w:r w:rsidR="00B62208" w:rsidRPr="00B62208">
        <w:t xml:space="preserve">astern and </w:t>
      </w:r>
      <w:r w:rsidR="00942412">
        <w:t>s</w:t>
      </w:r>
      <w:r w:rsidR="00B62208" w:rsidRPr="00B62208">
        <w:t xml:space="preserve">outh </w:t>
      </w:r>
      <w:r w:rsidR="00942412">
        <w:t>e</w:t>
      </w:r>
      <w:r w:rsidR="008D3715">
        <w:t>astern states and accounted</w:t>
      </w:r>
      <w:r w:rsidR="00B62208" w:rsidRPr="00B62208">
        <w:t xml:space="preserve"> for approximately 8</w:t>
      </w:r>
      <w:r w:rsidR="00EE6F63">
        <w:t>5</w:t>
      </w:r>
      <w:r w:rsidR="00B62208" w:rsidRPr="00B62208">
        <w:t xml:space="preserve"> per cent of total electricity </w:t>
      </w:r>
      <w:r w:rsidR="00B62208">
        <w:t xml:space="preserve">emissions </w:t>
      </w:r>
      <w:r w:rsidR="00B62208" w:rsidRPr="00B62208">
        <w:t>in the year to June 2018</w:t>
      </w:r>
      <w:r w:rsidR="00035222">
        <w:t xml:space="preserve"> (</w:t>
      </w:r>
      <w:r w:rsidR="00B95EAE" w:rsidRPr="00B95EAE">
        <w:t>Commonwealth of Australia 2018d</w:t>
      </w:r>
      <w:r w:rsidR="00035222">
        <w:t>)</w:t>
      </w:r>
      <w:r w:rsidR="00B62208" w:rsidRPr="00B62208">
        <w:t>.</w:t>
      </w:r>
    </w:p>
    <w:p w14:paraId="3584B60E" w14:textId="2A98080C" w:rsidR="00EA2686" w:rsidRPr="006A520D" w:rsidRDefault="00EA2686" w:rsidP="004F4F1B">
      <w:pPr>
        <w:pStyle w:val="CCABodytext"/>
      </w:pPr>
      <w:r>
        <w:t xml:space="preserve">Under the Paris Agreement, Australia committed to reducing emissions </w:t>
      </w:r>
      <w:r w:rsidR="006A520D">
        <w:t>across its entire economy by 26 </w:t>
      </w:r>
      <w:r>
        <w:t xml:space="preserve">to 28 per cent on 2005 levels by </w:t>
      </w:r>
      <w:r w:rsidRPr="006A520D">
        <w:t>2030</w:t>
      </w:r>
      <w:r w:rsidR="00CF2A4E">
        <w:t xml:space="preserve"> </w:t>
      </w:r>
      <w:r w:rsidR="00AD5F56">
        <w:t xml:space="preserve">(based on current estimates </w:t>
      </w:r>
      <w:r w:rsidR="00CF2A4E">
        <w:t xml:space="preserve">from </w:t>
      </w:r>
      <w:r w:rsidR="00C71451">
        <w:t>605</w:t>
      </w:r>
      <w:r w:rsidR="00CF2A4E">
        <w:t xml:space="preserve"> Mt CO</w:t>
      </w:r>
      <w:r w:rsidR="00CF2A4E" w:rsidRPr="00CF2A4E">
        <w:rPr>
          <w:vertAlign w:val="subscript"/>
        </w:rPr>
        <w:t>2</w:t>
      </w:r>
      <w:r w:rsidR="00CF2A4E">
        <w:t xml:space="preserve">-e in 2005 to </w:t>
      </w:r>
      <w:r w:rsidR="00AD5F56">
        <w:t>435–</w:t>
      </w:r>
      <w:r w:rsidR="00C71451">
        <w:t>447</w:t>
      </w:r>
      <w:r w:rsidR="00CF2A4E">
        <w:t xml:space="preserve"> Mt CO</w:t>
      </w:r>
      <w:r w:rsidR="00CF2A4E" w:rsidRPr="00CF2A4E">
        <w:rPr>
          <w:vertAlign w:val="subscript"/>
        </w:rPr>
        <w:t>2</w:t>
      </w:r>
      <w:r w:rsidR="00CF2A4E">
        <w:t>-e in 2030</w:t>
      </w:r>
      <w:r w:rsidR="00AD5F56">
        <w:t>)</w:t>
      </w:r>
      <w:r w:rsidRPr="006A520D">
        <w:t>. The Department of the Environment and Energy project</w:t>
      </w:r>
      <w:r w:rsidR="001A5CD8" w:rsidRPr="006A520D">
        <w:t>s</w:t>
      </w:r>
      <w:r w:rsidRPr="006A520D">
        <w:t xml:space="preserve"> Australia’s </w:t>
      </w:r>
      <w:r w:rsidR="006A520D" w:rsidRPr="006A520D">
        <w:t xml:space="preserve">economy-wide </w:t>
      </w:r>
      <w:r w:rsidRPr="006A520D">
        <w:t xml:space="preserve">2030 emissions to be </w:t>
      </w:r>
      <w:r w:rsidR="00AC4164">
        <w:t>7 </w:t>
      </w:r>
      <w:r w:rsidRPr="006A520D">
        <w:t xml:space="preserve">per cent below 2005 levels </w:t>
      </w:r>
      <w:r w:rsidR="0058519F">
        <w:t>or 5</w:t>
      </w:r>
      <w:r w:rsidR="00AC4164">
        <w:t>63</w:t>
      </w:r>
      <w:r w:rsidR="0058519F">
        <w:t xml:space="preserve"> Mt CO</w:t>
      </w:r>
      <w:r w:rsidR="0058519F" w:rsidRPr="00CF2A4E">
        <w:rPr>
          <w:vertAlign w:val="subscript"/>
        </w:rPr>
        <w:t>2</w:t>
      </w:r>
      <w:r w:rsidR="0058519F">
        <w:t xml:space="preserve">-e under a business-as-usual scenario </w:t>
      </w:r>
      <w:r w:rsidRPr="006A520D">
        <w:t xml:space="preserve">(Commonwealth of Australia </w:t>
      </w:r>
      <w:r w:rsidR="001A5CD8" w:rsidRPr="006A520D">
        <w:t>201</w:t>
      </w:r>
      <w:r w:rsidR="00AC4164">
        <w:t>8e</w:t>
      </w:r>
      <w:r w:rsidRPr="006A520D">
        <w:t xml:space="preserve">) and further reductions are needed to meet the </w:t>
      </w:r>
      <w:r w:rsidR="001A5CD8" w:rsidRPr="006A520D">
        <w:t xml:space="preserve">economy-wide </w:t>
      </w:r>
      <w:r w:rsidR="00813154" w:rsidRPr="006A520D">
        <w:t xml:space="preserve">26 to 28 per cent </w:t>
      </w:r>
      <w:r w:rsidRPr="006A520D">
        <w:t>target.</w:t>
      </w:r>
      <w:r w:rsidRPr="006A520D">
        <w:rPr>
          <w:rStyle w:val="FootnoteReference"/>
        </w:rPr>
        <w:footnoteReference w:id="34"/>
      </w:r>
    </w:p>
    <w:p w14:paraId="3F491618" w14:textId="77777777" w:rsidR="004F4F1B" w:rsidRDefault="004F4F1B" w:rsidP="004F4F1B">
      <w:pPr>
        <w:pStyle w:val="CCABodytext"/>
      </w:pPr>
      <w:r w:rsidRPr="006A520D">
        <w:t xml:space="preserve">In line with its 2016 Special </w:t>
      </w:r>
      <w:r w:rsidR="00A26F9C" w:rsidRPr="006A520D">
        <w:t>R</w:t>
      </w:r>
      <w:r w:rsidRPr="006A520D">
        <w:t>eview</w:t>
      </w:r>
      <w:r w:rsidR="00565F12" w:rsidRPr="006A520D">
        <w:t xml:space="preserve"> (CCA </w:t>
      </w:r>
      <w:r w:rsidR="004E10C2" w:rsidRPr="006A520D">
        <w:t>2016</w:t>
      </w:r>
      <w:r w:rsidR="00565F12" w:rsidRPr="006A520D">
        <w:t>)</w:t>
      </w:r>
      <w:r w:rsidRPr="006A520D">
        <w:t xml:space="preserve">, the Authority remains of the view the </w:t>
      </w:r>
      <w:r w:rsidR="00565F12" w:rsidRPr="006A520D">
        <w:t>electricity</w:t>
      </w:r>
      <w:r w:rsidRPr="006A520D">
        <w:t xml:space="preserve"> sector has the potential to achieve </w:t>
      </w:r>
      <w:r w:rsidR="002B2CF1" w:rsidRPr="006A520D">
        <w:t xml:space="preserve">further </w:t>
      </w:r>
      <w:r w:rsidRPr="006A520D">
        <w:t xml:space="preserve">significant emissions reductions. </w:t>
      </w:r>
      <w:r w:rsidR="001866A4" w:rsidRPr="006A520D">
        <w:t>A</w:t>
      </w:r>
      <w:r w:rsidR="00911001">
        <w:t xml:space="preserve"> concerted policy response</w:t>
      </w:r>
      <w:r w:rsidR="001866A4">
        <w:t xml:space="preserve"> would allow </w:t>
      </w:r>
      <w:r>
        <w:t>low</w:t>
      </w:r>
      <w:r w:rsidR="00F50184">
        <w:t>-</w:t>
      </w:r>
      <w:r>
        <w:t xml:space="preserve">cost emissions reductions available in the electricity sector </w:t>
      </w:r>
      <w:r w:rsidR="001866A4">
        <w:t xml:space="preserve">to be </w:t>
      </w:r>
      <w:r w:rsidR="00F71374">
        <w:t>realised</w:t>
      </w:r>
      <w:r w:rsidR="001866A4">
        <w:t>. D</w:t>
      </w:r>
      <w:r>
        <w:t xml:space="preserve">ecarbonising electricity </w:t>
      </w:r>
      <w:r w:rsidR="001866A4">
        <w:t>also</w:t>
      </w:r>
      <w:r>
        <w:t xml:space="preserve"> offers an important avenue for reducing emissions in other sectors</w:t>
      </w:r>
      <w:r w:rsidR="00F50184">
        <w:t>;</w:t>
      </w:r>
      <w:r>
        <w:t xml:space="preserve"> for example</w:t>
      </w:r>
      <w:r w:rsidR="00F50184">
        <w:t>,</w:t>
      </w:r>
      <w:r>
        <w:t xml:space="preserve"> by electrifying light vehicles </w:t>
      </w:r>
      <w:r w:rsidR="005B24D7">
        <w:t xml:space="preserve">(CCA </w:t>
      </w:r>
      <w:r w:rsidR="004E10C2">
        <w:t>2016</w:t>
      </w:r>
      <w:r w:rsidR="005B24D7">
        <w:t>)</w:t>
      </w:r>
      <w:r w:rsidR="008078B2">
        <w:t>.</w:t>
      </w:r>
    </w:p>
    <w:p w14:paraId="71E17CD8" w14:textId="411C760D" w:rsidR="004F4F1B" w:rsidRDefault="007E4B33" w:rsidP="004F4F1B">
      <w:pPr>
        <w:pStyle w:val="CCABodytext"/>
      </w:pPr>
      <w:r>
        <w:t>Emissions red</w:t>
      </w:r>
      <w:r w:rsidR="00730EE0">
        <w:t>u</w:t>
      </w:r>
      <w:r>
        <w:t xml:space="preserve">ctions in the </w:t>
      </w:r>
      <w:r w:rsidR="00730EE0">
        <w:t xml:space="preserve">industrial sector are likely to be needed to meet the </w:t>
      </w:r>
      <w:r w:rsidR="004F4F1B">
        <w:t>economy</w:t>
      </w:r>
      <w:r w:rsidR="003B3035">
        <w:t>-</w:t>
      </w:r>
      <w:r w:rsidR="004F4F1B">
        <w:t xml:space="preserve">wide emissions </w:t>
      </w:r>
      <w:r w:rsidR="00730EE0">
        <w:t>reduction target</w:t>
      </w:r>
      <w:r w:rsidR="004F4F1B">
        <w:t xml:space="preserve">. However, under a business-as-usual scenario including the safeguard, emissions in the industrial sector (direct combustion, fugitives and industrial processes) </w:t>
      </w:r>
      <w:r w:rsidR="00D103A3">
        <w:t>and transport</w:t>
      </w:r>
      <w:r w:rsidR="004F4F1B">
        <w:t xml:space="preserve"> are projected to increase by </w:t>
      </w:r>
      <w:r w:rsidR="00AC4164">
        <w:t>33</w:t>
      </w:r>
      <w:r w:rsidR="004F4F1B">
        <w:t xml:space="preserve"> per cent on 2005 levels by 2030 </w:t>
      </w:r>
      <w:r w:rsidR="0058519F">
        <w:t>from 23</w:t>
      </w:r>
      <w:r w:rsidR="00AC4164">
        <w:t>5</w:t>
      </w:r>
      <w:r w:rsidR="0058519F">
        <w:t xml:space="preserve"> Mt CO</w:t>
      </w:r>
      <w:r w:rsidR="0058519F" w:rsidRPr="00CF2A4E">
        <w:rPr>
          <w:vertAlign w:val="subscript"/>
        </w:rPr>
        <w:t>2</w:t>
      </w:r>
      <w:r w:rsidR="0058519F">
        <w:t>-e to 3</w:t>
      </w:r>
      <w:r w:rsidR="00AC4164">
        <w:t>13</w:t>
      </w:r>
      <w:r w:rsidR="0058519F">
        <w:t xml:space="preserve"> Mt CO</w:t>
      </w:r>
      <w:r w:rsidR="0058519F" w:rsidRPr="00CF2A4E">
        <w:rPr>
          <w:vertAlign w:val="subscript"/>
        </w:rPr>
        <w:t>2</w:t>
      </w:r>
      <w:r w:rsidR="0058519F">
        <w:t xml:space="preserve">-e </w:t>
      </w:r>
      <w:r w:rsidR="004F4F1B">
        <w:t>(</w:t>
      </w:r>
      <w:r w:rsidR="004E10C2">
        <w:t>Commonwealth of Australia 201</w:t>
      </w:r>
      <w:r w:rsidR="00AC4164">
        <w:t>8e</w:t>
      </w:r>
      <w:r w:rsidR="004F4F1B">
        <w:t>).</w:t>
      </w:r>
      <w:r w:rsidR="004F4F1B">
        <w:rPr>
          <w:rStyle w:val="FootnoteReference"/>
        </w:rPr>
        <w:footnoteReference w:id="35"/>
      </w:r>
      <w:r w:rsidR="004F4F1B">
        <w:t xml:space="preserve"> </w:t>
      </w:r>
    </w:p>
    <w:p w14:paraId="727F5A69" w14:textId="77777777" w:rsidR="00AE50A0" w:rsidRDefault="00AE50A0" w:rsidP="00C813C5">
      <w:pPr>
        <w:pStyle w:val="CCAHeading2"/>
      </w:pPr>
      <w:bookmarkStart w:id="893" w:name="_Toc529377777"/>
      <w:bookmarkStart w:id="894" w:name="_Toc529389722"/>
      <w:bookmarkStart w:id="895" w:name="_Toc531095592"/>
      <w:bookmarkStart w:id="896" w:name="_Toc531099358"/>
      <w:bookmarkStart w:id="897" w:name="_Toc531101767"/>
      <w:bookmarkStart w:id="898" w:name="_Toc531764035"/>
      <w:bookmarkStart w:id="899" w:name="_Toc532912127"/>
      <w:bookmarkStart w:id="900" w:name="_Toc532914969"/>
      <w:r>
        <w:t xml:space="preserve">The safeguard as a </w:t>
      </w:r>
      <w:r w:rsidR="00B34BAA">
        <w:t xml:space="preserve">possible </w:t>
      </w:r>
      <w:r>
        <w:t>mechanism to reduce emissions</w:t>
      </w:r>
      <w:bookmarkEnd w:id="893"/>
      <w:bookmarkEnd w:id="894"/>
      <w:bookmarkEnd w:id="895"/>
      <w:bookmarkEnd w:id="896"/>
      <w:bookmarkEnd w:id="897"/>
      <w:bookmarkEnd w:id="898"/>
      <w:bookmarkEnd w:id="899"/>
      <w:bookmarkEnd w:id="900"/>
    </w:p>
    <w:p w14:paraId="1ABC565F" w14:textId="77777777" w:rsidR="00AD7CA0" w:rsidRDefault="004F4F1B" w:rsidP="00AD7CA0">
      <w:pPr>
        <w:pStyle w:val="CCABodytext"/>
      </w:pPr>
      <w:r>
        <w:t xml:space="preserve">In line with its 2016 Special </w:t>
      </w:r>
      <w:r w:rsidR="00730EE0">
        <w:t>R</w:t>
      </w:r>
      <w:r>
        <w:t>eview</w:t>
      </w:r>
      <w:r w:rsidR="00565F12">
        <w:t xml:space="preserve"> (CCA </w:t>
      </w:r>
      <w:r w:rsidR="004E10C2">
        <w:t>2016</w:t>
      </w:r>
      <w:r w:rsidR="00565F12">
        <w:t>)</w:t>
      </w:r>
      <w:r>
        <w:t>, the Authority remains of the view a policy toolkit is needed to capture the emissions reduction opportunities that exist across the different sectors of Australia’s economy</w:t>
      </w:r>
      <w:r w:rsidR="00911001">
        <w:t xml:space="preserve"> (</w:t>
      </w:r>
      <w:r w:rsidR="00730EE0">
        <w:fldChar w:fldCharType="begin"/>
      </w:r>
      <w:r w:rsidR="00730EE0">
        <w:instrText xml:space="preserve"> REF _Ref531626076 \r \h </w:instrText>
      </w:r>
      <w:r w:rsidR="00730EE0">
        <w:fldChar w:fldCharType="separate"/>
      </w:r>
      <w:r w:rsidR="009A203A">
        <w:t>Box 7</w:t>
      </w:r>
      <w:r w:rsidR="00730EE0">
        <w:fldChar w:fldCharType="end"/>
      </w:r>
      <w:r w:rsidR="00911001">
        <w:t>)</w:t>
      </w:r>
      <w:r>
        <w:t>.</w:t>
      </w:r>
      <w:r w:rsidR="00AD7CA0" w:rsidRPr="00AD7CA0">
        <w:t xml:space="preserve"> </w:t>
      </w:r>
      <w:r w:rsidR="00AD7CA0">
        <w:t xml:space="preserve">If designed well, </w:t>
      </w:r>
      <w:r w:rsidR="00F71374">
        <w:t>the policy toolkit</w:t>
      </w:r>
      <w:r w:rsidR="00AD7CA0">
        <w:t xml:space="preserve"> would create incentives for businesses to </w:t>
      </w:r>
      <w:r w:rsidR="006954EF">
        <w:t xml:space="preserve">innovate and </w:t>
      </w:r>
      <w:r w:rsidR="00AD7CA0">
        <w:t>invest in new low-emissions technologies.</w:t>
      </w:r>
    </w:p>
    <w:p w14:paraId="464A4777" w14:textId="77777777" w:rsidR="004F4F1B" w:rsidRDefault="001E1F4E" w:rsidP="004F4F1B">
      <w:pPr>
        <w:pStyle w:val="CCABodytext"/>
      </w:pPr>
      <w:r>
        <w:t>S</w:t>
      </w:r>
      <w:r w:rsidR="00870DC0">
        <w:t>ubmissions</w:t>
      </w:r>
      <w:r w:rsidR="004F4F1B">
        <w:t xml:space="preserve"> highlighted the importance of sharing the emissions reduction burden across </w:t>
      </w:r>
      <w:r w:rsidR="00424C49">
        <w:t xml:space="preserve">all </w:t>
      </w:r>
      <w:r w:rsidR="004F4F1B">
        <w:t xml:space="preserve">sectors of the economy to reduce the </w:t>
      </w:r>
      <w:r w:rsidR="00911001">
        <w:t xml:space="preserve">overall </w:t>
      </w:r>
      <w:r w:rsidR="004F4F1B">
        <w:t xml:space="preserve">cost of emissions reductions. </w:t>
      </w:r>
    </w:p>
    <w:p w14:paraId="2AA4689D" w14:textId="77777777" w:rsidR="004F4F1B" w:rsidRDefault="004F4F1B" w:rsidP="003A4D92">
      <w:pPr>
        <w:pStyle w:val="CCAquote"/>
      </w:pPr>
      <w:r>
        <w:t>The challenge for Australia is to successfully transition to a low carbon economy across all emissions sources – electricity, stationary energy, transport, fugitive emissions, industrial processes and product use, agriculture, waste, land use and land use change and forestry.</w:t>
      </w:r>
    </w:p>
    <w:p w14:paraId="004E1459" w14:textId="77777777" w:rsidR="004F4F1B" w:rsidRPr="006C644B" w:rsidRDefault="004F4F1B" w:rsidP="001D4F22">
      <w:pPr>
        <w:pStyle w:val="CCAquotesource"/>
      </w:pPr>
      <w:r w:rsidRPr="006C644B">
        <w:t>Australian Industry Greenhouse Network</w:t>
      </w:r>
      <w:r w:rsidR="00730EE0" w:rsidRPr="006C644B">
        <w:t>,</w:t>
      </w:r>
      <w:r w:rsidR="00427C76" w:rsidRPr="006C644B">
        <w:t xml:space="preserve"> submission on this review</w:t>
      </w:r>
      <w:r w:rsidR="001D4F22" w:rsidRPr="006C644B">
        <w:t xml:space="preserve"> (p</w:t>
      </w:r>
      <w:r w:rsidR="00190737" w:rsidRPr="006C644B">
        <w:t>.</w:t>
      </w:r>
      <w:r w:rsidR="001D4F22" w:rsidRPr="006C644B">
        <w:t xml:space="preserve"> 8)</w:t>
      </w:r>
    </w:p>
    <w:p w14:paraId="4E6F4E7B" w14:textId="77777777" w:rsidR="00EA2686" w:rsidRPr="006C644B" w:rsidRDefault="00EA2686" w:rsidP="004F4F1B">
      <w:pPr>
        <w:pStyle w:val="CCABodytext"/>
      </w:pPr>
      <w:r w:rsidRPr="006C644B">
        <w:t xml:space="preserve">In </w:t>
      </w:r>
      <w:r w:rsidR="001C6343" w:rsidRPr="006C644B">
        <w:t xml:space="preserve">keeping </w:t>
      </w:r>
      <w:r w:rsidRPr="006C644B">
        <w:t>with its legislation, t</w:t>
      </w:r>
      <w:r w:rsidR="004F4F1B" w:rsidRPr="006C644B">
        <w:t xml:space="preserve">he Authority </w:t>
      </w:r>
      <w:r w:rsidR="001C6343" w:rsidRPr="006C644B">
        <w:t xml:space="preserve">has regard to the following principles in assessing the relative merits of </w:t>
      </w:r>
      <w:r w:rsidR="004F4F1B" w:rsidRPr="006C644B">
        <w:t>emissions reduction polic</w:t>
      </w:r>
      <w:r w:rsidR="00B43B17" w:rsidRPr="006C644B">
        <w:t>ies</w:t>
      </w:r>
      <w:r w:rsidRPr="006C644B">
        <w:t>:</w:t>
      </w:r>
    </w:p>
    <w:p w14:paraId="1F22AEB6" w14:textId="77777777" w:rsidR="00EA2686" w:rsidRPr="006C644B" w:rsidRDefault="007665F3" w:rsidP="000D4FEE">
      <w:pPr>
        <w:pStyle w:val="ListBullet"/>
      </w:pPr>
      <w:r w:rsidRPr="006C644B">
        <w:t xml:space="preserve">economic </w:t>
      </w:r>
      <w:r w:rsidR="004F4F1B" w:rsidRPr="006C644B">
        <w:t>efficien</w:t>
      </w:r>
      <w:r w:rsidR="00C11D1B" w:rsidRPr="006C644B">
        <w:t>cy</w:t>
      </w:r>
    </w:p>
    <w:p w14:paraId="10953ECE" w14:textId="77777777" w:rsidR="00EA2686" w:rsidRPr="006C644B" w:rsidRDefault="007665F3">
      <w:pPr>
        <w:pStyle w:val="ListBullet"/>
      </w:pPr>
      <w:r w:rsidRPr="006C644B">
        <w:t>environmental effective</w:t>
      </w:r>
      <w:r w:rsidR="00C11D1B" w:rsidRPr="006C644B">
        <w:t>ness</w:t>
      </w:r>
    </w:p>
    <w:p w14:paraId="489731A3" w14:textId="77777777" w:rsidR="00EA2686" w:rsidRPr="006C644B" w:rsidRDefault="00EA2686">
      <w:pPr>
        <w:pStyle w:val="ListBullet"/>
      </w:pPr>
      <w:r w:rsidRPr="006C644B">
        <w:t>equit</w:t>
      </w:r>
      <w:r w:rsidR="00C11D1B" w:rsidRPr="006C644B">
        <w:t>y</w:t>
      </w:r>
    </w:p>
    <w:p w14:paraId="6B581B05" w14:textId="77777777" w:rsidR="00EA2686" w:rsidRPr="006C644B" w:rsidRDefault="00EA2686">
      <w:pPr>
        <w:pStyle w:val="ListBullet"/>
      </w:pPr>
      <w:r w:rsidRPr="006C644B">
        <w:t>in the public interest</w:t>
      </w:r>
    </w:p>
    <w:p w14:paraId="2E1182BB" w14:textId="77777777" w:rsidR="00956F62" w:rsidRPr="006C644B" w:rsidRDefault="00EA2686">
      <w:pPr>
        <w:pStyle w:val="ListBullet"/>
      </w:pPr>
      <w:r w:rsidRPr="006C644B">
        <w:t>take account of the impact on households, business</w:t>
      </w:r>
      <w:r w:rsidR="00956F62" w:rsidRPr="006C644B">
        <w:t>, workers</w:t>
      </w:r>
      <w:r w:rsidRPr="006C644B">
        <w:t xml:space="preserve"> and </w:t>
      </w:r>
      <w:r w:rsidR="00956F62" w:rsidRPr="006C644B">
        <w:t>communities</w:t>
      </w:r>
    </w:p>
    <w:p w14:paraId="70D119C5" w14:textId="77777777" w:rsidR="00956F62" w:rsidRPr="006C644B" w:rsidRDefault="00EA2686">
      <w:pPr>
        <w:pStyle w:val="ListBullet"/>
      </w:pPr>
      <w:r w:rsidRPr="006C644B">
        <w:t xml:space="preserve">support </w:t>
      </w:r>
      <w:r w:rsidR="00956F62" w:rsidRPr="006C644B">
        <w:t>the development of an effective</w:t>
      </w:r>
      <w:r w:rsidRPr="006C644B">
        <w:t xml:space="preserve"> global response to climate change</w:t>
      </w:r>
      <w:r w:rsidR="00956F62" w:rsidRPr="006C644B">
        <w:t xml:space="preserve"> </w:t>
      </w:r>
    </w:p>
    <w:p w14:paraId="20D6929B" w14:textId="77777777" w:rsidR="00956F62" w:rsidRPr="006C644B" w:rsidRDefault="00956F62">
      <w:pPr>
        <w:pStyle w:val="ListBullet"/>
      </w:pPr>
      <w:r w:rsidRPr="006C644B">
        <w:t>be consistent with Australia’s foreign policy and trade objectives</w:t>
      </w:r>
      <w:r w:rsidR="00C11D1B" w:rsidRPr="006C644B">
        <w:t>.</w:t>
      </w:r>
    </w:p>
    <w:p w14:paraId="5FF82FF4" w14:textId="77777777" w:rsidR="00035222" w:rsidRDefault="00035222">
      <w:pPr>
        <w:pStyle w:val="ListBullet"/>
        <w:numPr>
          <w:ilvl w:val="0"/>
          <w:numId w:val="0"/>
        </w:numPr>
      </w:pPr>
    </w:p>
    <w:p w14:paraId="26E1EF64" w14:textId="77777777" w:rsidR="00035222" w:rsidRDefault="00035222">
      <w:pPr>
        <w:pStyle w:val="ListBullet"/>
        <w:numPr>
          <w:ilvl w:val="0"/>
          <w:numId w:val="0"/>
        </w:numPr>
      </w:pPr>
    </w:p>
    <w:p w14:paraId="62C2F77C" w14:textId="77777777" w:rsidR="004F4F1B" w:rsidRDefault="00956F62">
      <w:pPr>
        <w:pStyle w:val="ListBullet"/>
        <w:numPr>
          <w:ilvl w:val="0"/>
          <w:numId w:val="0"/>
        </w:numPr>
      </w:pPr>
      <w:r w:rsidRPr="006C644B">
        <w:t>Other principles th</w:t>
      </w:r>
      <w:r w:rsidR="001C6343" w:rsidRPr="006C644B">
        <w:t xml:space="preserve">e Authority considers </w:t>
      </w:r>
      <w:r w:rsidRPr="006C644B">
        <w:t xml:space="preserve">should be taken into account when designing climate </w:t>
      </w:r>
      <w:r w:rsidR="001C6343" w:rsidRPr="006C644B">
        <w:t xml:space="preserve">change </w:t>
      </w:r>
      <w:r w:rsidRPr="006C644B">
        <w:t>polic</w:t>
      </w:r>
      <w:r w:rsidR="001C6343" w:rsidRPr="006C644B">
        <w:t>ies</w:t>
      </w:r>
      <w:r w:rsidRPr="006C644B">
        <w:t xml:space="preserve"> include:</w:t>
      </w:r>
      <w:r w:rsidR="004F4F1B">
        <w:t xml:space="preserve"> </w:t>
      </w:r>
    </w:p>
    <w:p w14:paraId="6C9D2C35" w14:textId="77777777" w:rsidR="004F4F1B" w:rsidRPr="00D76ED6" w:rsidRDefault="004F4F1B" w:rsidP="000D4FEE">
      <w:pPr>
        <w:pStyle w:val="ListBullet"/>
      </w:pPr>
      <w:r w:rsidRPr="007922C7">
        <w:t>Credib</w:t>
      </w:r>
      <w:r w:rsidR="00A6725E" w:rsidRPr="007922C7">
        <w:t>ility</w:t>
      </w:r>
      <w:r w:rsidR="007922C7">
        <w:t>—t</w:t>
      </w:r>
      <w:r w:rsidRPr="00D76ED6">
        <w:t>o provide an incentive for businesses to invest and innovate</w:t>
      </w:r>
    </w:p>
    <w:p w14:paraId="64B5D720" w14:textId="77777777" w:rsidR="004F4F1B" w:rsidRDefault="004F4F1B">
      <w:pPr>
        <w:pStyle w:val="ListBullet"/>
      </w:pPr>
      <w:r>
        <w:t>Durab</w:t>
      </w:r>
      <w:r w:rsidR="00A6725E">
        <w:t xml:space="preserve">ility </w:t>
      </w:r>
      <w:r>
        <w:t>and simpl</w:t>
      </w:r>
      <w:r w:rsidR="00A6725E">
        <w:t>icity</w:t>
      </w:r>
      <w:r w:rsidR="007922C7">
        <w:t>—t</w:t>
      </w:r>
      <w:r>
        <w:t xml:space="preserve">o reduce the costs to </w:t>
      </w:r>
      <w:r w:rsidR="00F151E5">
        <w:t>g</w:t>
      </w:r>
      <w:r>
        <w:t>overnment associated with implementing policies and the costs to businesses of adjusting to new policies</w:t>
      </w:r>
    </w:p>
    <w:p w14:paraId="2F0AD9CB" w14:textId="77777777" w:rsidR="004F4F1B" w:rsidRDefault="004F4F1B">
      <w:pPr>
        <w:pStyle w:val="ListBullet"/>
      </w:pPr>
      <w:r>
        <w:t>Scalab</w:t>
      </w:r>
      <w:r w:rsidR="00A6725E">
        <w:t>ility</w:t>
      </w:r>
      <w:r>
        <w:t xml:space="preserve"> and adaptab</w:t>
      </w:r>
      <w:r w:rsidR="00A6725E">
        <w:t>ility</w:t>
      </w:r>
      <w:r w:rsidR="007922C7">
        <w:t>—t</w:t>
      </w:r>
      <w:r>
        <w:t xml:space="preserve">o enable Australia to adjust its emissions reduction commitment over time, in response to changes in technology, the economy and the action of international competitors </w:t>
      </w:r>
    </w:p>
    <w:p w14:paraId="4E51FB31" w14:textId="77777777" w:rsidR="004F4F1B" w:rsidRDefault="004F4F1B">
      <w:pPr>
        <w:pStyle w:val="ListBullet"/>
      </w:pPr>
      <w:r>
        <w:t>Coheren</w:t>
      </w:r>
      <w:r w:rsidR="00A6725E">
        <w:t>ce</w:t>
      </w:r>
      <w:r>
        <w:t xml:space="preserve"> with other policies</w:t>
      </w:r>
      <w:r w:rsidR="007922C7">
        <w:t>—</w:t>
      </w:r>
      <w:r w:rsidR="007665F3">
        <w:t xml:space="preserve">Australia needs a policy toolkit </w:t>
      </w:r>
      <w:r w:rsidR="00424C49">
        <w:t xml:space="preserve">with broad coverage </w:t>
      </w:r>
      <w:r w:rsidR="007665F3">
        <w:t>t</w:t>
      </w:r>
      <w:r>
        <w:t xml:space="preserve">o reduce the </w:t>
      </w:r>
      <w:r w:rsidR="00911001">
        <w:t>overall</w:t>
      </w:r>
      <w:r>
        <w:t xml:space="preserve"> costs of emissions reductions and maximise opportunities created</w:t>
      </w:r>
    </w:p>
    <w:p w14:paraId="3A1E545A" w14:textId="44B88EF4" w:rsidR="007665F3" w:rsidRDefault="007665F3">
      <w:pPr>
        <w:pStyle w:val="ListBullet"/>
      </w:pPr>
      <w:r>
        <w:t>Flexib</w:t>
      </w:r>
      <w:r w:rsidR="00A6725E">
        <w:t>ility</w:t>
      </w:r>
      <w:r w:rsidR="007922C7">
        <w:t>—i</w:t>
      </w:r>
      <w:r>
        <w:t xml:space="preserve">nclude a range of compliance options to reduce the cost of emissions reductions, such as allowing access to international </w:t>
      </w:r>
      <w:r w:rsidR="00EA2686">
        <w:t>units</w:t>
      </w:r>
      <w:r w:rsidR="00776B5A">
        <w:t xml:space="preserve"> </w:t>
      </w:r>
      <w:r>
        <w:t>subject to quantitative and qualitative limits</w:t>
      </w:r>
      <w:r w:rsidR="00AF18CA">
        <w:t>.</w:t>
      </w:r>
    </w:p>
    <w:p w14:paraId="3896DA76" w14:textId="77777777" w:rsidR="004F4F1B" w:rsidRPr="006C644B" w:rsidRDefault="004F4F1B" w:rsidP="004F4F1B">
      <w:pPr>
        <w:pStyle w:val="CCABodytext"/>
      </w:pPr>
      <w:r>
        <w:t xml:space="preserve">The safeguard mechanism is one policy that could be designed to meet the Authority’s principles for an effective and efficient emissions </w:t>
      </w:r>
      <w:r w:rsidRPr="006C644B">
        <w:t xml:space="preserve">reduction policy </w:t>
      </w:r>
      <w:r w:rsidR="009C2E56" w:rsidRPr="006C644B">
        <w:t>in</w:t>
      </w:r>
      <w:r w:rsidRPr="006C644B">
        <w:t xml:space="preserve"> the industrial sector</w:t>
      </w:r>
      <w:r w:rsidR="00A6725E" w:rsidRPr="006C644B">
        <w:t>,</w:t>
      </w:r>
      <w:r w:rsidR="00767EF9" w:rsidRPr="006C644B">
        <w:t xml:space="preserve"> as part of a policy toolkit that captures the emissions reduction opportunities across the </w:t>
      </w:r>
      <w:r w:rsidR="00911001" w:rsidRPr="006C644B">
        <w:t>Australian</w:t>
      </w:r>
      <w:r w:rsidR="00767EF9" w:rsidRPr="006C644B">
        <w:t xml:space="preserve"> economy</w:t>
      </w:r>
      <w:r w:rsidRPr="006C644B">
        <w:t xml:space="preserve">. </w:t>
      </w:r>
      <w:r w:rsidR="00595D5D" w:rsidRPr="006C644B">
        <w:t xml:space="preserve">As such, the </w:t>
      </w:r>
      <w:r w:rsidR="00911001" w:rsidRPr="006C644B">
        <w:t>Authority is of the view the G</w:t>
      </w:r>
      <w:r w:rsidR="00595D5D" w:rsidRPr="006C644B">
        <w:t xml:space="preserve">overnment should </w:t>
      </w:r>
      <w:r w:rsidR="009513BC" w:rsidRPr="006C644B">
        <w:t xml:space="preserve">consider </w:t>
      </w:r>
      <w:r w:rsidR="007665F3" w:rsidRPr="006C644B">
        <w:t>how</w:t>
      </w:r>
      <w:r w:rsidR="009513BC" w:rsidRPr="006C644B">
        <w:t xml:space="preserve"> the safeguard </w:t>
      </w:r>
      <w:r w:rsidR="00911001" w:rsidRPr="006C644B">
        <w:t>could</w:t>
      </w:r>
      <w:r w:rsidR="007665F3" w:rsidRPr="006C644B">
        <w:t xml:space="preserve"> be adapted </w:t>
      </w:r>
      <w:r w:rsidR="009513BC" w:rsidRPr="006C644B">
        <w:t>as a mechanism to reduce emissions in the industrial sector.</w:t>
      </w:r>
    </w:p>
    <w:p w14:paraId="0E47AB93" w14:textId="77777777" w:rsidR="004F4F1B" w:rsidRDefault="004F4F1B" w:rsidP="004F4F1B">
      <w:pPr>
        <w:pStyle w:val="CCABodytext"/>
      </w:pPr>
      <w:r w:rsidRPr="006C644B">
        <w:t>The</w:t>
      </w:r>
      <w:r w:rsidR="00911001" w:rsidRPr="006C644B">
        <w:t xml:space="preserve"> Authority heard the</w:t>
      </w:r>
      <w:r w:rsidRPr="006C644B">
        <w:t xml:space="preserve"> safeguard may not</w:t>
      </w:r>
      <w:r>
        <w:t xml:space="preserve"> be an appropriate policy for achieving effective and efficient emissions reductions in all sectors, for example the waste sector.</w:t>
      </w:r>
      <w:r w:rsidR="008F1DFE">
        <w:t xml:space="preserve"> </w:t>
      </w:r>
    </w:p>
    <w:p w14:paraId="6E8DDD8C" w14:textId="77777777" w:rsidR="004F4F1B" w:rsidRDefault="004F4F1B" w:rsidP="003A4D92">
      <w:pPr>
        <w:pStyle w:val="CCAquote"/>
      </w:pPr>
      <w:r>
        <w:t xml:space="preserve">The </w:t>
      </w:r>
      <w:r w:rsidR="00C204F4">
        <w:t>[National Waste and Recycling Industry Council]</w:t>
      </w:r>
      <w:r>
        <w:t xml:space="preserve"> does not believe the Safeguard Mechanism is a fit for purpose tool for landfills</w:t>
      </w:r>
      <w:r w:rsidR="00A6725E">
        <w:t>.</w:t>
      </w:r>
    </w:p>
    <w:p w14:paraId="53793813" w14:textId="77777777" w:rsidR="004F4F1B" w:rsidRDefault="004F4F1B" w:rsidP="001D4F22">
      <w:pPr>
        <w:pStyle w:val="CCAquotesource"/>
      </w:pPr>
      <w:r>
        <w:t>The National Waste and Recycling Industry Council</w:t>
      </w:r>
      <w:r w:rsidR="00730EE0">
        <w:t>,</w:t>
      </w:r>
      <w:r w:rsidR="00427C76">
        <w:t xml:space="preserve"> submission on this review</w:t>
      </w:r>
      <w:r w:rsidR="001D4F22">
        <w:t xml:space="preserve"> (p</w:t>
      </w:r>
      <w:r w:rsidR="00190737">
        <w:t>.</w:t>
      </w:r>
      <w:r w:rsidR="00F62B97">
        <w:t xml:space="preserve"> </w:t>
      </w:r>
      <w:r w:rsidR="001D4F22">
        <w:t>2)</w:t>
      </w:r>
    </w:p>
    <w:p w14:paraId="6C690040" w14:textId="06BFA08A" w:rsidR="004F4F1B" w:rsidRPr="00343346" w:rsidRDefault="004F4F1B" w:rsidP="004F4F1B">
      <w:pPr>
        <w:pStyle w:val="CCABodytext"/>
      </w:pPr>
      <w:r>
        <w:t xml:space="preserve">In the </w:t>
      </w:r>
      <w:r w:rsidR="006A520D">
        <w:t xml:space="preserve">2016 </w:t>
      </w:r>
      <w:r>
        <w:t xml:space="preserve">Special </w:t>
      </w:r>
      <w:r w:rsidR="00730EE0">
        <w:t>R</w:t>
      </w:r>
      <w:r>
        <w:t>eview</w:t>
      </w:r>
      <w:r w:rsidR="00427C76">
        <w:t xml:space="preserve"> (CCA </w:t>
      </w:r>
      <w:r w:rsidR="004E10C2">
        <w:t>2016</w:t>
      </w:r>
      <w:r w:rsidR="00427C76">
        <w:t>)</w:t>
      </w:r>
      <w:r>
        <w:t xml:space="preserve">, the Authority recommended government landfill regulations that limit methane emissions be harmonised </w:t>
      </w:r>
      <w:r w:rsidR="009513BC">
        <w:t xml:space="preserve">and enhanced </w:t>
      </w:r>
      <w:r>
        <w:t>to achieve emissions reductions in the waste sector</w:t>
      </w:r>
      <w:r w:rsidR="00911001">
        <w:t>. The Authority found emissions from the sector are already regulated for odour and safety by state governments but there a</w:t>
      </w:r>
      <w:r w:rsidR="00424C49">
        <w:t>re</w:t>
      </w:r>
      <w:r w:rsidR="00911001">
        <w:t xml:space="preserve"> further opportunities for emissions reductions.</w:t>
      </w:r>
    </w:p>
    <w:p w14:paraId="133B7ECE" w14:textId="0F5A326F" w:rsidR="00AD7CA0" w:rsidRPr="00343346" w:rsidRDefault="00AD7CA0" w:rsidP="004F4F1B">
      <w:pPr>
        <w:pStyle w:val="CCABodytext"/>
      </w:pPr>
      <w:r>
        <w:t>The safeguard may also not be appropriate for reducing emissions in the light vehicle sector</w:t>
      </w:r>
      <w:r w:rsidR="00D12D4B">
        <w:t xml:space="preserve">. </w:t>
      </w:r>
      <w:r>
        <w:t xml:space="preserve">In the </w:t>
      </w:r>
      <w:r w:rsidR="006A520D">
        <w:t xml:space="preserve">2016 </w:t>
      </w:r>
      <w:r>
        <w:t xml:space="preserve">Special </w:t>
      </w:r>
      <w:r w:rsidR="00730EE0">
        <w:t>R</w:t>
      </w:r>
      <w:r>
        <w:t>eview</w:t>
      </w:r>
      <w:r w:rsidR="00D87735">
        <w:t xml:space="preserve"> (CCA </w:t>
      </w:r>
      <w:r w:rsidR="004E10C2">
        <w:t>2016</w:t>
      </w:r>
      <w:r w:rsidR="00D87735">
        <w:t>)</w:t>
      </w:r>
      <w:r>
        <w:t>, the Authority recommended emissions reduction standards be introduced for light vehicles</w:t>
      </w:r>
      <w:r w:rsidR="0085757E">
        <w:t xml:space="preserve"> as this could deliver substantial, low-cost emissions reductions, with net economic benefits</w:t>
      </w:r>
      <w:r>
        <w:t>.</w:t>
      </w:r>
    </w:p>
    <w:p w14:paraId="6C7C5982" w14:textId="1A2283DE" w:rsidR="0025105E" w:rsidRDefault="00BC597A" w:rsidP="004F4F1B">
      <w:pPr>
        <w:pStyle w:val="CCABodytext"/>
        <w:sectPr w:rsidR="0025105E" w:rsidSect="00041493">
          <w:pgSz w:w="11907" w:h="16840" w:code="9"/>
          <w:pgMar w:top="1418" w:right="1077" w:bottom="851" w:left="1077" w:header="850" w:footer="720" w:gutter="0"/>
          <w:pgNumType w:chapStyle="1" w:chapSep="emDash"/>
          <w:cols w:space="720"/>
          <w:docGrid w:linePitch="360"/>
        </w:sectPr>
      </w:pPr>
      <w:r>
        <w:t>In 2019 t</w:t>
      </w:r>
      <w:r w:rsidR="00EF11D2">
        <w:t xml:space="preserve">he Authority </w:t>
      </w:r>
      <w:r w:rsidR="004F4F1B">
        <w:t>will assess the changes that have occurred since it gave its advice on a policy toolkit in 2016 and update its advice on effective and efficient emissions reduction policies</w:t>
      </w:r>
      <w:r w:rsidR="00EF11D2">
        <w:t>.</w:t>
      </w:r>
      <w:r w:rsidR="004F4F1B">
        <w:t xml:space="preserve"> </w:t>
      </w:r>
    </w:p>
    <w:p w14:paraId="7982C4A9" w14:textId="77777777" w:rsidR="0025105E" w:rsidRPr="00212386" w:rsidRDefault="0025105E" w:rsidP="00C813C5">
      <w:pPr>
        <w:pStyle w:val="CCAHeading1"/>
      </w:pPr>
      <w:bookmarkStart w:id="901" w:name="_Toc531095593"/>
      <w:bookmarkStart w:id="902" w:name="_Toc531099359"/>
      <w:bookmarkStart w:id="903" w:name="_Toc531101768"/>
      <w:bookmarkStart w:id="904" w:name="_Toc531764036"/>
      <w:bookmarkStart w:id="905" w:name="_Toc532912128"/>
      <w:bookmarkStart w:id="906" w:name="_Toc532914970"/>
      <w:r w:rsidRPr="00212386">
        <w:t>Conclusion</w:t>
      </w:r>
      <w:bookmarkEnd w:id="901"/>
      <w:bookmarkEnd w:id="902"/>
      <w:bookmarkEnd w:id="903"/>
      <w:bookmarkEnd w:id="904"/>
      <w:bookmarkEnd w:id="905"/>
      <w:bookmarkEnd w:id="906"/>
    </w:p>
    <w:p w14:paraId="28BF9217" w14:textId="77777777" w:rsidR="000410DA" w:rsidRPr="00212386" w:rsidRDefault="00CF210F" w:rsidP="00602BAF">
      <w:pPr>
        <w:pStyle w:val="CCABodytext"/>
      </w:pPr>
      <w:r w:rsidRPr="00212386">
        <w:t>This review</w:t>
      </w:r>
      <w:r w:rsidR="000410DA" w:rsidRPr="00212386">
        <w:t xml:space="preserve"> found </w:t>
      </w:r>
      <w:r w:rsidR="0060681A" w:rsidRPr="00212386">
        <w:t>the National Greenhouse and Energy Reporting legislation is operating well, is meeting its objectives and is generally fit</w:t>
      </w:r>
      <w:r w:rsidR="00096E71">
        <w:t xml:space="preserve"> </w:t>
      </w:r>
      <w:r w:rsidR="0060681A" w:rsidRPr="00212386">
        <w:t>for</w:t>
      </w:r>
      <w:r w:rsidR="00096E71">
        <w:t xml:space="preserve"> </w:t>
      </w:r>
      <w:r w:rsidR="0060681A" w:rsidRPr="00212386">
        <w:t xml:space="preserve">purpose. The energy and emissions reporting scheme has been in place for over a decade and enjoys broad support from industry, government and others. It is widely considered to be a best-practice approach to measuring and reporting emissions and </w:t>
      </w:r>
      <w:r w:rsidR="00F958C3">
        <w:t xml:space="preserve">energy and </w:t>
      </w:r>
      <w:r w:rsidR="0060681A" w:rsidRPr="00212386">
        <w:t xml:space="preserve">compares favourably to schemes in other countries. </w:t>
      </w:r>
      <w:r w:rsidR="000410DA" w:rsidRPr="00212386">
        <w:t>The high quality data that is collected by the scheme is used extensively by governments and others to develop energy and climate change policies and is a critical input to meeting Australia’s international energy and emissions reporting obligations.</w:t>
      </w:r>
    </w:p>
    <w:p w14:paraId="58543839" w14:textId="3726D353" w:rsidR="000410DA" w:rsidRPr="00212386" w:rsidRDefault="0060681A" w:rsidP="00602BAF">
      <w:pPr>
        <w:pStyle w:val="CCABodytext"/>
      </w:pPr>
      <w:r w:rsidRPr="00212386">
        <w:t xml:space="preserve">The safeguard mechanism has been in place for less than three years, so it is more difficult to form a view on its long-term effectiveness. The </w:t>
      </w:r>
      <w:r w:rsidR="00256FB4">
        <w:t>Climate Change</w:t>
      </w:r>
      <w:r w:rsidRPr="00212386">
        <w:t xml:space="preserve"> Authority found, however, that in </w:t>
      </w:r>
      <w:r w:rsidRPr="00212386" w:rsidDel="00307929">
        <w:t>its first year of operation</w:t>
      </w:r>
      <w:r w:rsidRPr="00212386">
        <w:t xml:space="preserve"> (2016</w:t>
      </w:r>
      <w:r w:rsidR="00107726">
        <w:t>–</w:t>
      </w:r>
      <w:r w:rsidRPr="00212386">
        <w:t>17)</w:t>
      </w:r>
      <w:r w:rsidR="009D34B0">
        <w:t xml:space="preserve"> </w:t>
      </w:r>
      <w:r w:rsidRPr="00212386">
        <w:t>all facilities covered by the safeguard kept their net emissions at or below their baselines. The Authority heard that most companies with safeguard obligations are comfortable with the mechanism’s operation and the options for meeting their baselines</w:t>
      </w:r>
      <w:r w:rsidR="00A6725E">
        <w:t>; h</w:t>
      </w:r>
      <w:r w:rsidR="000410DA" w:rsidRPr="00212386">
        <w:t xml:space="preserve">owever, many called for clarity around its future. The Authority </w:t>
      </w:r>
      <w:r w:rsidR="00265923">
        <w:t>is</w:t>
      </w:r>
      <w:r w:rsidR="000410DA" w:rsidRPr="00212386">
        <w:t xml:space="preserve"> of the view a comprehensive policy toolkit is needed to capture the emissions reduction opportunities that exist across the different sectors of Australia’s economy.</w:t>
      </w:r>
      <w:r w:rsidR="00265923">
        <w:t xml:space="preserve"> As said by t</w:t>
      </w:r>
      <w:r w:rsidR="00265923" w:rsidRPr="00026744">
        <w:t xml:space="preserve">he Authority in 2016, the safeguard could be used to reduce emissions </w:t>
      </w:r>
      <w:r w:rsidR="00265923">
        <w:t xml:space="preserve">in the industrial sector </w:t>
      </w:r>
      <w:r w:rsidR="00265923" w:rsidRPr="00026744">
        <w:t>if baselines are made to decline.</w:t>
      </w:r>
    </w:p>
    <w:p w14:paraId="31FDC191" w14:textId="0F6E39C3" w:rsidR="0025105E" w:rsidRDefault="000410DA" w:rsidP="00800E9E">
      <w:pPr>
        <w:pStyle w:val="CCABodytext"/>
      </w:pPr>
      <w:r w:rsidRPr="00212386">
        <w:t xml:space="preserve">The Authority has identified some opportunities for improvements. Many of these opportunities can reduce costs to businesses or the schemes’ administrators. </w:t>
      </w:r>
      <w:r w:rsidR="00FB6302">
        <w:t>For the reporting scheme, they include streamlining reporting requirements and improving the system used by companies to report.</w:t>
      </w:r>
      <w:r w:rsidR="00730EE0">
        <w:t xml:space="preserve"> </w:t>
      </w:r>
      <w:r w:rsidR="005034D6" w:rsidRPr="00212386">
        <w:t>For the safeguard, they include</w:t>
      </w:r>
      <w:r w:rsidR="002B0F03" w:rsidRPr="00212386">
        <w:t xml:space="preserve"> ensuring </w:t>
      </w:r>
      <w:r w:rsidR="00921DCF" w:rsidRPr="00212386">
        <w:t>obligations are the result of consistent approaches to measuring emissions and setting baselines</w:t>
      </w:r>
      <w:r w:rsidR="006A520D">
        <w:t>,</w:t>
      </w:r>
      <w:r w:rsidR="00921DCF" w:rsidRPr="00345CCE">
        <w:t xml:space="preserve"> </w:t>
      </w:r>
      <w:r w:rsidR="002B0F03" w:rsidRPr="00345CCE">
        <w:t xml:space="preserve">and </w:t>
      </w:r>
      <w:r w:rsidR="0051256A" w:rsidRPr="00AF1274">
        <w:t>compliance</w:t>
      </w:r>
      <w:r w:rsidR="0051256A">
        <w:t xml:space="preserve"> options continue to work effectively</w:t>
      </w:r>
      <w:r w:rsidR="002B0F03" w:rsidRPr="00212386">
        <w:t>.</w:t>
      </w:r>
      <w:r w:rsidR="00730EE0">
        <w:t xml:space="preserve"> </w:t>
      </w:r>
      <w:r w:rsidR="005034D6" w:rsidRPr="00212386">
        <w:t xml:space="preserve">For administration and compliance, </w:t>
      </w:r>
      <w:r w:rsidR="00A355F0">
        <w:t xml:space="preserve">the Authority recommends </w:t>
      </w:r>
      <w:r w:rsidR="005034D6" w:rsidRPr="00212386">
        <w:t>continuing to target compliance audits to reduce costs.</w:t>
      </w:r>
      <w:r w:rsidR="00CF210F" w:rsidRPr="00212386">
        <w:t xml:space="preserve"> </w:t>
      </w:r>
      <w:r w:rsidR="00870DC0">
        <w:t>C</w:t>
      </w:r>
      <w:r w:rsidRPr="00212386">
        <w:t>ollectively</w:t>
      </w:r>
      <w:r w:rsidR="00870DC0">
        <w:t>, these improvements will enhance what the Authority cons</w:t>
      </w:r>
      <w:r w:rsidR="006A520D">
        <w:t>iders to be</w:t>
      </w:r>
      <w:r w:rsidR="0065703D">
        <w:t xml:space="preserve"> well</w:t>
      </w:r>
      <w:r w:rsidR="0065703D">
        <w:noBreakHyphen/>
      </w:r>
      <w:r w:rsidR="00870DC0">
        <w:t>functioning scheme</w:t>
      </w:r>
      <w:r w:rsidR="006A520D">
        <w:t>s</w:t>
      </w:r>
      <w:r w:rsidRPr="00212386">
        <w:t>.</w:t>
      </w:r>
      <w:r w:rsidR="00730EE0">
        <w:t xml:space="preserve"> </w:t>
      </w:r>
      <w:r w:rsidR="001700B2">
        <w:t xml:space="preserve">The Authority encourages the Department </w:t>
      </w:r>
      <w:r w:rsidR="00256FB4">
        <w:t xml:space="preserve">of the Environment </w:t>
      </w:r>
      <w:r w:rsidR="00877554">
        <w:t xml:space="preserve">and Energy </w:t>
      </w:r>
      <w:r w:rsidR="001700B2">
        <w:t xml:space="preserve">and </w:t>
      </w:r>
      <w:r w:rsidR="00256FB4">
        <w:t>the Clean Energy</w:t>
      </w:r>
      <w:r w:rsidR="001700B2">
        <w:t xml:space="preserve"> Regulator to </w:t>
      </w:r>
      <w:r w:rsidR="009B5452">
        <w:t xml:space="preserve">continue to </w:t>
      </w:r>
      <w:r w:rsidR="001700B2">
        <w:t>work together with industry to implement the improvements effectively and efficiently.</w:t>
      </w:r>
    </w:p>
    <w:bookmarkEnd w:id="149"/>
    <w:bookmarkEnd w:id="150"/>
    <w:bookmarkEnd w:id="843"/>
    <w:bookmarkEnd w:id="844"/>
    <w:bookmarkEnd w:id="845"/>
    <w:bookmarkEnd w:id="846"/>
    <w:bookmarkEnd w:id="847"/>
    <w:bookmarkEnd w:id="848"/>
    <w:bookmarkEnd w:id="857"/>
    <w:bookmarkEnd w:id="858"/>
    <w:bookmarkEnd w:id="859"/>
    <w:bookmarkEnd w:id="860"/>
    <w:p w14:paraId="6EF7AFDD" w14:textId="77777777" w:rsidR="006D44D9" w:rsidRPr="00AB6C78" w:rsidRDefault="006D44D9" w:rsidP="00031CE2">
      <w:pPr>
        <w:spacing w:after="200" w:line="276" w:lineRule="auto"/>
        <w:rPr>
          <w:rFonts w:asciiTheme="minorHAnsi" w:hAnsiTheme="minorHAnsi" w:cstheme="minorHAnsi"/>
          <w:b/>
          <w:sz w:val="21"/>
          <w:szCs w:val="21"/>
        </w:rPr>
      </w:pPr>
    </w:p>
    <w:p w14:paraId="2F22A979" w14:textId="3655E503" w:rsidR="007161D3" w:rsidRPr="007161D3" w:rsidRDefault="007161D3" w:rsidP="00C813C5">
      <w:pPr>
        <w:pStyle w:val="CCAAppendixHeading"/>
      </w:pPr>
      <w:bookmarkStart w:id="907" w:name="_Toc519166201"/>
      <w:bookmarkStart w:id="908" w:name="_Toc519240568"/>
      <w:bookmarkStart w:id="909" w:name="_Toc519240696"/>
      <w:bookmarkStart w:id="910" w:name="_Toc520448600"/>
      <w:bookmarkStart w:id="911" w:name="_Toc520455276"/>
      <w:bookmarkStart w:id="912" w:name="_Toc520459075"/>
      <w:bookmarkStart w:id="913" w:name="_Toc520459469"/>
      <w:bookmarkStart w:id="914" w:name="_Toc520458597"/>
      <w:bookmarkStart w:id="915" w:name="_Toc520459551"/>
      <w:bookmarkStart w:id="916" w:name="_Toc520461467"/>
      <w:bookmarkStart w:id="917" w:name="_Toc520461829"/>
      <w:bookmarkStart w:id="918" w:name="_Toc520466857"/>
      <w:bookmarkStart w:id="919" w:name="_Toc520469894"/>
      <w:bookmarkStart w:id="920" w:name="_Toc520705352"/>
      <w:bookmarkStart w:id="921" w:name="_Toc520707716"/>
      <w:bookmarkStart w:id="922" w:name="_Toc520716732"/>
      <w:bookmarkStart w:id="923" w:name="_Toc520720378"/>
      <w:bookmarkStart w:id="924" w:name="_Toc520721629"/>
      <w:bookmarkStart w:id="925" w:name="_Toc520724162"/>
      <w:bookmarkStart w:id="926" w:name="_Toc520735267"/>
      <w:bookmarkStart w:id="927" w:name="_Toc520736300"/>
      <w:bookmarkStart w:id="928" w:name="_Toc520736719"/>
      <w:bookmarkStart w:id="929" w:name="_Toc531095596"/>
      <w:bookmarkStart w:id="930" w:name="_Toc531099362"/>
      <w:bookmarkStart w:id="931" w:name="_Toc531101771"/>
      <w:bookmarkStart w:id="932" w:name="_Toc531764037"/>
      <w:bookmarkStart w:id="933" w:name="_Toc532912129"/>
      <w:bookmarkStart w:id="934" w:name="_Toc532914971"/>
      <w:r w:rsidRPr="00944017">
        <w:t>Guiding</w:t>
      </w:r>
      <w:r w:rsidRPr="007161D3">
        <w:t xml:space="preserve"> principles for this review</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5FCC47EB" w14:textId="77777777" w:rsidR="007161D3" w:rsidRPr="007161D3" w:rsidRDefault="007161D3" w:rsidP="00F62B97">
      <w:pPr>
        <w:pStyle w:val="CCABodytext"/>
      </w:pPr>
      <w:r w:rsidRPr="007161D3">
        <w:t xml:space="preserve">The principles established in the </w:t>
      </w:r>
      <w:r w:rsidRPr="007161D3">
        <w:rPr>
          <w:i/>
        </w:rPr>
        <w:t>Climate Change Authority Act 2011</w:t>
      </w:r>
      <w:r w:rsidRPr="007161D3">
        <w:t xml:space="preserve"> (Cth) guide </w:t>
      </w:r>
      <w:r w:rsidRPr="00345CCE">
        <w:t>all of the</w:t>
      </w:r>
      <w:r w:rsidRPr="007161D3">
        <w:t xml:space="preserve"> </w:t>
      </w:r>
      <w:r w:rsidR="005A3867">
        <w:t xml:space="preserve">Climate Change </w:t>
      </w:r>
      <w:r w:rsidRPr="007161D3">
        <w:t>Authority’s work. These include that measures to respond to climate change should:</w:t>
      </w:r>
    </w:p>
    <w:p w14:paraId="3AEFEEB8" w14:textId="77777777" w:rsidR="007161D3" w:rsidRPr="007161D3" w:rsidRDefault="007161D3" w:rsidP="00F62B97">
      <w:pPr>
        <w:pStyle w:val="ListBullet"/>
        <w:rPr>
          <w:rFonts w:eastAsia="Calibri"/>
        </w:rPr>
      </w:pPr>
      <w:r w:rsidRPr="007161D3">
        <w:rPr>
          <w:rFonts w:eastAsia="Calibri"/>
        </w:rPr>
        <w:t>be economically efficient, environmentally effective, equitable and in the public interest</w:t>
      </w:r>
    </w:p>
    <w:p w14:paraId="21A5D559" w14:textId="77777777" w:rsidR="007161D3" w:rsidRPr="007161D3" w:rsidRDefault="007161D3" w:rsidP="00F62B97">
      <w:pPr>
        <w:pStyle w:val="ListBullet"/>
        <w:rPr>
          <w:rFonts w:eastAsia="Calibri"/>
        </w:rPr>
      </w:pPr>
      <w:r w:rsidRPr="007161D3">
        <w:rPr>
          <w:rFonts w:eastAsia="Calibri"/>
        </w:rPr>
        <w:t>support the development of an effective global response to climate change, and be consistent with Australia’s foreign policy and trade objectives</w:t>
      </w:r>
    </w:p>
    <w:p w14:paraId="71F67C43" w14:textId="77777777" w:rsidR="007161D3" w:rsidRPr="007161D3" w:rsidRDefault="007161D3" w:rsidP="00F62B97">
      <w:pPr>
        <w:pStyle w:val="ListBullet"/>
        <w:rPr>
          <w:rFonts w:eastAsia="Calibri"/>
        </w:rPr>
      </w:pPr>
      <w:r w:rsidRPr="007161D3">
        <w:rPr>
          <w:rFonts w:eastAsia="Calibri"/>
        </w:rPr>
        <w:t>take account of the impact on households, businesses, workers and communities.</w:t>
      </w:r>
    </w:p>
    <w:p w14:paraId="180A1ABE" w14:textId="77777777" w:rsidR="007161D3" w:rsidRPr="007161D3" w:rsidRDefault="007161D3" w:rsidP="00F62B97">
      <w:pPr>
        <w:pStyle w:val="CCABodytext"/>
      </w:pPr>
      <w:r w:rsidRPr="007161D3">
        <w:t>The Authority is required to review the operation of the National Greenhouse and Energy Reporting legislation. That legislation includes:</w:t>
      </w:r>
    </w:p>
    <w:p w14:paraId="56B09D00" w14:textId="77777777" w:rsidR="007161D3" w:rsidRPr="007161D3" w:rsidRDefault="007161D3" w:rsidP="00F62B97">
      <w:pPr>
        <w:pStyle w:val="ListBullet"/>
        <w:rPr>
          <w:rFonts w:eastAsia="Calibri"/>
        </w:rPr>
      </w:pPr>
      <w:r w:rsidRPr="007161D3">
        <w:rPr>
          <w:rFonts w:eastAsia="Calibri"/>
        </w:rPr>
        <w:t xml:space="preserve">the </w:t>
      </w:r>
      <w:r w:rsidRPr="007161D3">
        <w:rPr>
          <w:rFonts w:eastAsia="Calibri"/>
          <w:i/>
        </w:rPr>
        <w:t>National Greenhouse and Energy Reporting Act 2007</w:t>
      </w:r>
      <w:r w:rsidRPr="007161D3">
        <w:rPr>
          <w:rFonts w:eastAsia="Calibri"/>
        </w:rPr>
        <w:t xml:space="preserve"> (Cth), which establishes the framework for the reporting scheme and safeguard</w:t>
      </w:r>
    </w:p>
    <w:p w14:paraId="5083E8C2" w14:textId="77777777" w:rsidR="007161D3" w:rsidRPr="007161D3" w:rsidRDefault="007161D3" w:rsidP="00F62B97">
      <w:pPr>
        <w:pStyle w:val="ListBullet"/>
        <w:rPr>
          <w:rFonts w:eastAsia="Calibri"/>
          <w:i/>
        </w:rPr>
      </w:pPr>
      <w:r w:rsidRPr="007161D3">
        <w:rPr>
          <w:rFonts w:eastAsia="Calibri"/>
        </w:rPr>
        <w:t>the</w:t>
      </w:r>
      <w:r w:rsidRPr="007161D3">
        <w:rPr>
          <w:rFonts w:eastAsia="Calibri"/>
          <w:i/>
        </w:rPr>
        <w:t xml:space="preserve"> National Greenhouse and Energy </w:t>
      </w:r>
      <w:r w:rsidR="004C4F4B">
        <w:rPr>
          <w:rFonts w:eastAsia="Calibri"/>
          <w:i/>
        </w:rPr>
        <w:t xml:space="preserve">Reporting </w:t>
      </w:r>
      <w:r w:rsidRPr="007161D3">
        <w:rPr>
          <w:rFonts w:eastAsia="Calibri"/>
          <w:i/>
        </w:rPr>
        <w:t xml:space="preserve">(Measurement) Determination 2008 </w:t>
      </w:r>
      <w:r w:rsidRPr="007161D3">
        <w:rPr>
          <w:rFonts w:eastAsia="Calibri"/>
        </w:rPr>
        <w:t>(Cth), which describes how to measure greenhouse gas emissions</w:t>
      </w:r>
      <w:r w:rsidR="005F0B23">
        <w:rPr>
          <w:rFonts w:eastAsia="Calibri"/>
        </w:rPr>
        <w:t xml:space="preserve"> and</w:t>
      </w:r>
      <w:r w:rsidRPr="007161D3">
        <w:rPr>
          <w:rFonts w:eastAsia="Calibri"/>
        </w:rPr>
        <w:t xml:space="preserve"> energy production and use</w:t>
      </w:r>
    </w:p>
    <w:p w14:paraId="6F85398F" w14:textId="77777777" w:rsidR="007161D3" w:rsidRPr="007161D3" w:rsidRDefault="007161D3" w:rsidP="00F62B97">
      <w:pPr>
        <w:pStyle w:val="ListBullet"/>
        <w:rPr>
          <w:rFonts w:eastAsia="Calibri"/>
          <w:i/>
        </w:rPr>
      </w:pPr>
      <w:r w:rsidRPr="007161D3">
        <w:rPr>
          <w:rFonts w:eastAsia="Calibri"/>
        </w:rPr>
        <w:t xml:space="preserve">the </w:t>
      </w:r>
      <w:r w:rsidRPr="007161D3">
        <w:rPr>
          <w:rFonts w:eastAsia="Calibri"/>
          <w:i/>
        </w:rPr>
        <w:t xml:space="preserve">National Greenhouse and Energy Reporting Regulations 2008 </w:t>
      </w:r>
      <w:r w:rsidRPr="007161D3">
        <w:rPr>
          <w:rFonts w:eastAsia="Calibri"/>
        </w:rPr>
        <w:t>(Cth), which sets out the reporting and auditing requirements</w:t>
      </w:r>
    </w:p>
    <w:p w14:paraId="64FE100B" w14:textId="2047C5DD" w:rsidR="007161D3" w:rsidRPr="007161D3" w:rsidRDefault="007161D3" w:rsidP="00F62B97">
      <w:pPr>
        <w:pStyle w:val="ListBullet"/>
        <w:rPr>
          <w:rFonts w:eastAsia="Calibri"/>
        </w:rPr>
      </w:pPr>
      <w:r w:rsidRPr="007161D3">
        <w:rPr>
          <w:rFonts w:eastAsia="Calibri"/>
        </w:rPr>
        <w:t>the</w:t>
      </w:r>
      <w:r w:rsidRPr="007161D3">
        <w:rPr>
          <w:rFonts w:eastAsia="Calibri"/>
          <w:i/>
        </w:rPr>
        <w:t xml:space="preserve"> National Greenhouse and Energy Reporting (Audit) Determination</w:t>
      </w:r>
      <w:r w:rsidRPr="007161D3">
        <w:rPr>
          <w:rFonts w:eastAsia="Calibri"/>
        </w:rPr>
        <w:t xml:space="preserve"> </w:t>
      </w:r>
      <w:r w:rsidRPr="007161D3">
        <w:rPr>
          <w:rFonts w:eastAsia="Calibri"/>
          <w:i/>
        </w:rPr>
        <w:t>2009</w:t>
      </w:r>
      <w:r w:rsidRPr="007161D3">
        <w:rPr>
          <w:rFonts w:eastAsia="Calibri"/>
        </w:rPr>
        <w:t xml:space="preserve"> (Cth), which sets out the audit requirements</w:t>
      </w:r>
    </w:p>
    <w:p w14:paraId="01BA61D2" w14:textId="77777777" w:rsidR="007161D3" w:rsidRPr="007161D3" w:rsidRDefault="007161D3" w:rsidP="00F62B97">
      <w:pPr>
        <w:pStyle w:val="ListBullet"/>
        <w:rPr>
          <w:rFonts w:eastAsia="Calibri"/>
        </w:rPr>
      </w:pPr>
      <w:r w:rsidRPr="007161D3">
        <w:rPr>
          <w:rFonts w:eastAsia="Calibri"/>
        </w:rPr>
        <w:t xml:space="preserve">the </w:t>
      </w:r>
      <w:r w:rsidRPr="007161D3">
        <w:rPr>
          <w:rFonts w:eastAsia="Calibri"/>
          <w:i/>
        </w:rPr>
        <w:t>National Greenhouse and Energy Reporting (Auditor Reg</w:t>
      </w:r>
      <w:r>
        <w:rPr>
          <w:rFonts w:eastAsia="Calibri"/>
          <w:i/>
        </w:rPr>
        <w:t>istration) Instrument 2017 (No. </w:t>
      </w:r>
      <w:r w:rsidRPr="007161D3">
        <w:rPr>
          <w:rFonts w:eastAsia="Calibri"/>
          <w:i/>
        </w:rPr>
        <w:t>2)</w:t>
      </w:r>
      <w:r w:rsidRPr="007161D3">
        <w:rPr>
          <w:rFonts w:eastAsia="Calibri"/>
        </w:rPr>
        <w:t xml:space="preserve"> (Cth), which specifies the qualifications that auditors must have</w:t>
      </w:r>
    </w:p>
    <w:p w14:paraId="66477760" w14:textId="77777777" w:rsidR="007161D3" w:rsidRPr="007161D3" w:rsidRDefault="007161D3" w:rsidP="00F62B97">
      <w:pPr>
        <w:pStyle w:val="ListBullet"/>
        <w:rPr>
          <w:rFonts w:eastAsia="Calibri"/>
        </w:rPr>
      </w:pPr>
      <w:r w:rsidRPr="007161D3">
        <w:rPr>
          <w:rFonts w:eastAsia="Calibri"/>
        </w:rPr>
        <w:t xml:space="preserve">the </w:t>
      </w:r>
      <w:r w:rsidRPr="007161D3">
        <w:rPr>
          <w:rFonts w:eastAsia="Calibri"/>
          <w:i/>
        </w:rPr>
        <w:t xml:space="preserve">National Greenhouse and Energy Reporting (Safeguard Mechanism) Rule 2015 </w:t>
      </w:r>
      <w:r w:rsidRPr="007161D3">
        <w:rPr>
          <w:rFonts w:eastAsia="Calibri"/>
        </w:rPr>
        <w:t xml:space="preserve">(Cth), which sets out the compliance rules and procedures for administering the safeguard. </w:t>
      </w:r>
    </w:p>
    <w:p w14:paraId="5EBB7FA8" w14:textId="77777777" w:rsidR="007161D3" w:rsidRPr="007161D3" w:rsidRDefault="007161D3" w:rsidP="00F62B97">
      <w:pPr>
        <w:pStyle w:val="CCABodytext"/>
      </w:pPr>
      <w:r w:rsidRPr="007161D3">
        <w:t xml:space="preserve">The </w:t>
      </w:r>
      <w:r w:rsidRPr="007161D3">
        <w:rPr>
          <w:i/>
        </w:rPr>
        <w:t xml:space="preserve">Clean Energy Regulator Act 2011 </w:t>
      </w:r>
      <w:r w:rsidRPr="007161D3">
        <w:t>(Cth) establishes the Clean Energy Regulator and its functions and powers in regards to administering its schemes.</w:t>
      </w:r>
    </w:p>
    <w:p w14:paraId="5A1D4272" w14:textId="03624685" w:rsidR="007161D3" w:rsidRPr="007161D3" w:rsidRDefault="007161D3" w:rsidP="00F62B97">
      <w:pPr>
        <w:pStyle w:val="CCABodytext"/>
      </w:pPr>
      <w:r w:rsidRPr="007161D3">
        <w:t xml:space="preserve">The </w:t>
      </w:r>
      <w:r w:rsidR="00730EE0">
        <w:t xml:space="preserve">first </w:t>
      </w:r>
      <w:r w:rsidRPr="007161D3">
        <w:t>object</w:t>
      </w:r>
      <w:r w:rsidR="006A520D">
        <w:t>ive</w:t>
      </w:r>
      <w:r w:rsidRPr="007161D3">
        <w:t xml:space="preserve"> of the </w:t>
      </w:r>
      <w:r w:rsidRPr="007161D3">
        <w:rPr>
          <w:i/>
        </w:rPr>
        <w:t>National Greenhouse and Energy Reporting Act 2007</w:t>
      </w:r>
      <w:r w:rsidRPr="007161D3">
        <w:t xml:space="preserve"> (Cth) is to introduce a single national reporting framework for the reporting and dissemination of information related to greenhouse gas emissions and projects, energy consumption and </w:t>
      </w:r>
      <w:r w:rsidR="004F686D">
        <w:t xml:space="preserve">energy </w:t>
      </w:r>
      <w:r w:rsidRPr="007161D3">
        <w:t xml:space="preserve">production of </w:t>
      </w:r>
      <w:r w:rsidR="00184249" w:rsidRPr="007161D3">
        <w:t>co</w:t>
      </w:r>
      <w:r w:rsidR="00184249">
        <w:t>mpanies</w:t>
      </w:r>
      <w:r w:rsidR="00184249" w:rsidRPr="007161D3">
        <w:t xml:space="preserve"> </w:t>
      </w:r>
      <w:r w:rsidRPr="007161D3">
        <w:t>to:</w:t>
      </w:r>
    </w:p>
    <w:p w14:paraId="2F8AF744" w14:textId="77777777" w:rsidR="007161D3" w:rsidRPr="007161D3" w:rsidRDefault="007161D3" w:rsidP="00F62B97">
      <w:pPr>
        <w:pStyle w:val="ListBullet"/>
        <w:rPr>
          <w:rFonts w:eastAsia="Calibri"/>
        </w:rPr>
      </w:pPr>
      <w:r w:rsidRPr="007161D3">
        <w:rPr>
          <w:rFonts w:eastAsia="Calibri"/>
        </w:rPr>
        <w:t>inform government policy formulation and the Australian public</w:t>
      </w:r>
    </w:p>
    <w:p w14:paraId="013CBC1B" w14:textId="77777777" w:rsidR="007161D3" w:rsidRPr="007161D3" w:rsidRDefault="007161D3" w:rsidP="00F62B97">
      <w:pPr>
        <w:pStyle w:val="ListBullet"/>
        <w:rPr>
          <w:rFonts w:eastAsia="Calibri"/>
        </w:rPr>
      </w:pPr>
      <w:r w:rsidRPr="007161D3">
        <w:rPr>
          <w:rFonts w:eastAsia="Calibri"/>
        </w:rPr>
        <w:t>meet Australia's international reporting obligations</w:t>
      </w:r>
    </w:p>
    <w:p w14:paraId="12090777" w14:textId="77777777" w:rsidR="007161D3" w:rsidRPr="007161D3" w:rsidRDefault="007161D3" w:rsidP="00F62B97">
      <w:pPr>
        <w:pStyle w:val="ListBullet"/>
        <w:rPr>
          <w:rFonts w:eastAsia="Calibri"/>
        </w:rPr>
      </w:pPr>
      <w:r w:rsidRPr="007161D3">
        <w:rPr>
          <w:rFonts w:eastAsia="Calibri"/>
        </w:rPr>
        <w:t xml:space="preserve">assist </w:t>
      </w:r>
      <w:r w:rsidR="00746A82">
        <w:t>Australian</w:t>
      </w:r>
      <w:r w:rsidRPr="007161D3">
        <w:rPr>
          <w:rFonts w:eastAsia="Calibri"/>
        </w:rPr>
        <w:t>, state and territory government programs and activities</w:t>
      </w:r>
    </w:p>
    <w:p w14:paraId="7F7027C9" w14:textId="77777777" w:rsidR="007161D3" w:rsidRPr="007161D3" w:rsidRDefault="007161D3" w:rsidP="00F62B97">
      <w:pPr>
        <w:pStyle w:val="ListBullet"/>
        <w:rPr>
          <w:rFonts w:eastAsia="Calibri"/>
        </w:rPr>
      </w:pPr>
      <w:r w:rsidRPr="007161D3">
        <w:rPr>
          <w:rFonts w:eastAsia="Calibri"/>
        </w:rPr>
        <w:t>avoid the duplication of similar reporting requirements in the states and territories.</w:t>
      </w:r>
    </w:p>
    <w:p w14:paraId="0CB34145" w14:textId="3A49C261" w:rsidR="00A74ECA" w:rsidRPr="007161D3" w:rsidRDefault="007161D3" w:rsidP="00F62B97">
      <w:pPr>
        <w:pStyle w:val="CCABodytext"/>
      </w:pPr>
      <w:r w:rsidRPr="007161D3">
        <w:t>The second object</w:t>
      </w:r>
      <w:r w:rsidR="006A520D">
        <w:t>ive</w:t>
      </w:r>
      <w:r w:rsidRPr="007161D3">
        <w:t xml:space="preserve"> is to ensure net covered emissions of greenhouse gases from the operation of a designated large facility do not exceed the baseline applicable to the facility.</w:t>
      </w:r>
      <w:r w:rsidR="00A74ECA" w:rsidRPr="00A74ECA">
        <w:t xml:space="preserve"> </w:t>
      </w:r>
    </w:p>
    <w:p w14:paraId="3A520B59" w14:textId="77777777" w:rsidR="00172423" w:rsidRDefault="00172423" w:rsidP="00A74ECA">
      <w:pPr>
        <w:spacing w:after="200" w:line="276" w:lineRule="auto"/>
        <w:rPr>
          <w:rFonts w:asciiTheme="minorHAnsi" w:hAnsiTheme="minorHAnsi" w:cstheme="minorHAnsi"/>
          <w:sz w:val="21"/>
          <w:szCs w:val="21"/>
        </w:rPr>
        <w:sectPr w:rsidR="00172423" w:rsidSect="00041493">
          <w:headerReference w:type="even" r:id="rId48"/>
          <w:pgSz w:w="11907" w:h="16840" w:code="9"/>
          <w:pgMar w:top="1418" w:right="1077" w:bottom="851" w:left="1077" w:header="850" w:footer="720" w:gutter="0"/>
          <w:pgNumType w:chapStyle="1" w:chapSep="emDash"/>
          <w:cols w:space="720"/>
          <w:docGrid w:linePitch="360"/>
        </w:sectPr>
      </w:pPr>
    </w:p>
    <w:p w14:paraId="4E0185CD" w14:textId="2257FE60" w:rsidR="00172423" w:rsidRDefault="00172423" w:rsidP="00172423">
      <w:pPr>
        <w:pStyle w:val="CCAAppendixHeading"/>
      </w:pPr>
      <w:bookmarkStart w:id="935" w:name="_Toc531095602"/>
      <w:bookmarkStart w:id="936" w:name="_Toc531099368"/>
      <w:bookmarkStart w:id="937" w:name="_Toc531101777"/>
      <w:bookmarkStart w:id="938" w:name="_Toc531764042"/>
      <w:bookmarkStart w:id="939" w:name="_Ref532311739"/>
      <w:bookmarkStart w:id="940" w:name="_Toc532912130"/>
      <w:bookmarkStart w:id="941" w:name="_Toc532914972"/>
      <w:r w:rsidRPr="00620C04">
        <w:t>Overview of</w:t>
      </w:r>
      <w:r>
        <w:t xml:space="preserve"> the costs and benefits of the Authority’s recommendations</w:t>
      </w:r>
      <w:bookmarkEnd w:id="935"/>
      <w:bookmarkEnd w:id="936"/>
      <w:bookmarkEnd w:id="937"/>
      <w:bookmarkEnd w:id="938"/>
      <w:bookmarkEnd w:id="939"/>
      <w:bookmarkEnd w:id="940"/>
      <w:bookmarkEnd w:id="941"/>
      <w:r>
        <w:t xml:space="preserve"> </w:t>
      </w:r>
    </w:p>
    <w:p w14:paraId="2B76F91E" w14:textId="036A4E3A" w:rsidR="00172423" w:rsidRPr="002041E3" w:rsidRDefault="00172423" w:rsidP="00172423">
      <w:pPr>
        <w:pStyle w:val="CCABodytext"/>
      </w:pPr>
      <w:r w:rsidRPr="002041E3">
        <w:t xml:space="preserve">The </w:t>
      </w:r>
      <w:r w:rsidRPr="008E04E4">
        <w:rPr>
          <w:i/>
        </w:rPr>
        <w:t>National Greenhouse and Energy Reporting Act 2007</w:t>
      </w:r>
      <w:r w:rsidRPr="002041E3">
        <w:t xml:space="preserve"> (Cth) requires the Climate Change Authority to analyse the costs and benefits of any recommendations formulated during this review. The Authority is also required to have regard to the principles set out in the </w:t>
      </w:r>
      <w:r w:rsidRPr="008E04E4">
        <w:rPr>
          <w:i/>
        </w:rPr>
        <w:t>Climate Change Authority Act 2011</w:t>
      </w:r>
      <w:r w:rsidRPr="002041E3">
        <w:t xml:space="preserve"> (Cth) when performing its functions. These include that measures to respond to climate change should be economically efficient, environmentally effective, equitable, in the public interest, support the development of an effective global response to climate change, be consistent with Australia’s foreign policy and trade objectives, and take account of the impact on households, businesses, workers and communities. </w:t>
      </w:r>
      <w:r w:rsidRPr="002041E3">
        <w:fldChar w:fldCharType="begin"/>
      </w:r>
      <w:r w:rsidRPr="002041E3">
        <w:instrText xml:space="preserve"> REF _Ref530744388 \r \h </w:instrText>
      </w:r>
      <w:r>
        <w:instrText xml:space="preserve"> \* MERGEFORMAT </w:instrText>
      </w:r>
      <w:r w:rsidRPr="002041E3">
        <w:fldChar w:fldCharType="separate"/>
      </w:r>
      <w:r w:rsidR="009A203A">
        <w:t>Table 9</w:t>
      </w:r>
      <w:r w:rsidRPr="002041E3">
        <w:fldChar w:fldCharType="end"/>
      </w:r>
      <w:r w:rsidRPr="002041E3">
        <w:t xml:space="preserve"> presents a summary of the expected outcomes </w:t>
      </w:r>
      <w:r>
        <w:t>of recommendations</w:t>
      </w:r>
      <w:r w:rsidRPr="002041E3">
        <w:t xml:space="preserve"> against key criteria. Further analyses of the costs and benefits of the recommendations are made throughout the report.</w:t>
      </w:r>
    </w:p>
    <w:p w14:paraId="0E3FC01B" w14:textId="77777777" w:rsidR="00172423" w:rsidRDefault="00172423" w:rsidP="00172423">
      <w:pPr>
        <w:pStyle w:val="CCATableheader"/>
      </w:pPr>
      <w:bookmarkStart w:id="942" w:name="_Ref530744388"/>
      <w:bookmarkStart w:id="943" w:name="_Toc531095544"/>
      <w:bookmarkStart w:id="944" w:name="_Toc531099310"/>
      <w:bookmarkStart w:id="945" w:name="_Toc531101719"/>
      <w:bookmarkStart w:id="946" w:name="_Toc531341088"/>
      <w:bookmarkStart w:id="947" w:name="_Toc531764057"/>
      <w:bookmarkStart w:id="948" w:name="_Toc532912074"/>
      <w:bookmarkStart w:id="949" w:name="_Toc532914018"/>
      <w:r>
        <w:t>Analysing the recommendations’ outcomes</w:t>
      </w:r>
      <w:bookmarkEnd w:id="942"/>
      <w:bookmarkEnd w:id="943"/>
      <w:bookmarkEnd w:id="944"/>
      <w:bookmarkEnd w:id="945"/>
      <w:bookmarkEnd w:id="946"/>
      <w:bookmarkEnd w:id="947"/>
      <w:bookmarkEnd w:id="948"/>
      <w:bookmarkEnd w:id="949"/>
    </w:p>
    <w:p w14:paraId="3EB974DF" w14:textId="77777777" w:rsidR="00172423" w:rsidRDefault="00172423" w:rsidP="00172423">
      <w:pPr>
        <w:pStyle w:val="CCABodytext"/>
      </w:pPr>
      <w:r>
        <w:t xml:space="preserve">Where the Authority has recommended further analysis be conducted before a change is implemented, italicised text indicates the outcome of the recommendation if the change is made. </w:t>
      </w:r>
    </w:p>
    <w:tbl>
      <w:tblPr>
        <w:tblStyle w:val="TableGrid"/>
        <w:tblW w:w="14742" w:type="dxa"/>
        <w:tblLayout w:type="fixed"/>
        <w:tblLook w:val="04A0" w:firstRow="1" w:lastRow="0" w:firstColumn="1" w:lastColumn="0" w:noHBand="0" w:noVBand="1"/>
      </w:tblPr>
      <w:tblGrid>
        <w:gridCol w:w="926"/>
        <w:gridCol w:w="2831"/>
        <w:gridCol w:w="1908"/>
        <w:gridCol w:w="1985"/>
        <w:gridCol w:w="2268"/>
        <w:gridCol w:w="2268"/>
        <w:gridCol w:w="2556"/>
      </w:tblGrid>
      <w:tr w:rsidR="003668AC" w:rsidRPr="0087575C" w14:paraId="5EADEFD2" w14:textId="77777777" w:rsidTr="003668AC">
        <w:trPr>
          <w:cantSplit/>
          <w:trHeight w:val="909"/>
          <w:tblHeader/>
        </w:trPr>
        <w:tc>
          <w:tcPr>
            <w:tcW w:w="926" w:type="dxa"/>
            <w:tcBorders>
              <w:top w:val="nil"/>
              <w:left w:val="nil"/>
              <w:bottom w:val="nil"/>
              <w:right w:val="nil"/>
            </w:tcBorders>
            <w:shd w:val="clear" w:color="auto" w:fill="309CC8" w:themeFill="accent1"/>
          </w:tcPr>
          <w:p w14:paraId="6BC5572A" w14:textId="77777777" w:rsidR="003668AC" w:rsidRPr="0087575C" w:rsidRDefault="003668AC" w:rsidP="00EF4045">
            <w:pPr>
              <w:pStyle w:val="TableText"/>
              <w:rPr>
                <w:b/>
                <w:color w:val="FFFFFF" w:themeColor="background1"/>
              </w:rPr>
            </w:pPr>
          </w:p>
        </w:tc>
        <w:tc>
          <w:tcPr>
            <w:tcW w:w="2831" w:type="dxa"/>
            <w:tcBorders>
              <w:top w:val="nil"/>
              <w:left w:val="nil"/>
              <w:bottom w:val="nil"/>
              <w:right w:val="nil"/>
            </w:tcBorders>
            <w:shd w:val="clear" w:color="auto" w:fill="309CC8" w:themeFill="accent1"/>
          </w:tcPr>
          <w:p w14:paraId="0CADE364" w14:textId="77777777" w:rsidR="003668AC" w:rsidRPr="0087575C" w:rsidRDefault="003668AC" w:rsidP="00EF4045">
            <w:pPr>
              <w:pStyle w:val="TableText"/>
              <w:rPr>
                <w:b/>
                <w:color w:val="FFFFFF" w:themeColor="background1"/>
              </w:rPr>
            </w:pPr>
            <w:r w:rsidRPr="0087575C">
              <w:rPr>
                <w:b/>
                <w:color w:val="FFFFFF" w:themeColor="background1"/>
              </w:rPr>
              <w:t>Recommendation</w:t>
            </w:r>
          </w:p>
        </w:tc>
        <w:tc>
          <w:tcPr>
            <w:tcW w:w="3893" w:type="dxa"/>
            <w:gridSpan w:val="2"/>
            <w:tcBorders>
              <w:top w:val="nil"/>
              <w:left w:val="nil"/>
              <w:bottom w:val="nil"/>
              <w:right w:val="nil"/>
            </w:tcBorders>
            <w:shd w:val="clear" w:color="auto" w:fill="309CC8" w:themeFill="accent1"/>
          </w:tcPr>
          <w:p w14:paraId="5C8E5BE7" w14:textId="77777777" w:rsidR="003668AC" w:rsidRDefault="003668AC" w:rsidP="00EF4045">
            <w:pPr>
              <w:pStyle w:val="TableText"/>
              <w:rPr>
                <w:b/>
                <w:color w:val="FFFFFF" w:themeColor="background1"/>
              </w:rPr>
            </w:pPr>
            <w:r w:rsidRPr="0087575C">
              <w:rPr>
                <w:b/>
                <w:color w:val="FFFFFF" w:themeColor="background1"/>
              </w:rPr>
              <w:t>Economic efficiency</w:t>
            </w:r>
          </w:p>
          <w:p w14:paraId="05F933FF" w14:textId="70CA1E1F" w:rsidR="003668AC" w:rsidRPr="003668AC" w:rsidRDefault="003668AC" w:rsidP="003668AC">
            <w:pPr>
              <w:pStyle w:val="TableText"/>
              <w:rPr>
                <w:b/>
                <w:color w:val="FFFFFF" w:themeColor="background1"/>
              </w:rPr>
            </w:pPr>
            <w:r>
              <w:rPr>
                <w:b/>
                <w:color w:val="FFFFFF" w:themeColor="background1"/>
              </w:rPr>
              <w:t>Benefits</w:t>
            </w:r>
            <w:r w:rsidRPr="003668AC">
              <w:rPr>
                <w:b/>
                <w:color w:val="FFFFFF" w:themeColor="background1"/>
              </w:rPr>
              <w:tab/>
            </w:r>
            <w:r w:rsidRPr="003668AC">
              <w:rPr>
                <w:b/>
                <w:color w:val="FFFFFF" w:themeColor="background1"/>
              </w:rPr>
              <w:tab/>
            </w:r>
            <w:r w:rsidRPr="003668AC">
              <w:rPr>
                <w:b/>
                <w:color w:val="FFFFFF" w:themeColor="background1"/>
              </w:rPr>
              <w:tab/>
            </w:r>
            <w:r>
              <w:rPr>
                <w:b/>
                <w:color w:val="FFFFFF" w:themeColor="background1"/>
              </w:rPr>
              <w:t xml:space="preserve">  </w:t>
            </w:r>
            <w:r w:rsidRPr="003668AC">
              <w:rPr>
                <w:b/>
                <w:color w:val="FFFFFF" w:themeColor="background1"/>
              </w:rPr>
              <w:t>Costs</w:t>
            </w:r>
          </w:p>
        </w:tc>
        <w:tc>
          <w:tcPr>
            <w:tcW w:w="2268" w:type="dxa"/>
            <w:tcBorders>
              <w:top w:val="nil"/>
              <w:left w:val="nil"/>
              <w:bottom w:val="nil"/>
              <w:right w:val="nil"/>
            </w:tcBorders>
            <w:shd w:val="clear" w:color="auto" w:fill="309CC8" w:themeFill="accent1"/>
          </w:tcPr>
          <w:p w14:paraId="444C67BF" w14:textId="77777777" w:rsidR="003668AC" w:rsidRPr="0087575C" w:rsidRDefault="003668AC" w:rsidP="00EF4045">
            <w:pPr>
              <w:pStyle w:val="TableText"/>
              <w:rPr>
                <w:b/>
                <w:color w:val="FFFFFF" w:themeColor="background1"/>
              </w:rPr>
            </w:pPr>
            <w:r w:rsidRPr="0087575C">
              <w:rPr>
                <w:b/>
                <w:color w:val="FFFFFF" w:themeColor="background1"/>
              </w:rPr>
              <w:t>Environmental effectiveness</w:t>
            </w:r>
          </w:p>
        </w:tc>
        <w:tc>
          <w:tcPr>
            <w:tcW w:w="2268" w:type="dxa"/>
            <w:tcBorders>
              <w:top w:val="nil"/>
              <w:left w:val="nil"/>
              <w:bottom w:val="nil"/>
              <w:right w:val="nil"/>
            </w:tcBorders>
            <w:shd w:val="clear" w:color="auto" w:fill="309CC8" w:themeFill="accent1"/>
          </w:tcPr>
          <w:p w14:paraId="4234E75F" w14:textId="77777777" w:rsidR="003668AC" w:rsidRPr="0087575C" w:rsidRDefault="003668AC" w:rsidP="00EF4045">
            <w:pPr>
              <w:pStyle w:val="TableText"/>
              <w:rPr>
                <w:b/>
                <w:color w:val="FFFFFF" w:themeColor="background1"/>
              </w:rPr>
            </w:pPr>
            <w:r w:rsidRPr="0087575C">
              <w:rPr>
                <w:b/>
                <w:color w:val="FFFFFF" w:themeColor="background1"/>
              </w:rPr>
              <w:t>Equity</w:t>
            </w:r>
          </w:p>
        </w:tc>
        <w:tc>
          <w:tcPr>
            <w:tcW w:w="2556" w:type="dxa"/>
            <w:tcBorders>
              <w:top w:val="nil"/>
              <w:left w:val="nil"/>
              <w:bottom w:val="nil"/>
              <w:right w:val="nil"/>
            </w:tcBorders>
            <w:shd w:val="clear" w:color="auto" w:fill="309CC8" w:themeFill="accent1"/>
          </w:tcPr>
          <w:p w14:paraId="029D1151" w14:textId="77777777" w:rsidR="003668AC" w:rsidRPr="0087575C" w:rsidRDefault="003668AC" w:rsidP="00EF4045">
            <w:pPr>
              <w:pStyle w:val="TableText"/>
              <w:rPr>
                <w:b/>
                <w:color w:val="FFFFFF" w:themeColor="background1"/>
              </w:rPr>
            </w:pPr>
            <w:r>
              <w:rPr>
                <w:b/>
                <w:color w:val="FFFFFF" w:themeColor="background1"/>
              </w:rPr>
              <w:t>Responsible agency and i</w:t>
            </w:r>
            <w:r w:rsidRPr="0087575C">
              <w:rPr>
                <w:b/>
                <w:color w:val="FFFFFF" w:themeColor="background1"/>
              </w:rPr>
              <w:t xml:space="preserve">mplementation process </w:t>
            </w:r>
          </w:p>
        </w:tc>
      </w:tr>
      <w:tr w:rsidR="00172423" w14:paraId="554BA2F5" w14:textId="77777777" w:rsidTr="003668AC">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Borders>
              <w:top w:val="nil"/>
            </w:tcBorders>
          </w:tcPr>
          <w:p w14:paraId="3C46CB73" w14:textId="77777777" w:rsidR="00172423" w:rsidRPr="002041E3" w:rsidRDefault="00172423" w:rsidP="00EF4045">
            <w:pPr>
              <w:rPr>
                <w:b/>
                <w:sz w:val="20"/>
                <w:szCs w:val="20"/>
              </w:rPr>
            </w:pPr>
            <w:r w:rsidRPr="002041E3">
              <w:rPr>
                <w:b/>
                <w:sz w:val="20"/>
                <w:szCs w:val="20"/>
              </w:rPr>
              <w:t>R.1</w:t>
            </w:r>
          </w:p>
        </w:tc>
        <w:tc>
          <w:tcPr>
            <w:tcW w:w="2831" w:type="dxa"/>
            <w:tcBorders>
              <w:top w:val="nil"/>
            </w:tcBorders>
            <w:tcMar>
              <w:top w:w="57" w:type="dxa"/>
              <w:bottom w:w="57" w:type="dxa"/>
            </w:tcMar>
          </w:tcPr>
          <w:p w14:paraId="02F7DA2A" w14:textId="77777777" w:rsidR="00172423" w:rsidRPr="002041E3" w:rsidRDefault="00172423" w:rsidP="00EF4045">
            <w:pPr>
              <w:rPr>
                <w:sz w:val="20"/>
                <w:szCs w:val="20"/>
              </w:rPr>
            </w:pPr>
            <w:r w:rsidRPr="002041E3">
              <w:rPr>
                <w:sz w:val="20"/>
                <w:szCs w:val="20"/>
              </w:rPr>
              <w:t>Analyse opportunities for data sharing between the reporting scheme and the National Pollutant Inventory, the Petroleum and Other Fuels Reporting program and the Energy, Water and Environment Survey</w:t>
            </w:r>
          </w:p>
        </w:tc>
        <w:tc>
          <w:tcPr>
            <w:tcW w:w="1908" w:type="dxa"/>
            <w:tcBorders>
              <w:top w:val="nil"/>
            </w:tcBorders>
            <w:tcMar>
              <w:top w:w="57" w:type="dxa"/>
              <w:bottom w:w="57" w:type="dxa"/>
            </w:tcMar>
          </w:tcPr>
          <w:p w14:paraId="7979397F" w14:textId="77777777" w:rsidR="00172423" w:rsidRPr="002041E3" w:rsidRDefault="00172423" w:rsidP="00EF4045">
            <w:pPr>
              <w:rPr>
                <w:i/>
                <w:sz w:val="20"/>
                <w:szCs w:val="20"/>
              </w:rPr>
            </w:pPr>
            <w:r w:rsidRPr="005F33AA">
              <w:rPr>
                <w:i/>
                <w:sz w:val="20"/>
                <w:szCs w:val="20"/>
              </w:rPr>
              <w:t>Reduce</w:t>
            </w:r>
            <w:r w:rsidRPr="002041E3">
              <w:rPr>
                <w:i/>
                <w:sz w:val="20"/>
                <w:szCs w:val="20"/>
              </w:rPr>
              <w:t xml:space="preserve"> transaction costs</w:t>
            </w:r>
          </w:p>
          <w:p w14:paraId="3A9FBED7" w14:textId="77777777" w:rsidR="00172423" w:rsidRPr="002041E3" w:rsidRDefault="00172423" w:rsidP="00EF4045">
            <w:pPr>
              <w:rPr>
                <w:sz w:val="20"/>
                <w:szCs w:val="20"/>
              </w:rPr>
            </w:pPr>
            <w:r w:rsidRPr="002041E3">
              <w:rPr>
                <w:i/>
                <w:sz w:val="20"/>
                <w:szCs w:val="20"/>
              </w:rPr>
              <w:t>Reduce cost to Government of collecting information</w:t>
            </w:r>
          </w:p>
        </w:tc>
        <w:tc>
          <w:tcPr>
            <w:tcW w:w="1985" w:type="dxa"/>
            <w:tcBorders>
              <w:top w:val="nil"/>
            </w:tcBorders>
            <w:tcMar>
              <w:top w:w="57" w:type="dxa"/>
              <w:bottom w:w="57" w:type="dxa"/>
            </w:tcMar>
          </w:tcPr>
          <w:p w14:paraId="1D6918B2" w14:textId="77777777" w:rsidR="00172423" w:rsidRPr="002041E3" w:rsidRDefault="00172423" w:rsidP="00EF4045">
            <w:pPr>
              <w:rPr>
                <w:sz w:val="20"/>
                <w:szCs w:val="20"/>
              </w:rPr>
            </w:pPr>
            <w:r>
              <w:rPr>
                <w:sz w:val="20"/>
                <w:szCs w:val="20"/>
              </w:rPr>
              <w:t>C</w:t>
            </w:r>
            <w:r w:rsidRPr="002041E3">
              <w:rPr>
                <w:sz w:val="20"/>
                <w:szCs w:val="20"/>
              </w:rPr>
              <w:t>osts to Government of undertaking the analysis</w:t>
            </w:r>
          </w:p>
        </w:tc>
        <w:tc>
          <w:tcPr>
            <w:tcW w:w="2268" w:type="dxa"/>
            <w:tcBorders>
              <w:top w:val="nil"/>
            </w:tcBorders>
            <w:tcMar>
              <w:top w:w="57" w:type="dxa"/>
              <w:bottom w:w="57" w:type="dxa"/>
            </w:tcMar>
          </w:tcPr>
          <w:p w14:paraId="63E52F4A" w14:textId="77777777" w:rsidR="00172423" w:rsidRPr="002041E3" w:rsidRDefault="00172423" w:rsidP="00EF4045">
            <w:pPr>
              <w:rPr>
                <w:sz w:val="20"/>
                <w:szCs w:val="20"/>
              </w:rPr>
            </w:pPr>
            <w:r w:rsidRPr="002041E3">
              <w:rPr>
                <w:sz w:val="20"/>
                <w:szCs w:val="20"/>
              </w:rPr>
              <w:t>NA</w:t>
            </w:r>
          </w:p>
        </w:tc>
        <w:tc>
          <w:tcPr>
            <w:tcW w:w="2268" w:type="dxa"/>
            <w:tcBorders>
              <w:top w:val="nil"/>
            </w:tcBorders>
            <w:tcMar>
              <w:top w:w="57" w:type="dxa"/>
              <w:bottom w:w="57" w:type="dxa"/>
            </w:tcMar>
          </w:tcPr>
          <w:p w14:paraId="6A5426C9" w14:textId="77777777" w:rsidR="00172423" w:rsidRPr="002041E3" w:rsidRDefault="00172423" w:rsidP="00EF4045">
            <w:pPr>
              <w:rPr>
                <w:sz w:val="20"/>
                <w:szCs w:val="20"/>
              </w:rPr>
            </w:pPr>
            <w:r w:rsidRPr="002041E3">
              <w:rPr>
                <w:sz w:val="20"/>
                <w:szCs w:val="20"/>
              </w:rPr>
              <w:t>NA</w:t>
            </w:r>
          </w:p>
        </w:tc>
        <w:tc>
          <w:tcPr>
            <w:tcW w:w="2556" w:type="dxa"/>
            <w:tcBorders>
              <w:top w:val="nil"/>
            </w:tcBorders>
            <w:tcMar>
              <w:top w:w="57" w:type="dxa"/>
              <w:bottom w:w="57" w:type="dxa"/>
            </w:tcMar>
          </w:tcPr>
          <w:p w14:paraId="3960E55B" w14:textId="77777777" w:rsidR="00172423" w:rsidRPr="002041E3" w:rsidRDefault="00172423" w:rsidP="00EF4045">
            <w:pPr>
              <w:rPr>
                <w:sz w:val="20"/>
                <w:szCs w:val="20"/>
              </w:rPr>
            </w:pPr>
            <w:r w:rsidRPr="002041E3">
              <w:rPr>
                <w:sz w:val="20"/>
                <w:szCs w:val="20"/>
              </w:rPr>
              <w:t>Regulator, Department and Australian Bureau of Statistics</w:t>
            </w:r>
          </w:p>
        </w:tc>
      </w:tr>
      <w:tr w:rsidR="00172423" w14:paraId="5A93010E"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51B7751B" w14:textId="77777777" w:rsidR="00172423" w:rsidRPr="002041E3" w:rsidRDefault="00172423" w:rsidP="00EF4045">
            <w:pPr>
              <w:rPr>
                <w:b/>
                <w:sz w:val="20"/>
                <w:szCs w:val="20"/>
              </w:rPr>
            </w:pPr>
            <w:r w:rsidRPr="002041E3">
              <w:rPr>
                <w:b/>
                <w:sz w:val="20"/>
                <w:szCs w:val="20"/>
              </w:rPr>
              <w:t>R.2</w:t>
            </w:r>
          </w:p>
        </w:tc>
        <w:tc>
          <w:tcPr>
            <w:tcW w:w="2831" w:type="dxa"/>
            <w:tcMar>
              <w:top w:w="57" w:type="dxa"/>
              <w:bottom w:w="57" w:type="dxa"/>
            </w:tcMar>
          </w:tcPr>
          <w:p w14:paraId="0614806D" w14:textId="77777777" w:rsidR="00172423" w:rsidRPr="002041E3" w:rsidRDefault="00172423" w:rsidP="00EF4045">
            <w:pPr>
              <w:rPr>
                <w:sz w:val="20"/>
                <w:szCs w:val="20"/>
              </w:rPr>
            </w:pPr>
            <w:r w:rsidRPr="002041E3">
              <w:rPr>
                <w:sz w:val="20"/>
                <w:szCs w:val="20"/>
              </w:rPr>
              <w:t>Examine whether there are efficiency gains in having the Regulator administer the reporting for carbon neutral certification against the National Carbon Offset Standard</w:t>
            </w:r>
          </w:p>
        </w:tc>
        <w:tc>
          <w:tcPr>
            <w:tcW w:w="1908" w:type="dxa"/>
            <w:tcMar>
              <w:top w:w="57" w:type="dxa"/>
              <w:bottom w:w="57" w:type="dxa"/>
            </w:tcMar>
          </w:tcPr>
          <w:p w14:paraId="5B8F937D" w14:textId="77777777" w:rsidR="00172423" w:rsidRPr="002041E3" w:rsidRDefault="00172423" w:rsidP="00EF4045">
            <w:pPr>
              <w:rPr>
                <w:i/>
                <w:sz w:val="20"/>
                <w:szCs w:val="20"/>
              </w:rPr>
            </w:pPr>
            <w:r w:rsidRPr="002041E3">
              <w:rPr>
                <w:i/>
                <w:sz w:val="20"/>
                <w:szCs w:val="20"/>
              </w:rPr>
              <w:t xml:space="preserve">Reduce administrative costs to Department </w:t>
            </w:r>
          </w:p>
          <w:p w14:paraId="2E19FD99" w14:textId="77777777" w:rsidR="00172423" w:rsidRPr="002041E3" w:rsidRDefault="00172423" w:rsidP="00EF4045">
            <w:pPr>
              <w:rPr>
                <w:sz w:val="20"/>
                <w:szCs w:val="20"/>
              </w:rPr>
            </w:pPr>
            <w:r w:rsidRPr="002041E3">
              <w:rPr>
                <w:i/>
                <w:sz w:val="20"/>
                <w:szCs w:val="20"/>
              </w:rPr>
              <w:t xml:space="preserve">Reduce overall administrative costs </w:t>
            </w:r>
          </w:p>
        </w:tc>
        <w:tc>
          <w:tcPr>
            <w:tcW w:w="1985" w:type="dxa"/>
            <w:tcMar>
              <w:top w:w="57" w:type="dxa"/>
              <w:bottom w:w="57" w:type="dxa"/>
            </w:tcMar>
          </w:tcPr>
          <w:p w14:paraId="3622B298" w14:textId="77777777" w:rsidR="00172423" w:rsidRPr="002041E3" w:rsidRDefault="00172423" w:rsidP="00EF4045">
            <w:pPr>
              <w:rPr>
                <w:sz w:val="20"/>
                <w:szCs w:val="20"/>
              </w:rPr>
            </w:pPr>
            <w:r>
              <w:rPr>
                <w:sz w:val="20"/>
                <w:szCs w:val="20"/>
              </w:rPr>
              <w:t>C</w:t>
            </w:r>
            <w:r w:rsidRPr="002041E3">
              <w:rPr>
                <w:sz w:val="20"/>
                <w:szCs w:val="20"/>
              </w:rPr>
              <w:t>osts to Department of undertaking the analysis</w:t>
            </w:r>
          </w:p>
          <w:p w14:paraId="6C2A4D27" w14:textId="77777777" w:rsidR="00172423" w:rsidRPr="002041E3" w:rsidRDefault="00172423" w:rsidP="00EF4045">
            <w:pPr>
              <w:rPr>
                <w:i/>
                <w:sz w:val="20"/>
                <w:szCs w:val="20"/>
              </w:rPr>
            </w:pPr>
            <w:r w:rsidRPr="002041E3">
              <w:rPr>
                <w:i/>
                <w:sz w:val="20"/>
                <w:szCs w:val="20"/>
              </w:rPr>
              <w:t>Increase administrative costs to Regulator</w:t>
            </w:r>
          </w:p>
        </w:tc>
        <w:tc>
          <w:tcPr>
            <w:tcW w:w="2268" w:type="dxa"/>
            <w:tcMar>
              <w:top w:w="57" w:type="dxa"/>
              <w:bottom w:w="57" w:type="dxa"/>
            </w:tcMar>
          </w:tcPr>
          <w:p w14:paraId="2DDECC80" w14:textId="77777777" w:rsidR="00172423" w:rsidRPr="002041E3" w:rsidRDefault="00172423" w:rsidP="00EF4045">
            <w:pPr>
              <w:rPr>
                <w:i/>
                <w:sz w:val="20"/>
                <w:szCs w:val="20"/>
              </w:rPr>
            </w:pPr>
            <w:r w:rsidRPr="002041E3">
              <w:rPr>
                <w:i/>
                <w:sz w:val="20"/>
                <w:szCs w:val="20"/>
              </w:rPr>
              <w:t xml:space="preserve">Allows Departmental resources to be focused on expanding uptake of the Standard </w:t>
            </w:r>
          </w:p>
        </w:tc>
        <w:tc>
          <w:tcPr>
            <w:tcW w:w="2268" w:type="dxa"/>
            <w:tcMar>
              <w:top w:w="57" w:type="dxa"/>
              <w:bottom w:w="57" w:type="dxa"/>
            </w:tcMar>
          </w:tcPr>
          <w:p w14:paraId="575823BD" w14:textId="77777777" w:rsidR="00172423" w:rsidRPr="002041E3" w:rsidRDefault="00172423" w:rsidP="00EF4045">
            <w:pPr>
              <w:rPr>
                <w:sz w:val="20"/>
                <w:szCs w:val="20"/>
              </w:rPr>
            </w:pPr>
            <w:r w:rsidRPr="002041E3">
              <w:rPr>
                <w:sz w:val="20"/>
                <w:szCs w:val="20"/>
              </w:rPr>
              <w:t>NA</w:t>
            </w:r>
          </w:p>
        </w:tc>
        <w:tc>
          <w:tcPr>
            <w:tcW w:w="2556" w:type="dxa"/>
            <w:tcMar>
              <w:top w:w="57" w:type="dxa"/>
              <w:bottom w:w="57" w:type="dxa"/>
            </w:tcMar>
          </w:tcPr>
          <w:p w14:paraId="02039AFD" w14:textId="77777777" w:rsidR="001C6837" w:rsidRDefault="00172423" w:rsidP="00EF4045">
            <w:pPr>
              <w:rPr>
                <w:sz w:val="20"/>
                <w:szCs w:val="20"/>
              </w:rPr>
            </w:pPr>
            <w:r w:rsidRPr="002041E3">
              <w:rPr>
                <w:sz w:val="20"/>
                <w:szCs w:val="20"/>
              </w:rPr>
              <w:t>Department and Regulator</w:t>
            </w:r>
          </w:p>
          <w:p w14:paraId="6B5FF04F" w14:textId="650287F9" w:rsidR="00172423" w:rsidRPr="002041E3" w:rsidRDefault="001C6837" w:rsidP="001C6837">
            <w:pPr>
              <w:rPr>
                <w:sz w:val="20"/>
                <w:szCs w:val="20"/>
              </w:rPr>
            </w:pPr>
            <w:r>
              <w:rPr>
                <w:i/>
                <w:sz w:val="20"/>
                <w:szCs w:val="20"/>
              </w:rPr>
              <w:t>C</w:t>
            </w:r>
            <w:r w:rsidR="00172423" w:rsidRPr="002041E3">
              <w:rPr>
                <w:i/>
                <w:sz w:val="20"/>
                <w:szCs w:val="20"/>
              </w:rPr>
              <w:t>hange to legislati</w:t>
            </w:r>
            <w:r>
              <w:rPr>
                <w:i/>
                <w:sz w:val="20"/>
                <w:szCs w:val="20"/>
              </w:rPr>
              <w:t>on</w:t>
            </w:r>
          </w:p>
        </w:tc>
      </w:tr>
      <w:tr w:rsidR="00172423" w14:paraId="49A73C42"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549C67C0" w14:textId="77777777" w:rsidR="00172423" w:rsidRPr="002041E3" w:rsidRDefault="00172423" w:rsidP="00EF4045">
            <w:pPr>
              <w:rPr>
                <w:b/>
                <w:sz w:val="20"/>
                <w:szCs w:val="20"/>
              </w:rPr>
            </w:pPr>
            <w:r w:rsidRPr="002041E3">
              <w:rPr>
                <w:b/>
                <w:sz w:val="20"/>
                <w:szCs w:val="20"/>
              </w:rPr>
              <w:t>R.3</w:t>
            </w:r>
          </w:p>
        </w:tc>
        <w:tc>
          <w:tcPr>
            <w:tcW w:w="2831" w:type="dxa"/>
            <w:tcMar>
              <w:top w:w="57" w:type="dxa"/>
              <w:bottom w:w="57" w:type="dxa"/>
            </w:tcMar>
          </w:tcPr>
          <w:p w14:paraId="0F451FA6" w14:textId="77777777" w:rsidR="00172423" w:rsidRPr="002041E3" w:rsidRDefault="00172423" w:rsidP="00EF4045">
            <w:pPr>
              <w:rPr>
                <w:sz w:val="20"/>
                <w:szCs w:val="20"/>
              </w:rPr>
            </w:pPr>
            <w:r w:rsidRPr="002041E3">
              <w:rPr>
                <w:sz w:val="20"/>
                <w:szCs w:val="20"/>
              </w:rPr>
              <w:t>Align the compliance framework and administrative arrangements for the Carbon Offset and Reduction Scheme for International Aviation with those established under the National Greenhouse and Energy Reporting legislation</w:t>
            </w:r>
          </w:p>
        </w:tc>
        <w:tc>
          <w:tcPr>
            <w:tcW w:w="1908" w:type="dxa"/>
            <w:tcMar>
              <w:top w:w="57" w:type="dxa"/>
              <w:bottom w:w="57" w:type="dxa"/>
            </w:tcMar>
          </w:tcPr>
          <w:p w14:paraId="69DBD02F" w14:textId="77777777" w:rsidR="00172423" w:rsidRPr="002041E3" w:rsidRDefault="00172423" w:rsidP="00EF4045">
            <w:pPr>
              <w:rPr>
                <w:sz w:val="20"/>
                <w:szCs w:val="20"/>
              </w:rPr>
            </w:pPr>
            <w:r w:rsidRPr="002041E3">
              <w:rPr>
                <w:sz w:val="20"/>
                <w:szCs w:val="20"/>
              </w:rPr>
              <w:t xml:space="preserve">Reduce administrative costs to </w:t>
            </w:r>
            <w:r>
              <w:rPr>
                <w:sz w:val="20"/>
                <w:szCs w:val="20"/>
              </w:rPr>
              <w:t xml:space="preserve">industry and </w:t>
            </w:r>
            <w:r w:rsidRPr="002041E3">
              <w:rPr>
                <w:sz w:val="20"/>
                <w:szCs w:val="20"/>
              </w:rPr>
              <w:t>the Department of Infrastructure, Regional Development and Cities</w:t>
            </w:r>
          </w:p>
          <w:p w14:paraId="30CE93B6" w14:textId="77777777" w:rsidR="00172423" w:rsidRPr="002041E3" w:rsidRDefault="00172423" w:rsidP="00EF4045">
            <w:pPr>
              <w:rPr>
                <w:sz w:val="20"/>
                <w:szCs w:val="20"/>
              </w:rPr>
            </w:pPr>
            <w:r w:rsidRPr="002041E3">
              <w:rPr>
                <w:sz w:val="20"/>
                <w:szCs w:val="20"/>
              </w:rPr>
              <w:t>Reduce overall administrative costs</w:t>
            </w:r>
          </w:p>
        </w:tc>
        <w:tc>
          <w:tcPr>
            <w:tcW w:w="1985" w:type="dxa"/>
            <w:tcMar>
              <w:top w:w="57" w:type="dxa"/>
              <w:bottom w:w="57" w:type="dxa"/>
            </w:tcMar>
          </w:tcPr>
          <w:p w14:paraId="00057188" w14:textId="77777777" w:rsidR="00172423" w:rsidRPr="002041E3" w:rsidRDefault="00172423" w:rsidP="00EF4045">
            <w:pPr>
              <w:rPr>
                <w:sz w:val="20"/>
                <w:szCs w:val="20"/>
              </w:rPr>
            </w:pPr>
            <w:r w:rsidRPr="002041E3">
              <w:rPr>
                <w:sz w:val="20"/>
                <w:szCs w:val="20"/>
              </w:rPr>
              <w:t xml:space="preserve">Initial </w:t>
            </w:r>
            <w:r>
              <w:rPr>
                <w:sz w:val="20"/>
                <w:szCs w:val="20"/>
              </w:rPr>
              <w:t>alignment</w:t>
            </w:r>
            <w:r w:rsidRPr="002041E3">
              <w:rPr>
                <w:sz w:val="20"/>
                <w:szCs w:val="20"/>
              </w:rPr>
              <w:t xml:space="preserve"> costs </w:t>
            </w:r>
          </w:p>
        </w:tc>
        <w:tc>
          <w:tcPr>
            <w:tcW w:w="2268" w:type="dxa"/>
            <w:tcMar>
              <w:top w:w="57" w:type="dxa"/>
              <w:bottom w:w="57" w:type="dxa"/>
            </w:tcMar>
          </w:tcPr>
          <w:p w14:paraId="6BE11BA9" w14:textId="77777777" w:rsidR="00172423" w:rsidRPr="002041E3" w:rsidRDefault="00172423" w:rsidP="00EF4045">
            <w:pPr>
              <w:rPr>
                <w:sz w:val="20"/>
                <w:szCs w:val="20"/>
              </w:rPr>
            </w:pPr>
            <w:r w:rsidRPr="002041E3">
              <w:rPr>
                <w:sz w:val="20"/>
                <w:szCs w:val="20"/>
              </w:rPr>
              <w:t>Effective compliance with emissions reduction initiatives</w:t>
            </w:r>
          </w:p>
        </w:tc>
        <w:tc>
          <w:tcPr>
            <w:tcW w:w="2268" w:type="dxa"/>
            <w:tcMar>
              <w:top w:w="57" w:type="dxa"/>
              <w:bottom w:w="57" w:type="dxa"/>
            </w:tcMar>
          </w:tcPr>
          <w:p w14:paraId="35EF1783" w14:textId="77777777" w:rsidR="00172423" w:rsidRPr="002041E3" w:rsidRDefault="00172423" w:rsidP="00EF4045">
            <w:pPr>
              <w:rPr>
                <w:sz w:val="20"/>
                <w:szCs w:val="20"/>
              </w:rPr>
            </w:pPr>
            <w:r w:rsidRPr="002041E3">
              <w:rPr>
                <w:sz w:val="20"/>
                <w:szCs w:val="20"/>
              </w:rPr>
              <w:t>All participants in emissions reduction initiatives are subject to the same compliance framework</w:t>
            </w:r>
          </w:p>
        </w:tc>
        <w:tc>
          <w:tcPr>
            <w:tcW w:w="2556" w:type="dxa"/>
            <w:tcMar>
              <w:top w:w="57" w:type="dxa"/>
              <w:bottom w:w="57" w:type="dxa"/>
            </w:tcMar>
          </w:tcPr>
          <w:p w14:paraId="3065BA42" w14:textId="77777777" w:rsidR="00172423" w:rsidRPr="002041E3" w:rsidRDefault="00172423" w:rsidP="00EF4045">
            <w:pPr>
              <w:rPr>
                <w:sz w:val="20"/>
                <w:szCs w:val="20"/>
              </w:rPr>
            </w:pPr>
            <w:r w:rsidRPr="002041E3">
              <w:rPr>
                <w:sz w:val="20"/>
                <w:szCs w:val="20"/>
              </w:rPr>
              <w:t>Department of Infrastructure, Regional Development and Cities and the Regulator</w:t>
            </w:r>
          </w:p>
        </w:tc>
      </w:tr>
      <w:tr w:rsidR="00172423" w14:paraId="40D7EDA5"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2FBF985A" w14:textId="77777777" w:rsidR="00172423" w:rsidRPr="002041E3" w:rsidRDefault="00172423" w:rsidP="00EF4045">
            <w:pPr>
              <w:rPr>
                <w:b/>
                <w:sz w:val="20"/>
                <w:szCs w:val="20"/>
              </w:rPr>
            </w:pPr>
            <w:r w:rsidRPr="002041E3">
              <w:rPr>
                <w:b/>
                <w:sz w:val="20"/>
                <w:szCs w:val="20"/>
              </w:rPr>
              <w:t>R.4</w:t>
            </w:r>
          </w:p>
        </w:tc>
        <w:tc>
          <w:tcPr>
            <w:tcW w:w="2831" w:type="dxa"/>
            <w:tcMar>
              <w:top w:w="57" w:type="dxa"/>
              <w:bottom w:w="57" w:type="dxa"/>
            </w:tcMar>
          </w:tcPr>
          <w:p w14:paraId="64448F82" w14:textId="77777777" w:rsidR="00172423" w:rsidRPr="002041E3" w:rsidRDefault="00172423" w:rsidP="00EF4045">
            <w:pPr>
              <w:rPr>
                <w:sz w:val="20"/>
                <w:szCs w:val="20"/>
              </w:rPr>
            </w:pPr>
            <w:r w:rsidRPr="002041E3">
              <w:rPr>
                <w:sz w:val="20"/>
                <w:szCs w:val="20"/>
              </w:rPr>
              <w:t>Clarify what data is available and how it can be shared and used more efficiently</w:t>
            </w:r>
          </w:p>
        </w:tc>
        <w:tc>
          <w:tcPr>
            <w:tcW w:w="1908" w:type="dxa"/>
            <w:tcMar>
              <w:top w:w="57" w:type="dxa"/>
              <w:bottom w:w="57" w:type="dxa"/>
            </w:tcMar>
          </w:tcPr>
          <w:p w14:paraId="35424DC3" w14:textId="77777777" w:rsidR="00172423" w:rsidRPr="002041E3" w:rsidRDefault="00172423" w:rsidP="00EF4045">
            <w:pPr>
              <w:rPr>
                <w:sz w:val="20"/>
                <w:szCs w:val="20"/>
              </w:rPr>
            </w:pPr>
            <w:r w:rsidRPr="002041E3">
              <w:rPr>
                <w:sz w:val="20"/>
                <w:szCs w:val="20"/>
              </w:rPr>
              <w:t>Reduce transaction costs to industry associated with duplicative reporting</w:t>
            </w:r>
          </w:p>
          <w:p w14:paraId="4BADFC05" w14:textId="77777777" w:rsidR="00172423" w:rsidRPr="002041E3" w:rsidRDefault="00172423" w:rsidP="00EF4045">
            <w:pPr>
              <w:rPr>
                <w:sz w:val="20"/>
                <w:szCs w:val="20"/>
              </w:rPr>
            </w:pPr>
            <w:r w:rsidRPr="002041E3">
              <w:rPr>
                <w:sz w:val="20"/>
                <w:szCs w:val="20"/>
              </w:rPr>
              <w:t>Reduce cost to governments of collecting information</w:t>
            </w:r>
          </w:p>
        </w:tc>
        <w:tc>
          <w:tcPr>
            <w:tcW w:w="1985" w:type="dxa"/>
            <w:tcMar>
              <w:top w:w="57" w:type="dxa"/>
              <w:bottom w:w="57" w:type="dxa"/>
            </w:tcMar>
          </w:tcPr>
          <w:p w14:paraId="6CAA1EE9" w14:textId="77777777" w:rsidR="00172423" w:rsidRPr="002041E3" w:rsidRDefault="00172423" w:rsidP="00EF4045">
            <w:pPr>
              <w:rPr>
                <w:sz w:val="20"/>
                <w:szCs w:val="20"/>
              </w:rPr>
            </w:pPr>
            <w:r w:rsidRPr="002041E3">
              <w:rPr>
                <w:sz w:val="20"/>
                <w:szCs w:val="20"/>
              </w:rPr>
              <w:t>Administrative costs to Regulator</w:t>
            </w:r>
          </w:p>
        </w:tc>
        <w:tc>
          <w:tcPr>
            <w:tcW w:w="2268" w:type="dxa"/>
            <w:tcMar>
              <w:top w:w="57" w:type="dxa"/>
              <w:bottom w:w="57" w:type="dxa"/>
            </w:tcMar>
          </w:tcPr>
          <w:p w14:paraId="5570BB57" w14:textId="77777777" w:rsidR="00172423" w:rsidRPr="002041E3" w:rsidRDefault="00172423" w:rsidP="00EF4045">
            <w:pPr>
              <w:rPr>
                <w:sz w:val="20"/>
                <w:szCs w:val="20"/>
              </w:rPr>
            </w:pPr>
            <w:r w:rsidRPr="002041E3">
              <w:rPr>
                <w:sz w:val="20"/>
                <w:szCs w:val="20"/>
              </w:rPr>
              <w:t>Enable greater use of data for policy making</w:t>
            </w:r>
          </w:p>
        </w:tc>
        <w:tc>
          <w:tcPr>
            <w:tcW w:w="2268" w:type="dxa"/>
            <w:tcMar>
              <w:top w:w="57" w:type="dxa"/>
              <w:bottom w:w="57" w:type="dxa"/>
            </w:tcMar>
          </w:tcPr>
          <w:p w14:paraId="60CFEB9E" w14:textId="77777777" w:rsidR="00172423" w:rsidRPr="002041E3" w:rsidRDefault="00172423" w:rsidP="00EF4045">
            <w:pPr>
              <w:rPr>
                <w:sz w:val="20"/>
                <w:szCs w:val="20"/>
              </w:rPr>
            </w:pPr>
            <w:r w:rsidRPr="002041E3">
              <w:rPr>
                <w:sz w:val="20"/>
                <w:szCs w:val="20"/>
              </w:rPr>
              <w:t>All governments have access to data</w:t>
            </w:r>
          </w:p>
        </w:tc>
        <w:tc>
          <w:tcPr>
            <w:tcW w:w="2556" w:type="dxa"/>
            <w:tcMar>
              <w:top w:w="57" w:type="dxa"/>
              <w:bottom w:w="57" w:type="dxa"/>
            </w:tcMar>
          </w:tcPr>
          <w:p w14:paraId="238F05A2" w14:textId="77777777" w:rsidR="00172423" w:rsidRPr="002041E3" w:rsidRDefault="00172423" w:rsidP="00EF4045">
            <w:pPr>
              <w:rPr>
                <w:sz w:val="20"/>
                <w:szCs w:val="20"/>
              </w:rPr>
            </w:pPr>
            <w:r w:rsidRPr="002041E3">
              <w:rPr>
                <w:sz w:val="20"/>
                <w:szCs w:val="20"/>
              </w:rPr>
              <w:t>Regulator and state and territory governments</w:t>
            </w:r>
          </w:p>
        </w:tc>
      </w:tr>
      <w:tr w:rsidR="00172423" w14:paraId="7D54B851"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36C4ABF5" w14:textId="77777777" w:rsidR="00172423" w:rsidRPr="002041E3" w:rsidRDefault="00172423" w:rsidP="00EF4045">
            <w:pPr>
              <w:rPr>
                <w:b/>
                <w:sz w:val="20"/>
                <w:szCs w:val="20"/>
              </w:rPr>
            </w:pPr>
            <w:r w:rsidRPr="002041E3">
              <w:rPr>
                <w:b/>
                <w:sz w:val="20"/>
                <w:szCs w:val="20"/>
              </w:rPr>
              <w:t>R.5</w:t>
            </w:r>
          </w:p>
        </w:tc>
        <w:tc>
          <w:tcPr>
            <w:tcW w:w="2831" w:type="dxa"/>
            <w:tcMar>
              <w:top w:w="57" w:type="dxa"/>
              <w:bottom w:w="57" w:type="dxa"/>
            </w:tcMar>
          </w:tcPr>
          <w:p w14:paraId="3205A7C0" w14:textId="77777777" w:rsidR="00172423" w:rsidRPr="002041E3" w:rsidRDefault="00172423" w:rsidP="00EF4045">
            <w:pPr>
              <w:rPr>
                <w:sz w:val="20"/>
                <w:szCs w:val="20"/>
              </w:rPr>
            </w:pPr>
            <w:r>
              <w:rPr>
                <w:sz w:val="20"/>
                <w:szCs w:val="20"/>
              </w:rPr>
              <w:t>Progress</w:t>
            </w:r>
            <w:r w:rsidRPr="002041E3">
              <w:rPr>
                <w:sz w:val="20"/>
                <w:szCs w:val="20"/>
              </w:rPr>
              <w:t xml:space="preserve"> developments to the Emissions and Energy Reporting System including for uploading and downloading data and greater use of pre-fill data</w:t>
            </w:r>
          </w:p>
        </w:tc>
        <w:tc>
          <w:tcPr>
            <w:tcW w:w="1908" w:type="dxa"/>
            <w:tcMar>
              <w:top w:w="57" w:type="dxa"/>
              <w:bottom w:w="57" w:type="dxa"/>
            </w:tcMar>
          </w:tcPr>
          <w:p w14:paraId="1E01511C" w14:textId="77777777" w:rsidR="00172423" w:rsidRPr="003C10D5" w:rsidRDefault="00172423" w:rsidP="00EF4045">
            <w:pPr>
              <w:rPr>
                <w:sz w:val="20"/>
                <w:szCs w:val="20"/>
              </w:rPr>
            </w:pPr>
            <w:r w:rsidRPr="003C10D5">
              <w:rPr>
                <w:sz w:val="20"/>
                <w:szCs w:val="20"/>
              </w:rPr>
              <w:t>Reduce</w:t>
            </w:r>
            <w:r>
              <w:rPr>
                <w:sz w:val="20"/>
                <w:szCs w:val="20"/>
              </w:rPr>
              <w:t xml:space="preserve"> </w:t>
            </w:r>
            <w:r w:rsidRPr="003C10D5">
              <w:rPr>
                <w:sz w:val="20"/>
                <w:szCs w:val="20"/>
              </w:rPr>
              <w:t>transaction costs to industry and improve data quality</w:t>
            </w:r>
          </w:p>
          <w:p w14:paraId="33916947" w14:textId="77777777" w:rsidR="00172423" w:rsidRPr="002041E3" w:rsidRDefault="00172423" w:rsidP="00EF4045">
            <w:pPr>
              <w:rPr>
                <w:i/>
                <w:sz w:val="20"/>
                <w:szCs w:val="20"/>
              </w:rPr>
            </w:pPr>
            <w:r w:rsidRPr="003C10D5">
              <w:rPr>
                <w:sz w:val="20"/>
                <w:szCs w:val="20"/>
              </w:rPr>
              <w:t>Reduce overall administrative costs to Regulator</w:t>
            </w:r>
          </w:p>
        </w:tc>
        <w:tc>
          <w:tcPr>
            <w:tcW w:w="1985" w:type="dxa"/>
            <w:tcMar>
              <w:top w:w="57" w:type="dxa"/>
              <w:bottom w:w="57" w:type="dxa"/>
            </w:tcMar>
          </w:tcPr>
          <w:p w14:paraId="6C8094EB" w14:textId="77777777" w:rsidR="00172423" w:rsidRPr="002041E3" w:rsidRDefault="00172423" w:rsidP="00EF4045">
            <w:pPr>
              <w:rPr>
                <w:sz w:val="20"/>
                <w:szCs w:val="20"/>
              </w:rPr>
            </w:pPr>
            <w:r w:rsidRPr="002041E3">
              <w:rPr>
                <w:sz w:val="20"/>
                <w:szCs w:val="20"/>
              </w:rPr>
              <w:t>Administrative costs to Regulator in short</w:t>
            </w:r>
            <w:r>
              <w:rPr>
                <w:sz w:val="20"/>
                <w:szCs w:val="20"/>
              </w:rPr>
              <w:t xml:space="preserve"> </w:t>
            </w:r>
            <w:r w:rsidRPr="002041E3">
              <w:rPr>
                <w:sz w:val="20"/>
                <w:szCs w:val="20"/>
              </w:rPr>
              <w:t>term</w:t>
            </w:r>
          </w:p>
        </w:tc>
        <w:tc>
          <w:tcPr>
            <w:tcW w:w="2268" w:type="dxa"/>
            <w:tcMar>
              <w:top w:w="57" w:type="dxa"/>
              <w:bottom w:w="57" w:type="dxa"/>
            </w:tcMar>
          </w:tcPr>
          <w:p w14:paraId="1BDDEA31" w14:textId="77777777" w:rsidR="00172423" w:rsidRPr="003C10D5" w:rsidRDefault="00172423" w:rsidP="00EF4045">
            <w:pPr>
              <w:rPr>
                <w:sz w:val="20"/>
                <w:szCs w:val="20"/>
              </w:rPr>
            </w:pPr>
            <w:r w:rsidRPr="003C10D5">
              <w:rPr>
                <w:sz w:val="20"/>
                <w:szCs w:val="20"/>
              </w:rPr>
              <w:t>Improve data quality for use by policy makers</w:t>
            </w:r>
          </w:p>
        </w:tc>
        <w:tc>
          <w:tcPr>
            <w:tcW w:w="2268" w:type="dxa"/>
            <w:tcMar>
              <w:top w:w="57" w:type="dxa"/>
              <w:bottom w:w="57" w:type="dxa"/>
            </w:tcMar>
          </w:tcPr>
          <w:p w14:paraId="2B6E2627" w14:textId="77777777" w:rsidR="00172423" w:rsidRPr="002041E3" w:rsidRDefault="00172423" w:rsidP="00EF4045">
            <w:pPr>
              <w:rPr>
                <w:sz w:val="20"/>
                <w:szCs w:val="20"/>
              </w:rPr>
            </w:pPr>
            <w:r w:rsidRPr="002041E3">
              <w:rPr>
                <w:sz w:val="20"/>
                <w:szCs w:val="20"/>
              </w:rPr>
              <w:t>NA</w:t>
            </w:r>
          </w:p>
        </w:tc>
        <w:tc>
          <w:tcPr>
            <w:tcW w:w="2556" w:type="dxa"/>
            <w:tcMar>
              <w:top w:w="57" w:type="dxa"/>
              <w:bottom w:w="57" w:type="dxa"/>
            </w:tcMar>
          </w:tcPr>
          <w:p w14:paraId="3BBA8387" w14:textId="77777777" w:rsidR="00172423" w:rsidRPr="002041E3" w:rsidRDefault="00172423" w:rsidP="00EF4045">
            <w:pPr>
              <w:rPr>
                <w:sz w:val="20"/>
                <w:szCs w:val="20"/>
              </w:rPr>
            </w:pPr>
            <w:r w:rsidRPr="002041E3">
              <w:rPr>
                <w:sz w:val="20"/>
                <w:szCs w:val="20"/>
              </w:rPr>
              <w:t>Regulator</w:t>
            </w:r>
          </w:p>
        </w:tc>
      </w:tr>
      <w:tr w:rsidR="00172423" w14:paraId="1D209000"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362FF94E" w14:textId="77777777" w:rsidR="00172423" w:rsidRPr="00413C64" w:rsidRDefault="00172423" w:rsidP="00EF4045">
            <w:pPr>
              <w:rPr>
                <w:b/>
                <w:sz w:val="20"/>
                <w:szCs w:val="20"/>
              </w:rPr>
            </w:pPr>
            <w:r w:rsidRPr="00413C64">
              <w:rPr>
                <w:b/>
                <w:sz w:val="20"/>
                <w:szCs w:val="20"/>
              </w:rPr>
              <w:t>R.6</w:t>
            </w:r>
          </w:p>
        </w:tc>
        <w:tc>
          <w:tcPr>
            <w:tcW w:w="2831" w:type="dxa"/>
            <w:tcMar>
              <w:top w:w="57" w:type="dxa"/>
              <w:bottom w:w="57" w:type="dxa"/>
            </w:tcMar>
          </w:tcPr>
          <w:p w14:paraId="697C052B" w14:textId="77777777" w:rsidR="00172423" w:rsidRPr="00413C64" w:rsidRDefault="00172423" w:rsidP="00EF4045">
            <w:pPr>
              <w:rPr>
                <w:sz w:val="20"/>
                <w:szCs w:val="20"/>
              </w:rPr>
            </w:pPr>
            <w:r w:rsidRPr="00413C64">
              <w:rPr>
                <w:sz w:val="20"/>
                <w:szCs w:val="20"/>
              </w:rPr>
              <w:t>Continue to develop the long</w:t>
            </w:r>
            <w:r w:rsidRPr="00413C64">
              <w:rPr>
                <w:sz w:val="20"/>
                <w:szCs w:val="20"/>
              </w:rPr>
              <w:noBreakHyphen/>
              <w:t>term information technology systems roadmap to increase opportunities for data sharing and consider the benefits and costs of developing a common reporting portal for existing and future energy and emissions reporting schemes</w:t>
            </w:r>
          </w:p>
        </w:tc>
        <w:tc>
          <w:tcPr>
            <w:tcW w:w="1908" w:type="dxa"/>
            <w:tcMar>
              <w:top w:w="57" w:type="dxa"/>
              <w:bottom w:w="57" w:type="dxa"/>
            </w:tcMar>
          </w:tcPr>
          <w:p w14:paraId="55DF28AC" w14:textId="77777777" w:rsidR="00172423" w:rsidRPr="00413C64" w:rsidRDefault="00172423" w:rsidP="00EF4045">
            <w:pPr>
              <w:rPr>
                <w:i/>
                <w:sz w:val="20"/>
                <w:szCs w:val="20"/>
              </w:rPr>
            </w:pPr>
            <w:r w:rsidRPr="00413C64">
              <w:rPr>
                <w:i/>
                <w:sz w:val="20"/>
                <w:szCs w:val="20"/>
              </w:rPr>
              <w:t>Reduce costs to industry and Government overall and improve data quality</w:t>
            </w:r>
          </w:p>
        </w:tc>
        <w:tc>
          <w:tcPr>
            <w:tcW w:w="1985" w:type="dxa"/>
            <w:tcMar>
              <w:top w:w="57" w:type="dxa"/>
              <w:bottom w:w="57" w:type="dxa"/>
            </w:tcMar>
          </w:tcPr>
          <w:p w14:paraId="6D283775" w14:textId="77777777" w:rsidR="00172423" w:rsidRPr="00413C64" w:rsidRDefault="00172423" w:rsidP="00EF4045">
            <w:pPr>
              <w:rPr>
                <w:sz w:val="20"/>
                <w:szCs w:val="20"/>
              </w:rPr>
            </w:pPr>
            <w:r w:rsidRPr="00413C64">
              <w:rPr>
                <w:sz w:val="20"/>
                <w:szCs w:val="20"/>
              </w:rPr>
              <w:t>Administrative costs to Regulator</w:t>
            </w:r>
          </w:p>
        </w:tc>
        <w:tc>
          <w:tcPr>
            <w:tcW w:w="2268" w:type="dxa"/>
            <w:tcMar>
              <w:top w:w="57" w:type="dxa"/>
              <w:bottom w:w="57" w:type="dxa"/>
            </w:tcMar>
          </w:tcPr>
          <w:p w14:paraId="3AE46FB3" w14:textId="77777777" w:rsidR="00172423" w:rsidRPr="00413C64" w:rsidRDefault="00172423" w:rsidP="00EF4045">
            <w:pPr>
              <w:rPr>
                <w:i/>
                <w:sz w:val="20"/>
                <w:szCs w:val="20"/>
              </w:rPr>
            </w:pPr>
            <w:r w:rsidRPr="00413C64">
              <w:rPr>
                <w:i/>
                <w:sz w:val="20"/>
                <w:szCs w:val="20"/>
              </w:rPr>
              <w:t>Enable greater use of data for policy making</w:t>
            </w:r>
          </w:p>
        </w:tc>
        <w:tc>
          <w:tcPr>
            <w:tcW w:w="2268" w:type="dxa"/>
            <w:tcMar>
              <w:top w:w="57" w:type="dxa"/>
              <w:bottom w:w="57" w:type="dxa"/>
            </w:tcMar>
          </w:tcPr>
          <w:p w14:paraId="689E0AF4" w14:textId="77777777" w:rsidR="00172423" w:rsidRPr="00413C64" w:rsidRDefault="00172423" w:rsidP="00EF4045">
            <w:pPr>
              <w:rPr>
                <w:sz w:val="20"/>
                <w:szCs w:val="20"/>
              </w:rPr>
            </w:pPr>
            <w:r w:rsidRPr="00413C64">
              <w:rPr>
                <w:sz w:val="20"/>
                <w:szCs w:val="20"/>
              </w:rPr>
              <w:t>NA</w:t>
            </w:r>
          </w:p>
        </w:tc>
        <w:tc>
          <w:tcPr>
            <w:tcW w:w="2556" w:type="dxa"/>
            <w:tcMar>
              <w:top w:w="57" w:type="dxa"/>
              <w:bottom w:w="57" w:type="dxa"/>
            </w:tcMar>
          </w:tcPr>
          <w:p w14:paraId="1217262F" w14:textId="77777777" w:rsidR="00172423" w:rsidRPr="002041E3" w:rsidRDefault="00172423" w:rsidP="00EF4045">
            <w:pPr>
              <w:rPr>
                <w:sz w:val="20"/>
                <w:szCs w:val="20"/>
              </w:rPr>
            </w:pPr>
            <w:r w:rsidRPr="00413C64">
              <w:rPr>
                <w:sz w:val="20"/>
                <w:szCs w:val="20"/>
              </w:rPr>
              <w:t>Regulator and other administrators such as the Department</w:t>
            </w:r>
            <w:r w:rsidRPr="002041E3">
              <w:rPr>
                <w:sz w:val="20"/>
                <w:szCs w:val="20"/>
              </w:rPr>
              <w:t xml:space="preserve"> </w:t>
            </w:r>
          </w:p>
        </w:tc>
      </w:tr>
      <w:tr w:rsidR="00172423" w14:paraId="06D06BF4"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054108F3" w14:textId="77777777" w:rsidR="00172423" w:rsidRPr="002041E3" w:rsidRDefault="00172423" w:rsidP="00EF4045">
            <w:pPr>
              <w:rPr>
                <w:b/>
                <w:sz w:val="20"/>
                <w:szCs w:val="20"/>
              </w:rPr>
            </w:pPr>
            <w:r w:rsidRPr="002041E3">
              <w:rPr>
                <w:b/>
                <w:sz w:val="20"/>
                <w:szCs w:val="20"/>
              </w:rPr>
              <w:t>R.7</w:t>
            </w:r>
          </w:p>
        </w:tc>
        <w:tc>
          <w:tcPr>
            <w:tcW w:w="2831" w:type="dxa"/>
            <w:tcMar>
              <w:top w:w="57" w:type="dxa"/>
              <w:bottom w:w="57" w:type="dxa"/>
            </w:tcMar>
          </w:tcPr>
          <w:p w14:paraId="2B01078E" w14:textId="77777777" w:rsidR="00172423" w:rsidRPr="002041E3" w:rsidRDefault="00172423" w:rsidP="00EF4045">
            <w:pPr>
              <w:rPr>
                <w:sz w:val="20"/>
                <w:szCs w:val="20"/>
              </w:rPr>
            </w:pPr>
            <w:r w:rsidRPr="002041E3">
              <w:rPr>
                <w:sz w:val="20"/>
                <w:szCs w:val="20"/>
              </w:rPr>
              <w:t xml:space="preserve">Enhance the current process for implementing updates to the measurement determination by consulting earlier, increasing transparency and better publicising changes  </w:t>
            </w:r>
          </w:p>
        </w:tc>
        <w:tc>
          <w:tcPr>
            <w:tcW w:w="1908" w:type="dxa"/>
            <w:tcMar>
              <w:top w:w="57" w:type="dxa"/>
              <w:bottom w:w="57" w:type="dxa"/>
            </w:tcMar>
          </w:tcPr>
          <w:p w14:paraId="618B8BAE" w14:textId="77777777" w:rsidR="00172423" w:rsidRPr="002041E3" w:rsidRDefault="00172423" w:rsidP="00EF4045">
            <w:pPr>
              <w:rPr>
                <w:sz w:val="20"/>
                <w:szCs w:val="20"/>
              </w:rPr>
            </w:pPr>
            <w:r w:rsidRPr="002041E3">
              <w:rPr>
                <w:sz w:val="20"/>
                <w:szCs w:val="20"/>
              </w:rPr>
              <w:t xml:space="preserve">Reduce transaction costs to industry through improved changes to the measurement determination </w:t>
            </w:r>
          </w:p>
        </w:tc>
        <w:tc>
          <w:tcPr>
            <w:tcW w:w="1985" w:type="dxa"/>
            <w:tcMar>
              <w:top w:w="57" w:type="dxa"/>
              <w:bottom w:w="57" w:type="dxa"/>
            </w:tcMar>
          </w:tcPr>
          <w:p w14:paraId="417A7BC9" w14:textId="77777777" w:rsidR="00172423" w:rsidRPr="002041E3" w:rsidRDefault="00172423" w:rsidP="00EF4045">
            <w:pPr>
              <w:rPr>
                <w:sz w:val="20"/>
                <w:szCs w:val="20"/>
              </w:rPr>
            </w:pPr>
            <w:r w:rsidRPr="002041E3">
              <w:rPr>
                <w:sz w:val="20"/>
                <w:szCs w:val="20"/>
              </w:rPr>
              <w:t>Increase administrative costs to Department</w:t>
            </w:r>
          </w:p>
        </w:tc>
        <w:tc>
          <w:tcPr>
            <w:tcW w:w="2268" w:type="dxa"/>
            <w:tcMar>
              <w:top w:w="57" w:type="dxa"/>
              <w:bottom w:w="57" w:type="dxa"/>
            </w:tcMar>
          </w:tcPr>
          <w:p w14:paraId="12EBA53D" w14:textId="77777777" w:rsidR="00172423" w:rsidRPr="002041E3" w:rsidRDefault="00172423" w:rsidP="00EF4045">
            <w:pPr>
              <w:rPr>
                <w:sz w:val="20"/>
                <w:szCs w:val="20"/>
              </w:rPr>
            </w:pPr>
            <w:r w:rsidRPr="002041E3">
              <w:rPr>
                <w:sz w:val="20"/>
                <w:szCs w:val="20"/>
              </w:rPr>
              <w:t xml:space="preserve">Improve the estimation of energy and emissions data </w:t>
            </w:r>
          </w:p>
        </w:tc>
        <w:tc>
          <w:tcPr>
            <w:tcW w:w="2268" w:type="dxa"/>
            <w:tcMar>
              <w:top w:w="57" w:type="dxa"/>
              <w:bottom w:w="57" w:type="dxa"/>
            </w:tcMar>
          </w:tcPr>
          <w:p w14:paraId="752ED91E" w14:textId="77777777" w:rsidR="00172423" w:rsidRPr="002041E3" w:rsidRDefault="00172423" w:rsidP="00EF4045">
            <w:pPr>
              <w:rPr>
                <w:sz w:val="20"/>
                <w:szCs w:val="20"/>
              </w:rPr>
            </w:pPr>
            <w:r w:rsidRPr="002041E3">
              <w:rPr>
                <w:sz w:val="20"/>
                <w:szCs w:val="20"/>
              </w:rPr>
              <w:t>Increase transparency and opportunity for stakeholder issues to be addressed</w:t>
            </w:r>
          </w:p>
        </w:tc>
        <w:tc>
          <w:tcPr>
            <w:tcW w:w="2556" w:type="dxa"/>
            <w:tcMar>
              <w:top w:w="57" w:type="dxa"/>
              <w:bottom w:w="57" w:type="dxa"/>
            </w:tcMar>
          </w:tcPr>
          <w:p w14:paraId="214C4A70" w14:textId="77777777" w:rsidR="00172423" w:rsidRPr="002041E3" w:rsidRDefault="00172423" w:rsidP="00EF4045">
            <w:pPr>
              <w:rPr>
                <w:sz w:val="20"/>
                <w:szCs w:val="20"/>
              </w:rPr>
            </w:pPr>
            <w:r w:rsidRPr="002041E3">
              <w:rPr>
                <w:sz w:val="20"/>
                <w:szCs w:val="20"/>
              </w:rPr>
              <w:t>Department and Regulator</w:t>
            </w:r>
          </w:p>
        </w:tc>
      </w:tr>
      <w:tr w:rsidR="00172423" w14:paraId="5BE897A3"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04CA2B23" w14:textId="77777777" w:rsidR="00172423" w:rsidRPr="002041E3" w:rsidRDefault="00172423" w:rsidP="00EF4045">
            <w:pPr>
              <w:rPr>
                <w:b/>
                <w:sz w:val="20"/>
                <w:szCs w:val="20"/>
              </w:rPr>
            </w:pPr>
            <w:r w:rsidRPr="002041E3">
              <w:rPr>
                <w:b/>
                <w:sz w:val="20"/>
                <w:szCs w:val="20"/>
              </w:rPr>
              <w:t>R.8</w:t>
            </w:r>
          </w:p>
        </w:tc>
        <w:tc>
          <w:tcPr>
            <w:tcW w:w="2831" w:type="dxa"/>
            <w:tcMar>
              <w:top w:w="57" w:type="dxa"/>
              <w:bottom w:w="57" w:type="dxa"/>
            </w:tcMar>
          </w:tcPr>
          <w:p w14:paraId="5AE599BB" w14:textId="77777777" w:rsidR="00172423" w:rsidRPr="002041E3" w:rsidRDefault="00172423" w:rsidP="00EF4045">
            <w:pPr>
              <w:rPr>
                <w:sz w:val="20"/>
                <w:szCs w:val="20"/>
              </w:rPr>
            </w:pPr>
            <w:r w:rsidRPr="002041E3">
              <w:rPr>
                <w:sz w:val="20"/>
                <w:szCs w:val="20"/>
              </w:rPr>
              <w:t>Enhance understanding among reporters and auditors about the existing provisions in the measurement determination that can reduce the costs of reporting on small sources of emissions and energy and systematically review these provisions</w:t>
            </w:r>
            <w:r>
              <w:rPr>
                <w:sz w:val="20"/>
                <w:szCs w:val="20"/>
              </w:rPr>
              <w:t xml:space="preserve"> and their administration</w:t>
            </w:r>
          </w:p>
        </w:tc>
        <w:tc>
          <w:tcPr>
            <w:tcW w:w="1908" w:type="dxa"/>
            <w:tcMar>
              <w:top w:w="57" w:type="dxa"/>
              <w:bottom w:w="57" w:type="dxa"/>
            </w:tcMar>
          </w:tcPr>
          <w:p w14:paraId="354787BB" w14:textId="77777777" w:rsidR="00172423" w:rsidRPr="002041E3" w:rsidRDefault="00172423" w:rsidP="00EF4045">
            <w:pPr>
              <w:rPr>
                <w:sz w:val="20"/>
                <w:szCs w:val="20"/>
              </w:rPr>
            </w:pPr>
            <w:r w:rsidRPr="002041E3">
              <w:rPr>
                <w:sz w:val="20"/>
                <w:szCs w:val="20"/>
              </w:rPr>
              <w:t>Reduce transaction costs to industry</w:t>
            </w:r>
          </w:p>
        </w:tc>
        <w:tc>
          <w:tcPr>
            <w:tcW w:w="1985" w:type="dxa"/>
            <w:tcMar>
              <w:top w:w="57" w:type="dxa"/>
              <w:bottom w:w="57" w:type="dxa"/>
            </w:tcMar>
          </w:tcPr>
          <w:p w14:paraId="142EE0E3" w14:textId="77777777" w:rsidR="00172423" w:rsidRPr="002041E3" w:rsidRDefault="00172423" w:rsidP="00EF4045">
            <w:pPr>
              <w:rPr>
                <w:sz w:val="20"/>
                <w:szCs w:val="20"/>
              </w:rPr>
            </w:pPr>
            <w:r w:rsidRPr="002041E3">
              <w:rPr>
                <w:sz w:val="20"/>
                <w:szCs w:val="20"/>
              </w:rPr>
              <w:t>Increase administrative costs to Regulator</w:t>
            </w:r>
          </w:p>
        </w:tc>
        <w:tc>
          <w:tcPr>
            <w:tcW w:w="2268" w:type="dxa"/>
            <w:tcMar>
              <w:top w:w="57" w:type="dxa"/>
              <w:bottom w:w="57" w:type="dxa"/>
            </w:tcMar>
          </w:tcPr>
          <w:p w14:paraId="657610AC" w14:textId="77777777" w:rsidR="00172423" w:rsidRPr="002041E3" w:rsidRDefault="00172423" w:rsidP="00EF4045">
            <w:pPr>
              <w:rPr>
                <w:sz w:val="20"/>
                <w:szCs w:val="20"/>
              </w:rPr>
            </w:pPr>
            <w:r w:rsidRPr="002041E3">
              <w:rPr>
                <w:sz w:val="20"/>
                <w:szCs w:val="20"/>
              </w:rPr>
              <w:t>NA</w:t>
            </w:r>
          </w:p>
        </w:tc>
        <w:tc>
          <w:tcPr>
            <w:tcW w:w="2268" w:type="dxa"/>
            <w:tcMar>
              <w:top w:w="57" w:type="dxa"/>
              <w:bottom w:w="57" w:type="dxa"/>
            </w:tcMar>
          </w:tcPr>
          <w:p w14:paraId="7D6A76C4" w14:textId="77777777" w:rsidR="00172423" w:rsidRPr="002041E3" w:rsidRDefault="00172423" w:rsidP="00EF4045">
            <w:pPr>
              <w:rPr>
                <w:sz w:val="20"/>
                <w:szCs w:val="20"/>
              </w:rPr>
            </w:pPr>
            <w:r w:rsidRPr="002041E3">
              <w:rPr>
                <w:sz w:val="20"/>
                <w:szCs w:val="20"/>
              </w:rPr>
              <w:t>NA</w:t>
            </w:r>
          </w:p>
        </w:tc>
        <w:tc>
          <w:tcPr>
            <w:tcW w:w="2556" w:type="dxa"/>
            <w:tcMar>
              <w:top w:w="57" w:type="dxa"/>
              <w:bottom w:w="57" w:type="dxa"/>
            </w:tcMar>
          </w:tcPr>
          <w:p w14:paraId="785B26B3" w14:textId="77777777" w:rsidR="00172423" w:rsidRPr="002041E3" w:rsidRDefault="00172423" w:rsidP="00EF4045">
            <w:pPr>
              <w:rPr>
                <w:sz w:val="20"/>
                <w:szCs w:val="20"/>
              </w:rPr>
            </w:pPr>
            <w:r w:rsidRPr="002041E3">
              <w:rPr>
                <w:sz w:val="20"/>
                <w:szCs w:val="20"/>
              </w:rPr>
              <w:t>Regulator and Department</w:t>
            </w:r>
          </w:p>
        </w:tc>
      </w:tr>
      <w:tr w:rsidR="00172423" w14:paraId="576E8246"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050E36BD" w14:textId="77777777" w:rsidR="00172423" w:rsidRPr="002041E3" w:rsidRDefault="00172423" w:rsidP="00EF4045">
            <w:pPr>
              <w:rPr>
                <w:b/>
                <w:sz w:val="20"/>
                <w:szCs w:val="20"/>
              </w:rPr>
            </w:pPr>
            <w:r w:rsidRPr="002041E3">
              <w:rPr>
                <w:b/>
                <w:sz w:val="20"/>
                <w:szCs w:val="20"/>
              </w:rPr>
              <w:t xml:space="preserve">R.9 </w:t>
            </w:r>
          </w:p>
        </w:tc>
        <w:tc>
          <w:tcPr>
            <w:tcW w:w="2831" w:type="dxa"/>
            <w:tcMar>
              <w:top w:w="57" w:type="dxa"/>
              <w:bottom w:w="57" w:type="dxa"/>
            </w:tcMar>
          </w:tcPr>
          <w:p w14:paraId="0D56A111" w14:textId="77777777" w:rsidR="00172423" w:rsidRPr="002041E3" w:rsidRDefault="00172423" w:rsidP="00EF4045">
            <w:pPr>
              <w:rPr>
                <w:sz w:val="20"/>
                <w:szCs w:val="20"/>
              </w:rPr>
            </w:pPr>
            <w:r w:rsidRPr="002041E3">
              <w:rPr>
                <w:sz w:val="20"/>
                <w:szCs w:val="20"/>
              </w:rPr>
              <w:t>Amend the measurement determination to include emissions from agricultural sources to allow voluntary reporting</w:t>
            </w:r>
          </w:p>
        </w:tc>
        <w:tc>
          <w:tcPr>
            <w:tcW w:w="1908" w:type="dxa"/>
            <w:tcMar>
              <w:top w:w="57" w:type="dxa"/>
              <w:bottom w:w="57" w:type="dxa"/>
            </w:tcMar>
          </w:tcPr>
          <w:p w14:paraId="4F6DC9B0" w14:textId="77777777" w:rsidR="00172423" w:rsidRPr="00FE7BD1" w:rsidRDefault="00172423" w:rsidP="00EF4045">
            <w:pPr>
              <w:rPr>
                <w:sz w:val="20"/>
                <w:szCs w:val="20"/>
              </w:rPr>
            </w:pPr>
            <w:r w:rsidRPr="009C2E56">
              <w:rPr>
                <w:sz w:val="20"/>
                <w:szCs w:val="20"/>
              </w:rPr>
              <w:t>Increase</w:t>
            </w:r>
            <w:r w:rsidRPr="009B07F3">
              <w:rPr>
                <w:sz w:val="20"/>
                <w:szCs w:val="20"/>
              </w:rPr>
              <w:t xml:space="preserve"> data </w:t>
            </w:r>
            <w:r w:rsidRPr="005E7760">
              <w:rPr>
                <w:sz w:val="20"/>
                <w:szCs w:val="20"/>
              </w:rPr>
              <w:t xml:space="preserve">and methods </w:t>
            </w:r>
            <w:r w:rsidRPr="00FE7BD1">
              <w:rPr>
                <w:sz w:val="20"/>
                <w:szCs w:val="20"/>
              </w:rPr>
              <w:t xml:space="preserve">availability and consistency in reporting </w:t>
            </w:r>
          </w:p>
        </w:tc>
        <w:tc>
          <w:tcPr>
            <w:tcW w:w="1985" w:type="dxa"/>
            <w:tcMar>
              <w:top w:w="57" w:type="dxa"/>
              <w:bottom w:w="57" w:type="dxa"/>
            </w:tcMar>
          </w:tcPr>
          <w:p w14:paraId="41DF4DD6" w14:textId="77777777" w:rsidR="00172423" w:rsidRPr="002041E3" w:rsidRDefault="00172423" w:rsidP="00EF4045">
            <w:pPr>
              <w:rPr>
                <w:sz w:val="20"/>
                <w:szCs w:val="20"/>
              </w:rPr>
            </w:pPr>
            <w:r w:rsidRPr="002041E3">
              <w:rPr>
                <w:sz w:val="20"/>
                <w:szCs w:val="20"/>
              </w:rPr>
              <w:t>Increase administrative costs to Department and Regulator</w:t>
            </w:r>
          </w:p>
          <w:p w14:paraId="2EB9EFF9" w14:textId="77777777" w:rsidR="00172423" w:rsidRDefault="00172423" w:rsidP="00EF4045">
            <w:pPr>
              <w:rPr>
                <w:sz w:val="20"/>
                <w:szCs w:val="20"/>
              </w:rPr>
            </w:pPr>
            <w:r w:rsidRPr="002041E3">
              <w:rPr>
                <w:sz w:val="20"/>
                <w:szCs w:val="20"/>
              </w:rPr>
              <w:t>Reduce transaction costs to industry of developing new measurement methods</w:t>
            </w:r>
          </w:p>
          <w:p w14:paraId="2E37E625" w14:textId="1576D971" w:rsidR="00172423" w:rsidRPr="002041E3" w:rsidRDefault="00172423" w:rsidP="00257416">
            <w:pPr>
              <w:rPr>
                <w:sz w:val="20"/>
                <w:szCs w:val="20"/>
              </w:rPr>
            </w:pPr>
            <w:r>
              <w:rPr>
                <w:sz w:val="20"/>
                <w:szCs w:val="20"/>
              </w:rPr>
              <w:t xml:space="preserve">Increase cost to industry </w:t>
            </w:r>
            <w:r w:rsidR="00257416">
              <w:rPr>
                <w:sz w:val="20"/>
                <w:szCs w:val="20"/>
              </w:rPr>
              <w:t>of</w:t>
            </w:r>
            <w:r>
              <w:rPr>
                <w:sz w:val="20"/>
                <w:szCs w:val="20"/>
              </w:rPr>
              <w:t xml:space="preserve"> greater reporting</w:t>
            </w:r>
          </w:p>
        </w:tc>
        <w:tc>
          <w:tcPr>
            <w:tcW w:w="2268" w:type="dxa"/>
            <w:tcMar>
              <w:top w:w="57" w:type="dxa"/>
              <w:bottom w:w="57" w:type="dxa"/>
            </w:tcMar>
          </w:tcPr>
          <w:p w14:paraId="3184E63E" w14:textId="77777777" w:rsidR="00172423" w:rsidRPr="00FE7BD1" w:rsidRDefault="00172423" w:rsidP="00EF4045">
            <w:pPr>
              <w:rPr>
                <w:sz w:val="20"/>
                <w:szCs w:val="20"/>
              </w:rPr>
            </w:pPr>
            <w:r w:rsidRPr="009B07F3">
              <w:rPr>
                <w:sz w:val="20"/>
                <w:szCs w:val="20"/>
              </w:rPr>
              <w:t xml:space="preserve">Increase data </w:t>
            </w:r>
            <w:r w:rsidRPr="005E7760">
              <w:rPr>
                <w:sz w:val="20"/>
                <w:szCs w:val="20"/>
              </w:rPr>
              <w:t xml:space="preserve">and methods </w:t>
            </w:r>
            <w:r w:rsidRPr="00FE7BD1">
              <w:rPr>
                <w:sz w:val="20"/>
                <w:szCs w:val="20"/>
              </w:rPr>
              <w:t>available for policy making and industry action</w:t>
            </w:r>
          </w:p>
        </w:tc>
        <w:tc>
          <w:tcPr>
            <w:tcW w:w="2268" w:type="dxa"/>
            <w:tcMar>
              <w:top w:w="57" w:type="dxa"/>
              <w:bottom w:w="57" w:type="dxa"/>
            </w:tcMar>
          </w:tcPr>
          <w:p w14:paraId="5281B954" w14:textId="77777777" w:rsidR="00172423" w:rsidRPr="00FE7BD1" w:rsidRDefault="00172423" w:rsidP="00EF4045">
            <w:pPr>
              <w:rPr>
                <w:sz w:val="20"/>
                <w:szCs w:val="20"/>
              </w:rPr>
            </w:pPr>
            <w:r w:rsidRPr="00FE7BD1">
              <w:rPr>
                <w:sz w:val="20"/>
                <w:szCs w:val="20"/>
              </w:rPr>
              <w:t>Increase transparency and improve consistency of reporting across all sectors of the economy</w:t>
            </w:r>
          </w:p>
        </w:tc>
        <w:tc>
          <w:tcPr>
            <w:tcW w:w="2556" w:type="dxa"/>
            <w:tcMar>
              <w:top w:w="57" w:type="dxa"/>
              <w:bottom w:w="57" w:type="dxa"/>
            </w:tcMar>
          </w:tcPr>
          <w:p w14:paraId="55AFBF6E" w14:textId="77777777" w:rsidR="00172423" w:rsidRDefault="00172423" w:rsidP="00EF4045">
            <w:pPr>
              <w:rPr>
                <w:sz w:val="20"/>
                <w:szCs w:val="20"/>
              </w:rPr>
            </w:pPr>
            <w:r w:rsidRPr="002041E3">
              <w:rPr>
                <w:sz w:val="20"/>
                <w:szCs w:val="20"/>
              </w:rPr>
              <w:t>Department</w:t>
            </w:r>
          </w:p>
          <w:p w14:paraId="524FB8B9" w14:textId="3DB4E0D6" w:rsidR="00172423" w:rsidRPr="001C6837" w:rsidRDefault="001C6837" w:rsidP="00EF4045">
            <w:pPr>
              <w:rPr>
                <w:sz w:val="20"/>
                <w:szCs w:val="20"/>
              </w:rPr>
            </w:pPr>
            <w:r w:rsidRPr="001C6837">
              <w:rPr>
                <w:sz w:val="20"/>
                <w:szCs w:val="20"/>
              </w:rPr>
              <w:t>Change to legislation</w:t>
            </w:r>
          </w:p>
        </w:tc>
      </w:tr>
      <w:tr w:rsidR="00172423" w14:paraId="23DA3E89"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458894F1" w14:textId="77777777" w:rsidR="00172423" w:rsidRPr="002041E3" w:rsidRDefault="00172423" w:rsidP="00EF4045">
            <w:pPr>
              <w:rPr>
                <w:b/>
                <w:sz w:val="20"/>
                <w:szCs w:val="20"/>
              </w:rPr>
            </w:pPr>
            <w:r w:rsidRPr="002041E3">
              <w:rPr>
                <w:b/>
                <w:sz w:val="20"/>
                <w:szCs w:val="20"/>
              </w:rPr>
              <w:t>R.10</w:t>
            </w:r>
          </w:p>
        </w:tc>
        <w:tc>
          <w:tcPr>
            <w:tcW w:w="2831" w:type="dxa"/>
            <w:tcMar>
              <w:top w:w="57" w:type="dxa"/>
              <w:bottom w:w="57" w:type="dxa"/>
            </w:tcMar>
          </w:tcPr>
          <w:p w14:paraId="23C6AF67" w14:textId="77777777" w:rsidR="00172423" w:rsidRPr="002041E3" w:rsidRDefault="00172423" w:rsidP="00EF4045">
            <w:pPr>
              <w:rPr>
                <w:sz w:val="20"/>
                <w:szCs w:val="20"/>
              </w:rPr>
            </w:pPr>
            <w:r w:rsidRPr="002041E3">
              <w:rPr>
                <w:sz w:val="20"/>
                <w:szCs w:val="20"/>
              </w:rPr>
              <w:t>Examine opportunities to improve the quality of data available on aerosols and indirect greenhouse gases by assessing the merits of including these substances in the reporting scheme</w:t>
            </w:r>
          </w:p>
        </w:tc>
        <w:tc>
          <w:tcPr>
            <w:tcW w:w="1908" w:type="dxa"/>
            <w:tcMar>
              <w:top w:w="57" w:type="dxa"/>
              <w:bottom w:w="57" w:type="dxa"/>
            </w:tcMar>
          </w:tcPr>
          <w:p w14:paraId="1843D1B2" w14:textId="77777777" w:rsidR="00172423" w:rsidRPr="002041E3" w:rsidRDefault="00172423" w:rsidP="00EF4045">
            <w:pPr>
              <w:rPr>
                <w:sz w:val="20"/>
                <w:szCs w:val="20"/>
              </w:rPr>
            </w:pPr>
            <w:r w:rsidRPr="002041E3">
              <w:rPr>
                <w:i/>
                <w:sz w:val="20"/>
                <w:szCs w:val="20"/>
              </w:rPr>
              <w:t xml:space="preserve">Improve data quality and could reduce administrative costs to the Department </w:t>
            </w:r>
          </w:p>
        </w:tc>
        <w:tc>
          <w:tcPr>
            <w:tcW w:w="1985" w:type="dxa"/>
            <w:tcMar>
              <w:top w:w="57" w:type="dxa"/>
              <w:bottom w:w="57" w:type="dxa"/>
            </w:tcMar>
          </w:tcPr>
          <w:p w14:paraId="7CD053E1" w14:textId="77777777" w:rsidR="00172423" w:rsidRDefault="00172423" w:rsidP="00EF4045">
            <w:pPr>
              <w:rPr>
                <w:sz w:val="20"/>
                <w:szCs w:val="20"/>
              </w:rPr>
            </w:pPr>
            <w:r>
              <w:rPr>
                <w:sz w:val="20"/>
                <w:szCs w:val="20"/>
              </w:rPr>
              <w:t>C</w:t>
            </w:r>
            <w:r w:rsidRPr="002041E3">
              <w:rPr>
                <w:sz w:val="20"/>
                <w:szCs w:val="20"/>
              </w:rPr>
              <w:t>osts to Department of undertaking the analysis</w:t>
            </w:r>
          </w:p>
          <w:p w14:paraId="5F2EE41C" w14:textId="77777777" w:rsidR="00172423" w:rsidRPr="009B07F3" w:rsidRDefault="00172423" w:rsidP="00EF4045">
            <w:pPr>
              <w:rPr>
                <w:i/>
                <w:sz w:val="20"/>
                <w:szCs w:val="20"/>
              </w:rPr>
            </w:pPr>
            <w:r w:rsidRPr="009B07F3">
              <w:rPr>
                <w:i/>
                <w:sz w:val="20"/>
                <w:szCs w:val="20"/>
              </w:rPr>
              <w:t>Increase administrative costs to Regulator</w:t>
            </w:r>
          </w:p>
        </w:tc>
        <w:tc>
          <w:tcPr>
            <w:tcW w:w="2268" w:type="dxa"/>
            <w:tcMar>
              <w:top w:w="57" w:type="dxa"/>
              <w:bottom w:w="57" w:type="dxa"/>
            </w:tcMar>
          </w:tcPr>
          <w:p w14:paraId="24F1EC4D" w14:textId="77777777" w:rsidR="00172423" w:rsidRPr="002041E3" w:rsidRDefault="00172423" w:rsidP="00EF4045">
            <w:pPr>
              <w:rPr>
                <w:i/>
                <w:sz w:val="20"/>
                <w:szCs w:val="20"/>
              </w:rPr>
            </w:pPr>
            <w:r w:rsidRPr="002041E3">
              <w:rPr>
                <w:i/>
                <w:sz w:val="20"/>
                <w:szCs w:val="20"/>
              </w:rPr>
              <w:t>Improve quality of data for policy making</w:t>
            </w:r>
          </w:p>
        </w:tc>
        <w:tc>
          <w:tcPr>
            <w:tcW w:w="2268" w:type="dxa"/>
            <w:tcMar>
              <w:top w:w="57" w:type="dxa"/>
              <w:bottom w:w="57" w:type="dxa"/>
            </w:tcMar>
          </w:tcPr>
          <w:p w14:paraId="70030F8D" w14:textId="77777777" w:rsidR="00172423" w:rsidRPr="002041E3" w:rsidRDefault="00172423" w:rsidP="00EF4045">
            <w:pPr>
              <w:rPr>
                <w:sz w:val="20"/>
                <w:szCs w:val="20"/>
              </w:rPr>
            </w:pPr>
            <w:r w:rsidRPr="002041E3">
              <w:rPr>
                <w:sz w:val="20"/>
                <w:szCs w:val="20"/>
              </w:rPr>
              <w:t>NA</w:t>
            </w:r>
          </w:p>
        </w:tc>
        <w:tc>
          <w:tcPr>
            <w:tcW w:w="2556" w:type="dxa"/>
            <w:tcMar>
              <w:top w:w="57" w:type="dxa"/>
              <w:bottom w:w="57" w:type="dxa"/>
            </w:tcMar>
          </w:tcPr>
          <w:p w14:paraId="40787C4C" w14:textId="77777777" w:rsidR="00172423" w:rsidRDefault="00172423" w:rsidP="00EF4045">
            <w:pPr>
              <w:rPr>
                <w:sz w:val="20"/>
                <w:szCs w:val="20"/>
              </w:rPr>
            </w:pPr>
            <w:r w:rsidRPr="002041E3">
              <w:rPr>
                <w:sz w:val="20"/>
                <w:szCs w:val="20"/>
              </w:rPr>
              <w:t>Department</w:t>
            </w:r>
          </w:p>
          <w:p w14:paraId="694554FC" w14:textId="2CD27B85" w:rsidR="00172423" w:rsidRPr="002041E3" w:rsidRDefault="001C6837" w:rsidP="00EF4045">
            <w:pPr>
              <w:rPr>
                <w:sz w:val="20"/>
                <w:szCs w:val="20"/>
              </w:rPr>
            </w:pPr>
            <w:r>
              <w:rPr>
                <w:i/>
                <w:sz w:val="20"/>
                <w:szCs w:val="20"/>
              </w:rPr>
              <w:t>C</w:t>
            </w:r>
            <w:r w:rsidRPr="002041E3">
              <w:rPr>
                <w:i/>
                <w:sz w:val="20"/>
                <w:szCs w:val="20"/>
              </w:rPr>
              <w:t>hange to legislati</w:t>
            </w:r>
            <w:r>
              <w:rPr>
                <w:i/>
                <w:sz w:val="20"/>
                <w:szCs w:val="20"/>
              </w:rPr>
              <w:t>on</w:t>
            </w:r>
          </w:p>
        </w:tc>
      </w:tr>
      <w:tr w:rsidR="00172423" w14:paraId="130EB077"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069DD255" w14:textId="77777777" w:rsidR="00172423" w:rsidRPr="002041E3" w:rsidRDefault="00172423" w:rsidP="00EF4045">
            <w:pPr>
              <w:rPr>
                <w:b/>
                <w:sz w:val="20"/>
                <w:szCs w:val="20"/>
              </w:rPr>
            </w:pPr>
            <w:r w:rsidRPr="002041E3">
              <w:rPr>
                <w:b/>
                <w:sz w:val="20"/>
                <w:szCs w:val="20"/>
              </w:rPr>
              <w:t>R.11</w:t>
            </w:r>
          </w:p>
        </w:tc>
        <w:tc>
          <w:tcPr>
            <w:tcW w:w="2831" w:type="dxa"/>
            <w:tcMar>
              <w:top w:w="57" w:type="dxa"/>
              <w:bottom w:w="57" w:type="dxa"/>
            </w:tcMar>
          </w:tcPr>
          <w:p w14:paraId="6F9AC212" w14:textId="77777777" w:rsidR="00172423" w:rsidRPr="002041E3" w:rsidRDefault="00172423" w:rsidP="00EF4045">
            <w:pPr>
              <w:rPr>
                <w:sz w:val="20"/>
                <w:szCs w:val="20"/>
              </w:rPr>
            </w:pPr>
            <w:r w:rsidRPr="002041E3">
              <w:rPr>
                <w:sz w:val="20"/>
                <w:szCs w:val="20"/>
              </w:rPr>
              <w:t>Analyse whether the benefits of extending the reporting scheme to government agencies and local councils exceed the costs</w:t>
            </w:r>
          </w:p>
        </w:tc>
        <w:tc>
          <w:tcPr>
            <w:tcW w:w="1908" w:type="dxa"/>
            <w:tcMar>
              <w:top w:w="57" w:type="dxa"/>
              <w:bottom w:w="57" w:type="dxa"/>
            </w:tcMar>
          </w:tcPr>
          <w:p w14:paraId="1F14196A" w14:textId="77777777" w:rsidR="00172423" w:rsidRPr="002041E3" w:rsidRDefault="00172423" w:rsidP="00EF4045">
            <w:pPr>
              <w:rPr>
                <w:i/>
                <w:sz w:val="20"/>
                <w:szCs w:val="20"/>
              </w:rPr>
            </w:pPr>
            <w:r w:rsidRPr="002041E3">
              <w:rPr>
                <w:i/>
                <w:sz w:val="20"/>
                <w:szCs w:val="20"/>
              </w:rPr>
              <w:t>Improve data availability</w:t>
            </w:r>
          </w:p>
          <w:p w14:paraId="611FA822" w14:textId="77777777" w:rsidR="00172423" w:rsidRPr="002041E3" w:rsidRDefault="00172423" w:rsidP="00EF4045">
            <w:pPr>
              <w:rPr>
                <w:sz w:val="20"/>
                <w:szCs w:val="20"/>
              </w:rPr>
            </w:pPr>
            <w:r w:rsidRPr="002041E3">
              <w:rPr>
                <w:i/>
                <w:sz w:val="20"/>
                <w:szCs w:val="20"/>
              </w:rPr>
              <w:t xml:space="preserve">Reduce transaction costs to those already reporting elsewhere </w:t>
            </w:r>
          </w:p>
        </w:tc>
        <w:tc>
          <w:tcPr>
            <w:tcW w:w="1985" w:type="dxa"/>
            <w:tcMar>
              <w:top w:w="57" w:type="dxa"/>
              <w:bottom w:w="57" w:type="dxa"/>
            </w:tcMar>
          </w:tcPr>
          <w:p w14:paraId="16821C23" w14:textId="77777777" w:rsidR="00172423" w:rsidRDefault="00172423" w:rsidP="00EF4045">
            <w:pPr>
              <w:rPr>
                <w:sz w:val="20"/>
                <w:szCs w:val="20"/>
              </w:rPr>
            </w:pPr>
            <w:r>
              <w:rPr>
                <w:sz w:val="20"/>
                <w:szCs w:val="20"/>
              </w:rPr>
              <w:t>C</w:t>
            </w:r>
            <w:r w:rsidRPr="002041E3">
              <w:rPr>
                <w:sz w:val="20"/>
                <w:szCs w:val="20"/>
              </w:rPr>
              <w:t>osts to Department of undertaking the analysis</w:t>
            </w:r>
          </w:p>
          <w:p w14:paraId="187E20E4" w14:textId="77777777" w:rsidR="00172423" w:rsidRPr="009B07F3" w:rsidRDefault="00172423" w:rsidP="00EF4045">
            <w:pPr>
              <w:rPr>
                <w:i/>
                <w:sz w:val="20"/>
                <w:szCs w:val="20"/>
              </w:rPr>
            </w:pPr>
            <w:r w:rsidRPr="009B07F3">
              <w:rPr>
                <w:i/>
                <w:sz w:val="20"/>
                <w:szCs w:val="20"/>
              </w:rPr>
              <w:t xml:space="preserve">Increase administrative costs to Department </w:t>
            </w:r>
            <w:r>
              <w:rPr>
                <w:i/>
                <w:sz w:val="20"/>
                <w:szCs w:val="20"/>
              </w:rPr>
              <w:t>and Regulator</w:t>
            </w:r>
          </w:p>
          <w:p w14:paraId="39C08AD1" w14:textId="77777777" w:rsidR="00172423" w:rsidRPr="002041E3" w:rsidRDefault="00172423" w:rsidP="00EF4045">
            <w:pPr>
              <w:rPr>
                <w:i/>
                <w:sz w:val="20"/>
                <w:szCs w:val="20"/>
              </w:rPr>
            </w:pPr>
            <w:r w:rsidRPr="002041E3">
              <w:rPr>
                <w:i/>
                <w:sz w:val="20"/>
                <w:szCs w:val="20"/>
              </w:rPr>
              <w:t xml:space="preserve">Increase transaction costs to agencies and local councils not already reporting </w:t>
            </w:r>
          </w:p>
        </w:tc>
        <w:tc>
          <w:tcPr>
            <w:tcW w:w="2268" w:type="dxa"/>
            <w:tcMar>
              <w:top w:w="57" w:type="dxa"/>
              <w:bottom w:w="57" w:type="dxa"/>
            </w:tcMar>
          </w:tcPr>
          <w:p w14:paraId="2A9A5269" w14:textId="77777777" w:rsidR="00172423" w:rsidRPr="002041E3" w:rsidRDefault="00172423" w:rsidP="00EF4045">
            <w:pPr>
              <w:rPr>
                <w:i/>
                <w:sz w:val="20"/>
                <w:szCs w:val="20"/>
              </w:rPr>
            </w:pPr>
            <w:r w:rsidRPr="002041E3">
              <w:rPr>
                <w:i/>
                <w:sz w:val="20"/>
                <w:szCs w:val="20"/>
              </w:rPr>
              <w:t>Increase data available for policy making and government action</w:t>
            </w:r>
          </w:p>
        </w:tc>
        <w:tc>
          <w:tcPr>
            <w:tcW w:w="2268" w:type="dxa"/>
            <w:tcMar>
              <w:top w:w="57" w:type="dxa"/>
              <w:bottom w:w="57" w:type="dxa"/>
            </w:tcMar>
          </w:tcPr>
          <w:p w14:paraId="7D5861DA" w14:textId="77777777" w:rsidR="00172423" w:rsidRPr="002041E3" w:rsidRDefault="00172423" w:rsidP="00EF4045">
            <w:pPr>
              <w:rPr>
                <w:i/>
                <w:sz w:val="20"/>
                <w:szCs w:val="20"/>
              </w:rPr>
            </w:pPr>
            <w:r w:rsidRPr="002041E3">
              <w:rPr>
                <w:i/>
                <w:sz w:val="20"/>
                <w:szCs w:val="20"/>
              </w:rPr>
              <w:t>Increase transparency and improve consistency of reporting across all sectors of the economy</w:t>
            </w:r>
          </w:p>
        </w:tc>
        <w:tc>
          <w:tcPr>
            <w:tcW w:w="2556" w:type="dxa"/>
            <w:tcMar>
              <w:top w:w="57" w:type="dxa"/>
              <w:bottom w:w="57" w:type="dxa"/>
            </w:tcMar>
          </w:tcPr>
          <w:p w14:paraId="42AEF4FC" w14:textId="77777777" w:rsidR="00172423" w:rsidRDefault="00172423" w:rsidP="00EF4045">
            <w:pPr>
              <w:rPr>
                <w:sz w:val="20"/>
                <w:szCs w:val="20"/>
              </w:rPr>
            </w:pPr>
            <w:r w:rsidRPr="002041E3">
              <w:rPr>
                <w:sz w:val="20"/>
                <w:szCs w:val="20"/>
              </w:rPr>
              <w:t>Department</w:t>
            </w:r>
          </w:p>
          <w:p w14:paraId="4CF94D13" w14:textId="49A3543F" w:rsidR="00172423" w:rsidRPr="002041E3" w:rsidRDefault="001C6837" w:rsidP="00EF4045">
            <w:pPr>
              <w:rPr>
                <w:sz w:val="20"/>
                <w:szCs w:val="20"/>
              </w:rPr>
            </w:pPr>
            <w:r>
              <w:rPr>
                <w:i/>
                <w:sz w:val="20"/>
                <w:szCs w:val="20"/>
              </w:rPr>
              <w:t>C</w:t>
            </w:r>
            <w:r w:rsidRPr="002041E3">
              <w:rPr>
                <w:i/>
                <w:sz w:val="20"/>
                <w:szCs w:val="20"/>
              </w:rPr>
              <w:t>hange to legislati</w:t>
            </w:r>
            <w:r>
              <w:rPr>
                <w:i/>
                <w:sz w:val="20"/>
                <w:szCs w:val="20"/>
              </w:rPr>
              <w:t>on</w:t>
            </w:r>
          </w:p>
        </w:tc>
      </w:tr>
      <w:tr w:rsidR="00172423" w14:paraId="6B74B9CB"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3594818C" w14:textId="77777777" w:rsidR="00172423" w:rsidRPr="002041E3" w:rsidRDefault="00172423" w:rsidP="00EF4045">
            <w:pPr>
              <w:rPr>
                <w:b/>
                <w:sz w:val="20"/>
                <w:szCs w:val="20"/>
              </w:rPr>
            </w:pPr>
            <w:r w:rsidRPr="002041E3">
              <w:rPr>
                <w:b/>
                <w:sz w:val="20"/>
                <w:szCs w:val="20"/>
              </w:rPr>
              <w:t>R.12</w:t>
            </w:r>
          </w:p>
        </w:tc>
        <w:tc>
          <w:tcPr>
            <w:tcW w:w="2831" w:type="dxa"/>
            <w:tcMar>
              <w:top w:w="57" w:type="dxa"/>
              <w:bottom w:w="57" w:type="dxa"/>
            </w:tcMar>
          </w:tcPr>
          <w:p w14:paraId="1D3ABA2B" w14:textId="77777777" w:rsidR="00172423" w:rsidRPr="002041E3" w:rsidRDefault="00172423" w:rsidP="00EF4045">
            <w:pPr>
              <w:rPr>
                <w:sz w:val="20"/>
                <w:szCs w:val="20"/>
              </w:rPr>
            </w:pPr>
            <w:r w:rsidRPr="002041E3">
              <w:rPr>
                <w:sz w:val="20"/>
                <w:szCs w:val="20"/>
              </w:rPr>
              <w:t>Test the feasibility of optional reporting for scope 2 emissions that accounts for direct sourcing of low</w:t>
            </w:r>
            <w:r>
              <w:rPr>
                <w:sz w:val="20"/>
                <w:szCs w:val="20"/>
              </w:rPr>
              <w:noBreakHyphen/>
            </w:r>
            <w:r w:rsidRPr="002041E3">
              <w:rPr>
                <w:sz w:val="20"/>
                <w:szCs w:val="20"/>
              </w:rPr>
              <w:t>emissions energy</w:t>
            </w:r>
          </w:p>
        </w:tc>
        <w:tc>
          <w:tcPr>
            <w:tcW w:w="1908" w:type="dxa"/>
            <w:tcMar>
              <w:top w:w="57" w:type="dxa"/>
              <w:bottom w:w="57" w:type="dxa"/>
            </w:tcMar>
          </w:tcPr>
          <w:p w14:paraId="7104C315" w14:textId="77777777" w:rsidR="00172423" w:rsidRPr="002041E3" w:rsidRDefault="00172423" w:rsidP="00EF4045">
            <w:pPr>
              <w:rPr>
                <w:i/>
                <w:sz w:val="20"/>
                <w:szCs w:val="20"/>
              </w:rPr>
            </w:pPr>
            <w:r w:rsidRPr="002041E3">
              <w:rPr>
                <w:i/>
                <w:sz w:val="20"/>
                <w:szCs w:val="20"/>
              </w:rPr>
              <w:t>Improve data availability</w:t>
            </w:r>
          </w:p>
        </w:tc>
        <w:tc>
          <w:tcPr>
            <w:tcW w:w="1985" w:type="dxa"/>
            <w:tcMar>
              <w:top w:w="57" w:type="dxa"/>
              <w:bottom w:w="57" w:type="dxa"/>
            </w:tcMar>
          </w:tcPr>
          <w:p w14:paraId="5EBCF70F" w14:textId="77777777" w:rsidR="00172423" w:rsidRDefault="00172423" w:rsidP="00EF4045">
            <w:pPr>
              <w:rPr>
                <w:sz w:val="20"/>
                <w:szCs w:val="20"/>
              </w:rPr>
            </w:pPr>
            <w:r>
              <w:rPr>
                <w:sz w:val="20"/>
                <w:szCs w:val="20"/>
              </w:rPr>
              <w:t>C</w:t>
            </w:r>
            <w:r w:rsidRPr="002041E3">
              <w:rPr>
                <w:sz w:val="20"/>
                <w:szCs w:val="20"/>
              </w:rPr>
              <w:t>osts to Department of undertaking the analysis</w:t>
            </w:r>
          </w:p>
          <w:p w14:paraId="125EF329" w14:textId="77777777" w:rsidR="00172423" w:rsidRPr="002041E3" w:rsidRDefault="00172423" w:rsidP="00EF4045">
            <w:pPr>
              <w:rPr>
                <w:i/>
                <w:sz w:val="20"/>
                <w:szCs w:val="20"/>
              </w:rPr>
            </w:pPr>
            <w:r w:rsidRPr="002041E3">
              <w:rPr>
                <w:i/>
                <w:sz w:val="20"/>
                <w:szCs w:val="20"/>
              </w:rPr>
              <w:t>Increase administrative costs to Department to establish method and Regulator to administer</w:t>
            </w:r>
          </w:p>
          <w:p w14:paraId="5FA33745" w14:textId="77777777" w:rsidR="00172423" w:rsidRPr="002041E3" w:rsidRDefault="00172423" w:rsidP="00EF4045">
            <w:pPr>
              <w:rPr>
                <w:i/>
                <w:sz w:val="20"/>
                <w:szCs w:val="20"/>
              </w:rPr>
            </w:pPr>
            <w:r w:rsidRPr="002041E3">
              <w:rPr>
                <w:i/>
                <w:sz w:val="20"/>
                <w:szCs w:val="20"/>
              </w:rPr>
              <w:t>Increase transaction costs to industry</w:t>
            </w:r>
          </w:p>
        </w:tc>
        <w:tc>
          <w:tcPr>
            <w:tcW w:w="2268" w:type="dxa"/>
            <w:tcMar>
              <w:top w:w="57" w:type="dxa"/>
              <w:bottom w:w="57" w:type="dxa"/>
            </w:tcMar>
          </w:tcPr>
          <w:p w14:paraId="138C47EF" w14:textId="77777777" w:rsidR="00172423" w:rsidRPr="002041E3" w:rsidRDefault="00172423" w:rsidP="00EF4045">
            <w:pPr>
              <w:rPr>
                <w:i/>
                <w:sz w:val="20"/>
                <w:szCs w:val="20"/>
              </w:rPr>
            </w:pPr>
            <w:r w:rsidRPr="002041E3">
              <w:rPr>
                <w:i/>
                <w:sz w:val="20"/>
                <w:szCs w:val="20"/>
              </w:rPr>
              <w:t>Increase data available for policy making</w:t>
            </w:r>
          </w:p>
          <w:p w14:paraId="07B04497" w14:textId="77777777" w:rsidR="00172423" w:rsidRPr="002041E3" w:rsidRDefault="00172423" w:rsidP="00EF4045">
            <w:pPr>
              <w:rPr>
                <w:i/>
                <w:sz w:val="20"/>
                <w:szCs w:val="20"/>
              </w:rPr>
            </w:pPr>
            <w:r w:rsidRPr="002041E3">
              <w:rPr>
                <w:i/>
                <w:sz w:val="20"/>
                <w:szCs w:val="20"/>
              </w:rPr>
              <w:t>Encourage greater direct sourcing of low</w:t>
            </w:r>
            <w:r>
              <w:rPr>
                <w:i/>
                <w:sz w:val="20"/>
                <w:szCs w:val="20"/>
              </w:rPr>
              <w:noBreakHyphen/>
            </w:r>
            <w:r w:rsidRPr="002041E3">
              <w:rPr>
                <w:i/>
                <w:sz w:val="20"/>
                <w:szCs w:val="20"/>
              </w:rPr>
              <w:t>emissions energy</w:t>
            </w:r>
          </w:p>
        </w:tc>
        <w:tc>
          <w:tcPr>
            <w:tcW w:w="2268" w:type="dxa"/>
            <w:tcMar>
              <w:top w:w="57" w:type="dxa"/>
              <w:bottom w:w="57" w:type="dxa"/>
            </w:tcMar>
          </w:tcPr>
          <w:p w14:paraId="10440124" w14:textId="77777777" w:rsidR="00172423" w:rsidRPr="002041E3" w:rsidRDefault="00172423" w:rsidP="00EF4045">
            <w:pPr>
              <w:rPr>
                <w:i/>
                <w:sz w:val="20"/>
                <w:szCs w:val="20"/>
              </w:rPr>
            </w:pPr>
            <w:r w:rsidRPr="002041E3">
              <w:rPr>
                <w:i/>
                <w:sz w:val="20"/>
                <w:szCs w:val="20"/>
              </w:rPr>
              <w:t>Increase transparency</w:t>
            </w:r>
          </w:p>
        </w:tc>
        <w:tc>
          <w:tcPr>
            <w:tcW w:w="2556" w:type="dxa"/>
            <w:tcMar>
              <w:top w:w="57" w:type="dxa"/>
              <w:bottom w:w="57" w:type="dxa"/>
            </w:tcMar>
          </w:tcPr>
          <w:p w14:paraId="1BEC82F8" w14:textId="77777777" w:rsidR="00172423" w:rsidRDefault="00172423" w:rsidP="00EF4045">
            <w:pPr>
              <w:rPr>
                <w:sz w:val="20"/>
                <w:szCs w:val="20"/>
              </w:rPr>
            </w:pPr>
            <w:r w:rsidRPr="002041E3">
              <w:rPr>
                <w:sz w:val="20"/>
                <w:szCs w:val="20"/>
              </w:rPr>
              <w:t>Department</w:t>
            </w:r>
          </w:p>
          <w:p w14:paraId="5B69231B" w14:textId="420481D7" w:rsidR="00172423" w:rsidRPr="002041E3" w:rsidRDefault="001C6837" w:rsidP="00EF4045">
            <w:pPr>
              <w:rPr>
                <w:sz w:val="20"/>
                <w:szCs w:val="20"/>
              </w:rPr>
            </w:pPr>
            <w:r>
              <w:rPr>
                <w:i/>
                <w:sz w:val="20"/>
                <w:szCs w:val="20"/>
              </w:rPr>
              <w:t>C</w:t>
            </w:r>
            <w:r w:rsidRPr="002041E3">
              <w:rPr>
                <w:i/>
                <w:sz w:val="20"/>
                <w:szCs w:val="20"/>
              </w:rPr>
              <w:t>hange to legislati</w:t>
            </w:r>
            <w:r>
              <w:rPr>
                <w:i/>
                <w:sz w:val="20"/>
                <w:szCs w:val="20"/>
              </w:rPr>
              <w:t>on</w:t>
            </w:r>
          </w:p>
        </w:tc>
      </w:tr>
      <w:tr w:rsidR="00172423" w14:paraId="48D4B2CF"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78088BAA" w14:textId="77777777" w:rsidR="00172423" w:rsidRPr="002041E3" w:rsidRDefault="00172423" w:rsidP="00EF4045">
            <w:pPr>
              <w:rPr>
                <w:b/>
                <w:sz w:val="20"/>
                <w:szCs w:val="20"/>
              </w:rPr>
            </w:pPr>
            <w:r w:rsidRPr="002041E3">
              <w:rPr>
                <w:b/>
                <w:sz w:val="20"/>
                <w:szCs w:val="20"/>
              </w:rPr>
              <w:t>R.13</w:t>
            </w:r>
          </w:p>
        </w:tc>
        <w:tc>
          <w:tcPr>
            <w:tcW w:w="2831" w:type="dxa"/>
            <w:tcMar>
              <w:top w:w="57" w:type="dxa"/>
              <w:bottom w:w="57" w:type="dxa"/>
            </w:tcMar>
          </w:tcPr>
          <w:p w14:paraId="7AE300C0" w14:textId="77777777" w:rsidR="00172423" w:rsidRPr="002041E3" w:rsidRDefault="00172423" w:rsidP="00EF4045">
            <w:pPr>
              <w:rPr>
                <w:sz w:val="20"/>
                <w:szCs w:val="20"/>
              </w:rPr>
            </w:pPr>
            <w:r w:rsidRPr="002041E3">
              <w:rPr>
                <w:sz w:val="20"/>
                <w:szCs w:val="20"/>
              </w:rPr>
              <w:t xml:space="preserve">Allocate the Regulator funding to enhance the </w:t>
            </w:r>
            <w:r>
              <w:rPr>
                <w:sz w:val="20"/>
                <w:szCs w:val="20"/>
              </w:rPr>
              <w:t>dataset</w:t>
            </w:r>
            <w:r w:rsidRPr="002041E3">
              <w:rPr>
                <w:sz w:val="20"/>
                <w:szCs w:val="20"/>
              </w:rPr>
              <w:t xml:space="preserve"> for time series analysis, which is updated each year within three months of data being reported, for use by Australian governments</w:t>
            </w:r>
          </w:p>
        </w:tc>
        <w:tc>
          <w:tcPr>
            <w:tcW w:w="1908" w:type="dxa"/>
            <w:tcMar>
              <w:top w:w="57" w:type="dxa"/>
              <w:bottom w:w="57" w:type="dxa"/>
            </w:tcMar>
          </w:tcPr>
          <w:p w14:paraId="71A0B9A9" w14:textId="6B798990" w:rsidR="00172423" w:rsidRPr="002041E3" w:rsidRDefault="00172423" w:rsidP="00AF18CA">
            <w:pPr>
              <w:rPr>
                <w:sz w:val="20"/>
                <w:szCs w:val="20"/>
              </w:rPr>
            </w:pPr>
            <w:r w:rsidRPr="002041E3">
              <w:rPr>
                <w:sz w:val="20"/>
                <w:szCs w:val="20"/>
              </w:rPr>
              <w:t xml:space="preserve">Reduce </w:t>
            </w:r>
            <w:r>
              <w:rPr>
                <w:sz w:val="20"/>
                <w:szCs w:val="20"/>
              </w:rPr>
              <w:t xml:space="preserve">overall </w:t>
            </w:r>
            <w:r w:rsidRPr="002041E3">
              <w:rPr>
                <w:sz w:val="20"/>
                <w:szCs w:val="20"/>
              </w:rPr>
              <w:t xml:space="preserve">costs to </w:t>
            </w:r>
            <w:r>
              <w:rPr>
                <w:sz w:val="20"/>
                <w:szCs w:val="20"/>
              </w:rPr>
              <w:t>g</w:t>
            </w:r>
            <w:r w:rsidRPr="002041E3">
              <w:rPr>
                <w:sz w:val="20"/>
                <w:szCs w:val="20"/>
              </w:rPr>
              <w:t>overnment</w:t>
            </w:r>
            <w:r>
              <w:rPr>
                <w:sz w:val="20"/>
                <w:szCs w:val="20"/>
              </w:rPr>
              <w:t>s for data analysis</w:t>
            </w:r>
          </w:p>
        </w:tc>
        <w:tc>
          <w:tcPr>
            <w:tcW w:w="1985" w:type="dxa"/>
            <w:tcMar>
              <w:top w:w="57" w:type="dxa"/>
              <w:bottom w:w="57" w:type="dxa"/>
            </w:tcMar>
          </w:tcPr>
          <w:p w14:paraId="3DFF8899" w14:textId="77777777" w:rsidR="00172423" w:rsidRPr="002041E3" w:rsidRDefault="00172423" w:rsidP="00EF4045">
            <w:pPr>
              <w:rPr>
                <w:sz w:val="20"/>
                <w:szCs w:val="20"/>
              </w:rPr>
            </w:pPr>
            <w:r>
              <w:rPr>
                <w:sz w:val="20"/>
                <w:szCs w:val="20"/>
              </w:rPr>
              <w:t>Increase cost to Government for data cleaning</w:t>
            </w:r>
          </w:p>
        </w:tc>
        <w:tc>
          <w:tcPr>
            <w:tcW w:w="2268" w:type="dxa"/>
            <w:tcMar>
              <w:top w:w="57" w:type="dxa"/>
              <w:bottom w:w="57" w:type="dxa"/>
            </w:tcMar>
          </w:tcPr>
          <w:p w14:paraId="0F282755" w14:textId="77777777" w:rsidR="00172423" w:rsidRPr="002041E3" w:rsidRDefault="00172423" w:rsidP="00EF4045">
            <w:pPr>
              <w:rPr>
                <w:sz w:val="20"/>
                <w:szCs w:val="20"/>
              </w:rPr>
            </w:pPr>
            <w:r w:rsidRPr="002041E3">
              <w:rPr>
                <w:sz w:val="20"/>
                <w:szCs w:val="20"/>
              </w:rPr>
              <w:t>Enable greater use of data for policy making</w:t>
            </w:r>
          </w:p>
        </w:tc>
        <w:tc>
          <w:tcPr>
            <w:tcW w:w="2268" w:type="dxa"/>
            <w:tcMar>
              <w:top w:w="57" w:type="dxa"/>
              <w:bottom w:w="57" w:type="dxa"/>
            </w:tcMar>
          </w:tcPr>
          <w:p w14:paraId="1279A1E0" w14:textId="77777777" w:rsidR="00172423" w:rsidRPr="002041E3" w:rsidRDefault="00172423" w:rsidP="00EF4045">
            <w:pPr>
              <w:rPr>
                <w:sz w:val="20"/>
                <w:szCs w:val="20"/>
              </w:rPr>
            </w:pPr>
            <w:r w:rsidRPr="002041E3">
              <w:rPr>
                <w:sz w:val="20"/>
                <w:szCs w:val="20"/>
              </w:rPr>
              <w:t>Improved data available to all users</w:t>
            </w:r>
          </w:p>
        </w:tc>
        <w:tc>
          <w:tcPr>
            <w:tcW w:w="2556" w:type="dxa"/>
            <w:tcMar>
              <w:top w:w="57" w:type="dxa"/>
              <w:bottom w:w="57" w:type="dxa"/>
            </w:tcMar>
          </w:tcPr>
          <w:p w14:paraId="5F43D87A" w14:textId="77777777" w:rsidR="00172423" w:rsidRPr="002041E3" w:rsidRDefault="00172423" w:rsidP="00EF4045">
            <w:pPr>
              <w:rPr>
                <w:sz w:val="20"/>
                <w:szCs w:val="20"/>
              </w:rPr>
            </w:pPr>
            <w:r w:rsidRPr="002041E3">
              <w:rPr>
                <w:sz w:val="20"/>
                <w:szCs w:val="20"/>
              </w:rPr>
              <w:t>Regulator and Department</w:t>
            </w:r>
          </w:p>
        </w:tc>
      </w:tr>
      <w:tr w:rsidR="00172423" w14:paraId="7C76A3C4"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22DC9E05" w14:textId="77777777" w:rsidR="00172423" w:rsidRPr="002041E3" w:rsidRDefault="00172423" w:rsidP="00EF4045">
            <w:pPr>
              <w:rPr>
                <w:b/>
                <w:sz w:val="20"/>
                <w:szCs w:val="20"/>
              </w:rPr>
            </w:pPr>
            <w:r w:rsidRPr="002041E3">
              <w:rPr>
                <w:b/>
                <w:sz w:val="20"/>
                <w:szCs w:val="20"/>
              </w:rPr>
              <w:t>R.14</w:t>
            </w:r>
          </w:p>
        </w:tc>
        <w:tc>
          <w:tcPr>
            <w:tcW w:w="2831" w:type="dxa"/>
            <w:tcMar>
              <w:top w:w="57" w:type="dxa"/>
              <w:bottom w:w="57" w:type="dxa"/>
            </w:tcMar>
          </w:tcPr>
          <w:p w14:paraId="04A6F219" w14:textId="77777777" w:rsidR="00172423" w:rsidRPr="002041E3" w:rsidRDefault="00172423" w:rsidP="00EF4045">
            <w:pPr>
              <w:rPr>
                <w:sz w:val="20"/>
                <w:szCs w:val="20"/>
              </w:rPr>
            </w:pPr>
            <w:r>
              <w:rPr>
                <w:sz w:val="20"/>
                <w:szCs w:val="20"/>
              </w:rPr>
              <w:t>L</w:t>
            </w:r>
            <w:r w:rsidRPr="002041E3">
              <w:rPr>
                <w:sz w:val="20"/>
                <w:szCs w:val="20"/>
              </w:rPr>
              <w:t>egislate</w:t>
            </w:r>
            <w:r w:rsidRPr="002041E3" w:rsidDel="0021290D">
              <w:rPr>
                <w:sz w:val="20"/>
                <w:szCs w:val="20"/>
              </w:rPr>
              <w:t xml:space="preserve"> </w:t>
            </w:r>
            <w:r w:rsidRPr="002041E3">
              <w:rPr>
                <w:sz w:val="20"/>
                <w:szCs w:val="20"/>
              </w:rPr>
              <w:t>to ensure the Regulator retains its ability to disseminate emissions and energy information obtained prior to 2 April 2012 and government agencies retain their ability to publish this information after the relevant regulations sunset</w:t>
            </w:r>
          </w:p>
        </w:tc>
        <w:tc>
          <w:tcPr>
            <w:tcW w:w="1908" w:type="dxa"/>
            <w:tcMar>
              <w:top w:w="57" w:type="dxa"/>
              <w:bottom w:w="57" w:type="dxa"/>
            </w:tcMar>
          </w:tcPr>
          <w:p w14:paraId="13A2591D" w14:textId="77777777" w:rsidR="00172423" w:rsidRPr="002041E3" w:rsidRDefault="00172423" w:rsidP="00EF4045">
            <w:pPr>
              <w:rPr>
                <w:sz w:val="20"/>
                <w:szCs w:val="20"/>
              </w:rPr>
            </w:pPr>
            <w:r w:rsidRPr="002041E3">
              <w:rPr>
                <w:sz w:val="20"/>
                <w:szCs w:val="20"/>
              </w:rPr>
              <w:t>Supports continued data availability and publication</w:t>
            </w:r>
          </w:p>
        </w:tc>
        <w:tc>
          <w:tcPr>
            <w:tcW w:w="1985" w:type="dxa"/>
            <w:tcMar>
              <w:top w:w="57" w:type="dxa"/>
              <w:bottom w:w="57" w:type="dxa"/>
            </w:tcMar>
          </w:tcPr>
          <w:p w14:paraId="56417192" w14:textId="77777777" w:rsidR="00172423" w:rsidRPr="002041E3" w:rsidRDefault="00172423" w:rsidP="00EF4045">
            <w:pPr>
              <w:rPr>
                <w:sz w:val="20"/>
                <w:szCs w:val="20"/>
              </w:rPr>
            </w:pPr>
            <w:r w:rsidRPr="002041E3">
              <w:rPr>
                <w:sz w:val="20"/>
                <w:szCs w:val="20"/>
              </w:rPr>
              <w:t xml:space="preserve">No change to status quo </w:t>
            </w:r>
          </w:p>
        </w:tc>
        <w:tc>
          <w:tcPr>
            <w:tcW w:w="2268" w:type="dxa"/>
            <w:tcMar>
              <w:top w:w="57" w:type="dxa"/>
              <w:bottom w:w="57" w:type="dxa"/>
            </w:tcMar>
          </w:tcPr>
          <w:p w14:paraId="27AEC52F" w14:textId="77777777" w:rsidR="00172423" w:rsidRPr="002041E3" w:rsidRDefault="00172423" w:rsidP="00EF4045">
            <w:pPr>
              <w:rPr>
                <w:sz w:val="20"/>
                <w:szCs w:val="20"/>
              </w:rPr>
            </w:pPr>
            <w:r w:rsidRPr="002041E3">
              <w:rPr>
                <w:sz w:val="20"/>
                <w:szCs w:val="20"/>
              </w:rPr>
              <w:t>Enable continued use of data for policy making and publication</w:t>
            </w:r>
          </w:p>
        </w:tc>
        <w:tc>
          <w:tcPr>
            <w:tcW w:w="2268" w:type="dxa"/>
            <w:tcMar>
              <w:top w:w="57" w:type="dxa"/>
              <w:bottom w:w="57" w:type="dxa"/>
            </w:tcMar>
          </w:tcPr>
          <w:p w14:paraId="76CF5910" w14:textId="77777777" w:rsidR="00172423" w:rsidRPr="002041E3" w:rsidRDefault="00172423" w:rsidP="00EF4045">
            <w:pPr>
              <w:rPr>
                <w:sz w:val="20"/>
                <w:szCs w:val="20"/>
              </w:rPr>
            </w:pPr>
            <w:r w:rsidRPr="002041E3">
              <w:rPr>
                <w:sz w:val="20"/>
                <w:szCs w:val="20"/>
              </w:rPr>
              <w:t xml:space="preserve">Data continues to be made available </w:t>
            </w:r>
          </w:p>
        </w:tc>
        <w:tc>
          <w:tcPr>
            <w:tcW w:w="2556" w:type="dxa"/>
            <w:tcMar>
              <w:top w:w="57" w:type="dxa"/>
              <w:bottom w:w="57" w:type="dxa"/>
            </w:tcMar>
          </w:tcPr>
          <w:p w14:paraId="0B98B579" w14:textId="370B198D" w:rsidR="00172423" w:rsidRPr="002041E3" w:rsidRDefault="001C6837" w:rsidP="001C6837">
            <w:pPr>
              <w:rPr>
                <w:sz w:val="20"/>
                <w:szCs w:val="20"/>
              </w:rPr>
            </w:pPr>
            <w:r>
              <w:rPr>
                <w:sz w:val="20"/>
                <w:szCs w:val="20"/>
              </w:rPr>
              <w:t>Change to legislation</w:t>
            </w:r>
          </w:p>
        </w:tc>
      </w:tr>
      <w:tr w:rsidR="00172423" w14:paraId="385EC2C0"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6E759AF9" w14:textId="77777777" w:rsidR="00172423" w:rsidRPr="002041E3" w:rsidRDefault="00172423" w:rsidP="00EF4045">
            <w:pPr>
              <w:rPr>
                <w:b/>
                <w:sz w:val="20"/>
                <w:szCs w:val="20"/>
              </w:rPr>
            </w:pPr>
            <w:r w:rsidRPr="002041E3">
              <w:rPr>
                <w:b/>
                <w:sz w:val="20"/>
                <w:szCs w:val="20"/>
              </w:rPr>
              <w:t>R.15</w:t>
            </w:r>
          </w:p>
        </w:tc>
        <w:tc>
          <w:tcPr>
            <w:tcW w:w="2831" w:type="dxa"/>
            <w:tcMar>
              <w:top w:w="57" w:type="dxa"/>
              <w:bottom w:w="57" w:type="dxa"/>
            </w:tcMar>
          </w:tcPr>
          <w:p w14:paraId="30C73D91" w14:textId="77777777" w:rsidR="00172423" w:rsidRPr="002041E3" w:rsidRDefault="00172423" w:rsidP="00EF4045">
            <w:pPr>
              <w:rPr>
                <w:sz w:val="20"/>
                <w:szCs w:val="20"/>
              </w:rPr>
            </w:pPr>
            <w:r w:rsidRPr="002041E3">
              <w:rPr>
                <w:sz w:val="20"/>
                <w:szCs w:val="20"/>
              </w:rPr>
              <w:t>Identify ways to better meet data users’ needs by publishing more detailed analyses of key findings and trends, increasing the volume of data reported publicly and improving the presentation of data on the website</w:t>
            </w:r>
          </w:p>
        </w:tc>
        <w:tc>
          <w:tcPr>
            <w:tcW w:w="1908" w:type="dxa"/>
            <w:tcMar>
              <w:top w:w="57" w:type="dxa"/>
              <w:bottom w:w="57" w:type="dxa"/>
            </w:tcMar>
          </w:tcPr>
          <w:p w14:paraId="6691A7EF" w14:textId="77777777" w:rsidR="00172423" w:rsidRPr="001C6837" w:rsidRDefault="00172423" w:rsidP="00EF4045">
            <w:pPr>
              <w:rPr>
                <w:sz w:val="20"/>
                <w:szCs w:val="20"/>
              </w:rPr>
            </w:pPr>
            <w:r w:rsidRPr="001C6837">
              <w:rPr>
                <w:sz w:val="20"/>
                <w:szCs w:val="20"/>
              </w:rPr>
              <w:t>Improve data availability</w:t>
            </w:r>
          </w:p>
          <w:p w14:paraId="7CE467DE" w14:textId="77777777" w:rsidR="00172423" w:rsidRPr="001C6837" w:rsidRDefault="00172423" w:rsidP="00EF4045">
            <w:pPr>
              <w:rPr>
                <w:sz w:val="20"/>
                <w:szCs w:val="20"/>
              </w:rPr>
            </w:pPr>
            <w:r w:rsidRPr="001C6837">
              <w:rPr>
                <w:sz w:val="20"/>
                <w:szCs w:val="20"/>
              </w:rPr>
              <w:t>Reduce costs to data users</w:t>
            </w:r>
          </w:p>
        </w:tc>
        <w:tc>
          <w:tcPr>
            <w:tcW w:w="1985" w:type="dxa"/>
            <w:tcMar>
              <w:top w:w="57" w:type="dxa"/>
              <w:bottom w:w="57" w:type="dxa"/>
            </w:tcMar>
          </w:tcPr>
          <w:p w14:paraId="6171AD00" w14:textId="77777777" w:rsidR="00172423" w:rsidRPr="001C6837" w:rsidRDefault="00172423" w:rsidP="00EF4045">
            <w:pPr>
              <w:rPr>
                <w:sz w:val="20"/>
                <w:szCs w:val="20"/>
              </w:rPr>
            </w:pPr>
            <w:r w:rsidRPr="001C6837">
              <w:rPr>
                <w:sz w:val="20"/>
                <w:szCs w:val="20"/>
              </w:rPr>
              <w:t>Increase administrative costs to Regulator</w:t>
            </w:r>
          </w:p>
          <w:p w14:paraId="6106D4DB" w14:textId="77777777" w:rsidR="00172423" w:rsidRPr="001C6837" w:rsidRDefault="00172423" w:rsidP="00EF4045">
            <w:pPr>
              <w:rPr>
                <w:sz w:val="20"/>
                <w:szCs w:val="20"/>
              </w:rPr>
            </w:pPr>
          </w:p>
        </w:tc>
        <w:tc>
          <w:tcPr>
            <w:tcW w:w="2268" w:type="dxa"/>
            <w:tcMar>
              <w:top w:w="57" w:type="dxa"/>
              <w:bottom w:w="57" w:type="dxa"/>
            </w:tcMar>
          </w:tcPr>
          <w:p w14:paraId="5E20B910" w14:textId="77777777" w:rsidR="00172423" w:rsidRPr="001C6837" w:rsidRDefault="00172423" w:rsidP="00EF4045">
            <w:pPr>
              <w:rPr>
                <w:sz w:val="20"/>
                <w:szCs w:val="20"/>
              </w:rPr>
            </w:pPr>
            <w:r w:rsidRPr="001C6837">
              <w:rPr>
                <w:sz w:val="20"/>
                <w:szCs w:val="20"/>
              </w:rPr>
              <w:t xml:space="preserve">Enable greater use of data </w:t>
            </w:r>
          </w:p>
        </w:tc>
        <w:tc>
          <w:tcPr>
            <w:tcW w:w="2268" w:type="dxa"/>
            <w:tcMar>
              <w:top w:w="57" w:type="dxa"/>
              <w:bottom w:w="57" w:type="dxa"/>
            </w:tcMar>
          </w:tcPr>
          <w:p w14:paraId="28687D0C" w14:textId="77777777" w:rsidR="00172423" w:rsidRPr="001C6837" w:rsidRDefault="00172423" w:rsidP="00EF4045">
            <w:pPr>
              <w:rPr>
                <w:sz w:val="20"/>
                <w:szCs w:val="20"/>
              </w:rPr>
            </w:pPr>
            <w:r w:rsidRPr="001C6837">
              <w:rPr>
                <w:sz w:val="20"/>
                <w:szCs w:val="20"/>
              </w:rPr>
              <w:t>Increase transparency</w:t>
            </w:r>
          </w:p>
        </w:tc>
        <w:tc>
          <w:tcPr>
            <w:tcW w:w="2556" w:type="dxa"/>
            <w:tcMar>
              <w:top w:w="57" w:type="dxa"/>
              <w:bottom w:w="57" w:type="dxa"/>
            </w:tcMar>
          </w:tcPr>
          <w:p w14:paraId="4B91EDDB" w14:textId="77777777" w:rsidR="00172423" w:rsidRPr="002041E3" w:rsidRDefault="00172423" w:rsidP="00EF4045">
            <w:pPr>
              <w:rPr>
                <w:sz w:val="20"/>
                <w:szCs w:val="20"/>
              </w:rPr>
            </w:pPr>
            <w:r w:rsidRPr="002041E3">
              <w:rPr>
                <w:sz w:val="20"/>
                <w:szCs w:val="20"/>
              </w:rPr>
              <w:t>Regulator</w:t>
            </w:r>
          </w:p>
        </w:tc>
      </w:tr>
      <w:tr w:rsidR="00172423" w14:paraId="60D49905"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26621193" w14:textId="77777777" w:rsidR="00172423" w:rsidRPr="002041E3" w:rsidRDefault="00172423" w:rsidP="00EF4045">
            <w:pPr>
              <w:rPr>
                <w:b/>
                <w:sz w:val="20"/>
                <w:szCs w:val="20"/>
              </w:rPr>
            </w:pPr>
            <w:r w:rsidRPr="002041E3">
              <w:rPr>
                <w:b/>
                <w:sz w:val="20"/>
                <w:szCs w:val="20"/>
              </w:rPr>
              <w:t>R.16</w:t>
            </w:r>
          </w:p>
        </w:tc>
        <w:tc>
          <w:tcPr>
            <w:tcW w:w="2831" w:type="dxa"/>
            <w:tcMar>
              <w:top w:w="57" w:type="dxa"/>
              <w:bottom w:w="57" w:type="dxa"/>
            </w:tcMar>
          </w:tcPr>
          <w:p w14:paraId="1B48F55E" w14:textId="63F7110B" w:rsidR="00172423" w:rsidRPr="002041E3" w:rsidRDefault="00257416" w:rsidP="00257416">
            <w:pPr>
              <w:rPr>
                <w:sz w:val="20"/>
                <w:szCs w:val="20"/>
              </w:rPr>
            </w:pPr>
            <w:r>
              <w:rPr>
                <w:sz w:val="20"/>
                <w:szCs w:val="20"/>
              </w:rPr>
              <w:t>Safeguard b</w:t>
            </w:r>
            <w:r w:rsidR="00172423" w:rsidRPr="002041E3">
              <w:rPr>
                <w:sz w:val="20"/>
                <w:szCs w:val="20"/>
              </w:rPr>
              <w:t>aselines be updated to reflect changes to the measurement determination that lead to a material difference in reported emissions</w:t>
            </w:r>
          </w:p>
        </w:tc>
        <w:tc>
          <w:tcPr>
            <w:tcW w:w="1908" w:type="dxa"/>
            <w:tcMar>
              <w:top w:w="57" w:type="dxa"/>
              <w:bottom w:w="57" w:type="dxa"/>
            </w:tcMar>
          </w:tcPr>
          <w:p w14:paraId="58F9DD21" w14:textId="77777777" w:rsidR="00172423" w:rsidRPr="002041E3" w:rsidRDefault="00172423" w:rsidP="00EF4045">
            <w:pPr>
              <w:rPr>
                <w:sz w:val="20"/>
                <w:szCs w:val="20"/>
              </w:rPr>
            </w:pPr>
            <w:r w:rsidRPr="002041E3">
              <w:rPr>
                <w:sz w:val="20"/>
                <w:szCs w:val="20"/>
              </w:rPr>
              <w:t>Cost of complying with safeguard better reflects real emissions</w:t>
            </w:r>
          </w:p>
        </w:tc>
        <w:tc>
          <w:tcPr>
            <w:tcW w:w="1985" w:type="dxa"/>
            <w:tcMar>
              <w:top w:w="57" w:type="dxa"/>
              <w:bottom w:w="57" w:type="dxa"/>
            </w:tcMar>
          </w:tcPr>
          <w:p w14:paraId="04A52DDB" w14:textId="77777777" w:rsidR="00172423" w:rsidRPr="002041E3" w:rsidRDefault="00172423" w:rsidP="00EF4045">
            <w:pPr>
              <w:rPr>
                <w:sz w:val="20"/>
                <w:szCs w:val="20"/>
              </w:rPr>
            </w:pPr>
            <w:r w:rsidRPr="002041E3">
              <w:rPr>
                <w:sz w:val="20"/>
                <w:szCs w:val="20"/>
              </w:rPr>
              <w:t>Increase administrative cost to Department and Regulator</w:t>
            </w:r>
          </w:p>
        </w:tc>
        <w:tc>
          <w:tcPr>
            <w:tcW w:w="2268" w:type="dxa"/>
            <w:tcMar>
              <w:top w:w="57" w:type="dxa"/>
              <w:bottom w:w="57" w:type="dxa"/>
            </w:tcMar>
          </w:tcPr>
          <w:p w14:paraId="4FDCEF7E" w14:textId="77777777" w:rsidR="00172423" w:rsidRPr="002041E3" w:rsidRDefault="00172423" w:rsidP="00EF4045">
            <w:pPr>
              <w:rPr>
                <w:sz w:val="20"/>
                <w:szCs w:val="20"/>
              </w:rPr>
            </w:pPr>
            <w:r w:rsidRPr="002041E3">
              <w:rPr>
                <w:sz w:val="20"/>
                <w:szCs w:val="20"/>
              </w:rPr>
              <w:t>Estimation of emissions obligations for safeguard better reflects real emissions</w:t>
            </w:r>
          </w:p>
        </w:tc>
        <w:tc>
          <w:tcPr>
            <w:tcW w:w="2268" w:type="dxa"/>
            <w:tcMar>
              <w:top w:w="57" w:type="dxa"/>
              <w:bottom w:w="57" w:type="dxa"/>
            </w:tcMar>
          </w:tcPr>
          <w:p w14:paraId="69DC92CE" w14:textId="77777777" w:rsidR="00172423" w:rsidRPr="002041E3" w:rsidRDefault="00172423" w:rsidP="00EF4045">
            <w:pPr>
              <w:rPr>
                <w:sz w:val="20"/>
                <w:szCs w:val="20"/>
              </w:rPr>
            </w:pPr>
          </w:p>
        </w:tc>
        <w:tc>
          <w:tcPr>
            <w:tcW w:w="2556" w:type="dxa"/>
            <w:tcMar>
              <w:top w:w="57" w:type="dxa"/>
              <w:bottom w:w="57" w:type="dxa"/>
            </w:tcMar>
          </w:tcPr>
          <w:p w14:paraId="4DF8E777" w14:textId="20E985D0" w:rsidR="00172423" w:rsidRPr="002041E3" w:rsidRDefault="00172423" w:rsidP="001C6837">
            <w:pPr>
              <w:rPr>
                <w:sz w:val="20"/>
                <w:szCs w:val="20"/>
              </w:rPr>
            </w:pPr>
            <w:r w:rsidRPr="002041E3">
              <w:rPr>
                <w:sz w:val="20"/>
                <w:szCs w:val="20"/>
              </w:rPr>
              <w:t>Change to legislat</w:t>
            </w:r>
            <w:r w:rsidR="001C6837">
              <w:rPr>
                <w:sz w:val="20"/>
                <w:szCs w:val="20"/>
              </w:rPr>
              <w:t>ion</w:t>
            </w:r>
          </w:p>
        </w:tc>
      </w:tr>
      <w:tr w:rsidR="00172423" w14:paraId="5E5CF70A"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56FF3805" w14:textId="77777777" w:rsidR="00172423" w:rsidRPr="002041E3" w:rsidRDefault="00172423" w:rsidP="00EF4045">
            <w:pPr>
              <w:rPr>
                <w:b/>
                <w:sz w:val="20"/>
                <w:szCs w:val="20"/>
              </w:rPr>
            </w:pPr>
            <w:r w:rsidRPr="002041E3">
              <w:rPr>
                <w:b/>
                <w:sz w:val="20"/>
                <w:szCs w:val="20"/>
              </w:rPr>
              <w:t>R.17</w:t>
            </w:r>
          </w:p>
        </w:tc>
        <w:tc>
          <w:tcPr>
            <w:tcW w:w="2831" w:type="dxa"/>
            <w:tcMar>
              <w:top w:w="57" w:type="dxa"/>
              <w:bottom w:w="57" w:type="dxa"/>
            </w:tcMar>
          </w:tcPr>
          <w:p w14:paraId="1815048A" w14:textId="77777777" w:rsidR="00172423" w:rsidRPr="002041E3" w:rsidRDefault="00172423" w:rsidP="00EF4045">
            <w:pPr>
              <w:rPr>
                <w:sz w:val="20"/>
                <w:szCs w:val="20"/>
              </w:rPr>
            </w:pPr>
            <w:r w:rsidRPr="002041E3">
              <w:rPr>
                <w:sz w:val="20"/>
                <w:szCs w:val="20"/>
              </w:rPr>
              <w:t>Continue to pursue opportunities to increase the information available about the market for Australian Carbon Credit Units</w:t>
            </w:r>
          </w:p>
        </w:tc>
        <w:tc>
          <w:tcPr>
            <w:tcW w:w="1908" w:type="dxa"/>
            <w:tcMar>
              <w:top w:w="57" w:type="dxa"/>
              <w:bottom w:w="57" w:type="dxa"/>
            </w:tcMar>
          </w:tcPr>
          <w:p w14:paraId="795BEB1C" w14:textId="77777777" w:rsidR="00172423" w:rsidRPr="002041E3" w:rsidRDefault="00172423" w:rsidP="00EF4045">
            <w:pPr>
              <w:rPr>
                <w:sz w:val="20"/>
                <w:szCs w:val="20"/>
              </w:rPr>
            </w:pPr>
            <w:r w:rsidRPr="002041E3">
              <w:rPr>
                <w:sz w:val="20"/>
                <w:szCs w:val="20"/>
              </w:rPr>
              <w:t>Reduce costs of complying with safeguard obligations</w:t>
            </w:r>
          </w:p>
        </w:tc>
        <w:tc>
          <w:tcPr>
            <w:tcW w:w="1985" w:type="dxa"/>
            <w:tcMar>
              <w:top w:w="57" w:type="dxa"/>
              <w:bottom w:w="57" w:type="dxa"/>
            </w:tcMar>
          </w:tcPr>
          <w:p w14:paraId="56578E3A" w14:textId="77777777" w:rsidR="00172423" w:rsidRPr="002041E3" w:rsidRDefault="00172423" w:rsidP="00EF4045">
            <w:pPr>
              <w:rPr>
                <w:sz w:val="20"/>
                <w:szCs w:val="20"/>
              </w:rPr>
            </w:pPr>
            <w:r w:rsidRPr="002041E3">
              <w:rPr>
                <w:sz w:val="20"/>
                <w:szCs w:val="20"/>
              </w:rPr>
              <w:t>Increase administrative cost to Regulator</w:t>
            </w:r>
          </w:p>
        </w:tc>
        <w:tc>
          <w:tcPr>
            <w:tcW w:w="2268" w:type="dxa"/>
            <w:tcMar>
              <w:top w:w="57" w:type="dxa"/>
              <w:bottom w:w="57" w:type="dxa"/>
            </w:tcMar>
          </w:tcPr>
          <w:p w14:paraId="77F8270D" w14:textId="77777777" w:rsidR="00172423" w:rsidRPr="002041E3" w:rsidRDefault="00172423" w:rsidP="00EF4045">
            <w:pPr>
              <w:rPr>
                <w:sz w:val="20"/>
                <w:szCs w:val="20"/>
              </w:rPr>
            </w:pPr>
            <w:r>
              <w:rPr>
                <w:sz w:val="20"/>
                <w:szCs w:val="20"/>
              </w:rPr>
              <w:t>Possible i</w:t>
            </w:r>
            <w:r w:rsidRPr="00167F6F">
              <w:rPr>
                <w:sz w:val="20"/>
                <w:szCs w:val="20"/>
              </w:rPr>
              <w:t>ncrease</w:t>
            </w:r>
            <w:r>
              <w:rPr>
                <w:sz w:val="20"/>
                <w:szCs w:val="20"/>
              </w:rPr>
              <w:t xml:space="preserve"> in</w:t>
            </w:r>
            <w:r w:rsidRPr="002041E3">
              <w:rPr>
                <w:sz w:val="20"/>
                <w:szCs w:val="20"/>
              </w:rPr>
              <w:t xml:space="preserve"> investment in Emissions Reduction Fund projects</w:t>
            </w:r>
          </w:p>
        </w:tc>
        <w:tc>
          <w:tcPr>
            <w:tcW w:w="2268" w:type="dxa"/>
            <w:tcMar>
              <w:top w:w="57" w:type="dxa"/>
              <w:bottom w:w="57" w:type="dxa"/>
            </w:tcMar>
          </w:tcPr>
          <w:p w14:paraId="05FF11B7" w14:textId="77777777" w:rsidR="00172423" w:rsidRPr="002041E3" w:rsidRDefault="00172423" w:rsidP="00EF4045">
            <w:pPr>
              <w:rPr>
                <w:sz w:val="20"/>
                <w:szCs w:val="20"/>
              </w:rPr>
            </w:pPr>
            <w:r w:rsidRPr="002041E3">
              <w:rPr>
                <w:sz w:val="20"/>
                <w:szCs w:val="20"/>
              </w:rPr>
              <w:t>Increase transparency</w:t>
            </w:r>
          </w:p>
          <w:p w14:paraId="255753DA" w14:textId="77777777" w:rsidR="00172423" w:rsidRPr="002041E3" w:rsidRDefault="00172423" w:rsidP="00EF4045">
            <w:pPr>
              <w:rPr>
                <w:sz w:val="20"/>
                <w:szCs w:val="20"/>
              </w:rPr>
            </w:pPr>
            <w:r>
              <w:rPr>
                <w:sz w:val="20"/>
                <w:szCs w:val="20"/>
              </w:rPr>
              <w:t>Possible i</w:t>
            </w:r>
            <w:r w:rsidRPr="002041E3">
              <w:rPr>
                <w:sz w:val="20"/>
                <w:szCs w:val="20"/>
              </w:rPr>
              <w:t>ncrease</w:t>
            </w:r>
            <w:r>
              <w:rPr>
                <w:sz w:val="20"/>
                <w:szCs w:val="20"/>
              </w:rPr>
              <w:t xml:space="preserve"> in</w:t>
            </w:r>
            <w:r w:rsidRPr="002041E3">
              <w:rPr>
                <w:sz w:val="20"/>
                <w:szCs w:val="20"/>
              </w:rPr>
              <w:t xml:space="preserve"> availability of Australian Carbon Credit Units including for safeguard </w:t>
            </w:r>
            <w:r>
              <w:rPr>
                <w:sz w:val="20"/>
                <w:szCs w:val="20"/>
              </w:rPr>
              <w:t>facili</w:t>
            </w:r>
            <w:r w:rsidRPr="002041E3">
              <w:rPr>
                <w:sz w:val="20"/>
                <w:szCs w:val="20"/>
              </w:rPr>
              <w:t>ties</w:t>
            </w:r>
          </w:p>
        </w:tc>
        <w:tc>
          <w:tcPr>
            <w:tcW w:w="2556" w:type="dxa"/>
            <w:tcMar>
              <w:top w:w="57" w:type="dxa"/>
              <w:bottom w:w="57" w:type="dxa"/>
            </w:tcMar>
          </w:tcPr>
          <w:p w14:paraId="7049E82D" w14:textId="0DECD0A5" w:rsidR="00172423" w:rsidRPr="002041E3" w:rsidRDefault="00172423" w:rsidP="001C6837">
            <w:pPr>
              <w:rPr>
                <w:sz w:val="20"/>
                <w:szCs w:val="20"/>
              </w:rPr>
            </w:pPr>
            <w:r w:rsidRPr="002041E3">
              <w:rPr>
                <w:sz w:val="20"/>
                <w:szCs w:val="20"/>
              </w:rPr>
              <w:t>Regulator</w:t>
            </w:r>
          </w:p>
        </w:tc>
      </w:tr>
      <w:tr w:rsidR="00172423" w14:paraId="5A35D979"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Pr>
          <w:p w14:paraId="2F7E1BAB" w14:textId="77777777" w:rsidR="00172423" w:rsidRPr="002041E3" w:rsidRDefault="00172423" w:rsidP="00EF4045">
            <w:pPr>
              <w:rPr>
                <w:b/>
                <w:sz w:val="20"/>
                <w:szCs w:val="20"/>
              </w:rPr>
            </w:pPr>
            <w:r w:rsidRPr="002041E3">
              <w:rPr>
                <w:b/>
                <w:sz w:val="20"/>
                <w:szCs w:val="20"/>
              </w:rPr>
              <w:t>R.18</w:t>
            </w:r>
          </w:p>
        </w:tc>
        <w:tc>
          <w:tcPr>
            <w:tcW w:w="2831" w:type="dxa"/>
            <w:tcMar>
              <w:top w:w="57" w:type="dxa"/>
              <w:bottom w:w="57" w:type="dxa"/>
            </w:tcMar>
          </w:tcPr>
          <w:p w14:paraId="13F82B37" w14:textId="77777777" w:rsidR="00172423" w:rsidRPr="002041E3" w:rsidRDefault="00172423" w:rsidP="00EF4045">
            <w:pPr>
              <w:rPr>
                <w:sz w:val="20"/>
                <w:szCs w:val="20"/>
              </w:rPr>
            </w:pPr>
            <w:r w:rsidRPr="002041E3">
              <w:rPr>
                <w:sz w:val="20"/>
                <w:szCs w:val="20"/>
              </w:rPr>
              <w:t>Investigate the feasibility and potential uptake of allowing safeguard facilities to participate in the Emissions Reduction Fund in a way that recognises reductions in indirect emissions without resulting in an increase in reported direct emissions</w:t>
            </w:r>
          </w:p>
        </w:tc>
        <w:tc>
          <w:tcPr>
            <w:tcW w:w="1908" w:type="dxa"/>
            <w:tcMar>
              <w:top w:w="57" w:type="dxa"/>
              <w:bottom w:w="57" w:type="dxa"/>
            </w:tcMar>
          </w:tcPr>
          <w:p w14:paraId="329EAA62" w14:textId="77777777" w:rsidR="00172423" w:rsidRPr="002041E3" w:rsidRDefault="00172423" w:rsidP="00EF4045">
            <w:pPr>
              <w:rPr>
                <w:sz w:val="20"/>
                <w:szCs w:val="20"/>
              </w:rPr>
            </w:pPr>
            <w:r w:rsidRPr="002041E3">
              <w:rPr>
                <w:i/>
                <w:sz w:val="20"/>
                <w:szCs w:val="20"/>
              </w:rPr>
              <w:t>Increase availability of Australian Carbon Credit Units on secondary market</w:t>
            </w:r>
          </w:p>
        </w:tc>
        <w:tc>
          <w:tcPr>
            <w:tcW w:w="1985" w:type="dxa"/>
            <w:tcMar>
              <w:top w:w="57" w:type="dxa"/>
              <w:bottom w:w="57" w:type="dxa"/>
            </w:tcMar>
          </w:tcPr>
          <w:p w14:paraId="0BFB3D6F" w14:textId="77777777" w:rsidR="00172423" w:rsidRDefault="00172423" w:rsidP="00EF4045">
            <w:pPr>
              <w:rPr>
                <w:sz w:val="20"/>
                <w:szCs w:val="20"/>
              </w:rPr>
            </w:pPr>
            <w:r>
              <w:rPr>
                <w:sz w:val="20"/>
                <w:szCs w:val="20"/>
              </w:rPr>
              <w:t>C</w:t>
            </w:r>
            <w:r w:rsidRPr="002041E3">
              <w:rPr>
                <w:sz w:val="20"/>
                <w:szCs w:val="20"/>
              </w:rPr>
              <w:t>osts to Department of undertaking the analysis</w:t>
            </w:r>
          </w:p>
          <w:p w14:paraId="407077E8" w14:textId="77777777" w:rsidR="00172423" w:rsidRPr="002041E3" w:rsidRDefault="00172423" w:rsidP="00EF4045">
            <w:pPr>
              <w:rPr>
                <w:sz w:val="20"/>
                <w:szCs w:val="20"/>
              </w:rPr>
            </w:pPr>
          </w:p>
        </w:tc>
        <w:tc>
          <w:tcPr>
            <w:tcW w:w="2268" w:type="dxa"/>
            <w:tcMar>
              <w:top w:w="57" w:type="dxa"/>
              <w:bottom w:w="57" w:type="dxa"/>
            </w:tcMar>
          </w:tcPr>
          <w:p w14:paraId="35B4DC0B" w14:textId="77777777" w:rsidR="00172423" w:rsidRPr="002041E3" w:rsidRDefault="00172423" w:rsidP="00EF4045">
            <w:pPr>
              <w:rPr>
                <w:i/>
                <w:sz w:val="20"/>
                <w:szCs w:val="20"/>
              </w:rPr>
            </w:pPr>
            <w:r w:rsidRPr="002041E3">
              <w:rPr>
                <w:i/>
                <w:sz w:val="20"/>
                <w:szCs w:val="20"/>
              </w:rPr>
              <w:t>Increase investment by safeguard facilities in projects that reduce their indirect emissions</w:t>
            </w:r>
          </w:p>
        </w:tc>
        <w:tc>
          <w:tcPr>
            <w:tcW w:w="2268" w:type="dxa"/>
            <w:tcMar>
              <w:top w:w="57" w:type="dxa"/>
              <w:bottom w:w="57" w:type="dxa"/>
            </w:tcMar>
          </w:tcPr>
          <w:p w14:paraId="766A66E3" w14:textId="77777777" w:rsidR="00172423" w:rsidRPr="002041E3" w:rsidRDefault="00172423" w:rsidP="00EF4045">
            <w:pPr>
              <w:rPr>
                <w:i/>
                <w:sz w:val="20"/>
                <w:szCs w:val="20"/>
              </w:rPr>
            </w:pPr>
            <w:r>
              <w:rPr>
                <w:i/>
                <w:sz w:val="20"/>
                <w:szCs w:val="20"/>
              </w:rPr>
              <w:t xml:space="preserve">Provide the same </w:t>
            </w:r>
            <w:r w:rsidRPr="002041E3">
              <w:rPr>
                <w:i/>
                <w:sz w:val="20"/>
                <w:szCs w:val="20"/>
              </w:rPr>
              <w:t>incentive</w:t>
            </w:r>
            <w:r>
              <w:rPr>
                <w:i/>
                <w:sz w:val="20"/>
                <w:szCs w:val="20"/>
              </w:rPr>
              <w:t>s</w:t>
            </w:r>
            <w:r w:rsidRPr="002041E3">
              <w:rPr>
                <w:i/>
                <w:sz w:val="20"/>
                <w:szCs w:val="20"/>
              </w:rPr>
              <w:t xml:space="preserve"> for safeguard </w:t>
            </w:r>
            <w:r>
              <w:rPr>
                <w:i/>
                <w:sz w:val="20"/>
                <w:szCs w:val="20"/>
              </w:rPr>
              <w:t xml:space="preserve">and non-safeguard </w:t>
            </w:r>
            <w:r w:rsidRPr="002041E3">
              <w:rPr>
                <w:i/>
                <w:sz w:val="20"/>
                <w:szCs w:val="20"/>
              </w:rPr>
              <w:t>facilities to participate in the Emissions Reduction Fund</w:t>
            </w:r>
          </w:p>
        </w:tc>
        <w:tc>
          <w:tcPr>
            <w:tcW w:w="2556" w:type="dxa"/>
            <w:tcMar>
              <w:top w:w="57" w:type="dxa"/>
              <w:bottom w:w="57" w:type="dxa"/>
            </w:tcMar>
          </w:tcPr>
          <w:p w14:paraId="6AFA0AF2" w14:textId="77777777" w:rsidR="00172423" w:rsidRDefault="00172423" w:rsidP="00EF4045">
            <w:pPr>
              <w:rPr>
                <w:sz w:val="20"/>
                <w:szCs w:val="20"/>
              </w:rPr>
            </w:pPr>
            <w:r w:rsidRPr="002041E3">
              <w:rPr>
                <w:sz w:val="20"/>
                <w:szCs w:val="20"/>
              </w:rPr>
              <w:t>Department</w:t>
            </w:r>
          </w:p>
          <w:p w14:paraId="1582E91E" w14:textId="2944892D" w:rsidR="00172423" w:rsidRPr="002041E3" w:rsidRDefault="001C6837" w:rsidP="00EF4045">
            <w:pPr>
              <w:rPr>
                <w:sz w:val="20"/>
                <w:szCs w:val="20"/>
              </w:rPr>
            </w:pPr>
            <w:r>
              <w:rPr>
                <w:i/>
                <w:sz w:val="20"/>
                <w:szCs w:val="20"/>
              </w:rPr>
              <w:t>C</w:t>
            </w:r>
            <w:r w:rsidRPr="002041E3">
              <w:rPr>
                <w:i/>
                <w:sz w:val="20"/>
                <w:szCs w:val="20"/>
              </w:rPr>
              <w:t>hange to legislati</w:t>
            </w:r>
            <w:r>
              <w:rPr>
                <w:i/>
                <w:sz w:val="20"/>
                <w:szCs w:val="20"/>
              </w:rPr>
              <w:t>on</w:t>
            </w:r>
          </w:p>
        </w:tc>
      </w:tr>
      <w:tr w:rsidR="00172423" w14:paraId="42295A24"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Borders>
              <w:bottom w:val="dotted" w:sz="4" w:space="0" w:color="309CC8" w:themeColor="accent3"/>
            </w:tcBorders>
          </w:tcPr>
          <w:p w14:paraId="5EE4CBED" w14:textId="77777777" w:rsidR="00172423" w:rsidRPr="002041E3" w:rsidRDefault="00172423" w:rsidP="00EF4045">
            <w:pPr>
              <w:rPr>
                <w:b/>
                <w:sz w:val="20"/>
                <w:szCs w:val="20"/>
              </w:rPr>
            </w:pPr>
            <w:r w:rsidRPr="002041E3">
              <w:rPr>
                <w:b/>
                <w:sz w:val="20"/>
                <w:szCs w:val="20"/>
              </w:rPr>
              <w:t>R.19</w:t>
            </w:r>
          </w:p>
        </w:tc>
        <w:tc>
          <w:tcPr>
            <w:tcW w:w="2831" w:type="dxa"/>
            <w:tcBorders>
              <w:bottom w:val="dotted" w:sz="4" w:space="0" w:color="309CC8" w:themeColor="accent3"/>
            </w:tcBorders>
            <w:tcMar>
              <w:top w:w="57" w:type="dxa"/>
              <w:bottom w:w="57" w:type="dxa"/>
            </w:tcMar>
          </w:tcPr>
          <w:p w14:paraId="0A701C31" w14:textId="77777777" w:rsidR="00172423" w:rsidRPr="002041E3" w:rsidRDefault="00172423" w:rsidP="00EF4045">
            <w:pPr>
              <w:rPr>
                <w:sz w:val="20"/>
                <w:szCs w:val="20"/>
              </w:rPr>
            </w:pPr>
            <w:r w:rsidRPr="002041E3">
              <w:rPr>
                <w:sz w:val="20"/>
                <w:szCs w:val="20"/>
              </w:rPr>
              <w:t>Remove the option for deemed surrender</w:t>
            </w:r>
          </w:p>
        </w:tc>
        <w:tc>
          <w:tcPr>
            <w:tcW w:w="1908" w:type="dxa"/>
            <w:tcBorders>
              <w:bottom w:val="dotted" w:sz="4" w:space="0" w:color="309CC8" w:themeColor="accent3"/>
            </w:tcBorders>
            <w:tcMar>
              <w:top w:w="57" w:type="dxa"/>
              <w:bottom w:w="57" w:type="dxa"/>
            </w:tcMar>
          </w:tcPr>
          <w:p w14:paraId="09F63628" w14:textId="77777777" w:rsidR="00172423" w:rsidRPr="002041E3" w:rsidRDefault="00172423" w:rsidP="00EF4045">
            <w:pPr>
              <w:rPr>
                <w:sz w:val="20"/>
                <w:szCs w:val="20"/>
              </w:rPr>
            </w:pPr>
            <w:r w:rsidRPr="002A7A55">
              <w:rPr>
                <w:sz w:val="20"/>
                <w:szCs w:val="20"/>
              </w:rPr>
              <w:t>Improve</w:t>
            </w:r>
            <w:r w:rsidRPr="002041E3">
              <w:rPr>
                <w:sz w:val="20"/>
                <w:szCs w:val="20"/>
              </w:rPr>
              <w:t xml:space="preserve"> efficiency of the Emissions Reduction Fund</w:t>
            </w:r>
          </w:p>
        </w:tc>
        <w:tc>
          <w:tcPr>
            <w:tcW w:w="1985" w:type="dxa"/>
            <w:tcBorders>
              <w:bottom w:val="dotted" w:sz="4" w:space="0" w:color="309CC8" w:themeColor="accent3"/>
            </w:tcBorders>
            <w:tcMar>
              <w:top w:w="57" w:type="dxa"/>
              <w:bottom w:w="57" w:type="dxa"/>
            </w:tcMar>
          </w:tcPr>
          <w:p w14:paraId="45885268" w14:textId="77777777" w:rsidR="00172423" w:rsidRPr="002041E3" w:rsidRDefault="00172423" w:rsidP="00EF4045">
            <w:pPr>
              <w:rPr>
                <w:sz w:val="20"/>
                <w:szCs w:val="20"/>
              </w:rPr>
            </w:pPr>
            <w:r w:rsidRPr="002041E3">
              <w:rPr>
                <w:sz w:val="20"/>
                <w:szCs w:val="20"/>
              </w:rPr>
              <w:t>Increase administrative cost to Department</w:t>
            </w:r>
          </w:p>
        </w:tc>
        <w:tc>
          <w:tcPr>
            <w:tcW w:w="2268" w:type="dxa"/>
            <w:tcBorders>
              <w:bottom w:val="dotted" w:sz="4" w:space="0" w:color="309CC8" w:themeColor="accent3"/>
            </w:tcBorders>
            <w:tcMar>
              <w:top w:w="57" w:type="dxa"/>
              <w:bottom w:w="57" w:type="dxa"/>
            </w:tcMar>
          </w:tcPr>
          <w:p w14:paraId="19CE2A43" w14:textId="77777777" w:rsidR="00172423" w:rsidRPr="002041E3" w:rsidRDefault="00172423" w:rsidP="00EF4045">
            <w:pPr>
              <w:rPr>
                <w:sz w:val="20"/>
                <w:szCs w:val="20"/>
              </w:rPr>
            </w:pPr>
            <w:r>
              <w:rPr>
                <w:sz w:val="20"/>
                <w:szCs w:val="20"/>
              </w:rPr>
              <w:t>Reduce the risk that the Government purchases abatement under the Emissions Reduction Fund that may have occurred anyway</w:t>
            </w:r>
          </w:p>
        </w:tc>
        <w:tc>
          <w:tcPr>
            <w:tcW w:w="2268" w:type="dxa"/>
            <w:tcBorders>
              <w:bottom w:val="dotted" w:sz="4" w:space="0" w:color="309CC8" w:themeColor="accent3"/>
            </w:tcBorders>
            <w:tcMar>
              <w:top w:w="57" w:type="dxa"/>
              <w:bottom w:w="57" w:type="dxa"/>
            </w:tcMar>
          </w:tcPr>
          <w:p w14:paraId="153814F3" w14:textId="77777777" w:rsidR="00172423" w:rsidRPr="002041E3" w:rsidRDefault="00172423" w:rsidP="00EF4045">
            <w:pPr>
              <w:rPr>
                <w:sz w:val="20"/>
                <w:szCs w:val="20"/>
              </w:rPr>
            </w:pPr>
          </w:p>
        </w:tc>
        <w:tc>
          <w:tcPr>
            <w:tcW w:w="2556" w:type="dxa"/>
            <w:tcBorders>
              <w:bottom w:val="dotted" w:sz="4" w:space="0" w:color="309CC8" w:themeColor="accent3"/>
            </w:tcBorders>
            <w:tcMar>
              <w:top w:w="57" w:type="dxa"/>
              <w:bottom w:w="57" w:type="dxa"/>
            </w:tcMar>
          </w:tcPr>
          <w:p w14:paraId="23886221" w14:textId="292C94C9" w:rsidR="00172423" w:rsidRPr="001C6837" w:rsidRDefault="001C6837" w:rsidP="00EF4045">
            <w:pPr>
              <w:rPr>
                <w:sz w:val="20"/>
                <w:szCs w:val="20"/>
              </w:rPr>
            </w:pPr>
            <w:r w:rsidRPr="001C6837">
              <w:rPr>
                <w:sz w:val="20"/>
                <w:szCs w:val="20"/>
              </w:rPr>
              <w:t>Change to legislation</w:t>
            </w:r>
          </w:p>
        </w:tc>
      </w:tr>
      <w:tr w:rsidR="00172423" w14:paraId="6D285E08" w14:textId="77777777" w:rsidTr="00EF4045">
        <w:tblPrEx>
          <w:tblBorders>
            <w:top w:val="none" w:sz="0" w:space="0" w:color="auto"/>
            <w:left w:val="none" w:sz="0" w:space="0" w:color="auto"/>
            <w:bottom w:val="none" w:sz="0" w:space="0" w:color="auto"/>
            <w:right w:val="none" w:sz="0" w:space="0" w:color="auto"/>
            <w:insideH w:val="dotted" w:sz="4" w:space="0" w:color="309CC8" w:themeColor="accent3"/>
            <w:insideV w:val="none" w:sz="0" w:space="0" w:color="auto"/>
          </w:tblBorders>
        </w:tblPrEx>
        <w:trPr>
          <w:cantSplit/>
        </w:trPr>
        <w:tc>
          <w:tcPr>
            <w:tcW w:w="926" w:type="dxa"/>
            <w:tcBorders>
              <w:top w:val="dotted" w:sz="4" w:space="0" w:color="309CC8" w:themeColor="accent3"/>
              <w:bottom w:val="dotted" w:sz="4" w:space="0" w:color="309CC8" w:themeColor="text2"/>
            </w:tcBorders>
          </w:tcPr>
          <w:p w14:paraId="4773DBDD" w14:textId="77777777" w:rsidR="00172423" w:rsidRPr="002041E3" w:rsidRDefault="00172423" w:rsidP="00EF4045">
            <w:pPr>
              <w:rPr>
                <w:b/>
                <w:sz w:val="20"/>
                <w:szCs w:val="20"/>
              </w:rPr>
            </w:pPr>
            <w:r w:rsidRPr="002041E3">
              <w:rPr>
                <w:b/>
                <w:sz w:val="20"/>
                <w:szCs w:val="20"/>
              </w:rPr>
              <w:t>R.20</w:t>
            </w:r>
          </w:p>
        </w:tc>
        <w:tc>
          <w:tcPr>
            <w:tcW w:w="2831" w:type="dxa"/>
            <w:tcBorders>
              <w:top w:val="dotted" w:sz="4" w:space="0" w:color="309CC8" w:themeColor="accent3"/>
              <w:bottom w:val="dotted" w:sz="4" w:space="0" w:color="309CC8" w:themeColor="text2"/>
            </w:tcBorders>
            <w:tcMar>
              <w:top w:w="57" w:type="dxa"/>
              <w:bottom w:w="57" w:type="dxa"/>
            </w:tcMar>
          </w:tcPr>
          <w:p w14:paraId="42C67D62" w14:textId="77777777" w:rsidR="00172423" w:rsidRPr="002041E3" w:rsidRDefault="00172423" w:rsidP="00EF4045">
            <w:pPr>
              <w:rPr>
                <w:sz w:val="20"/>
                <w:szCs w:val="20"/>
              </w:rPr>
            </w:pPr>
            <w:r w:rsidRPr="002041E3">
              <w:rPr>
                <w:sz w:val="20"/>
                <w:szCs w:val="20"/>
              </w:rPr>
              <w:t>Continue to work with reporters and auditors to better target compliance audits to ensure integrity of the data and reduce costs to business</w:t>
            </w:r>
          </w:p>
        </w:tc>
        <w:tc>
          <w:tcPr>
            <w:tcW w:w="1908" w:type="dxa"/>
            <w:tcBorders>
              <w:top w:val="dotted" w:sz="4" w:space="0" w:color="309CC8" w:themeColor="accent3"/>
              <w:bottom w:val="dotted" w:sz="4" w:space="0" w:color="309CC8" w:themeColor="text2"/>
            </w:tcBorders>
            <w:tcMar>
              <w:top w:w="57" w:type="dxa"/>
              <w:bottom w:w="57" w:type="dxa"/>
            </w:tcMar>
          </w:tcPr>
          <w:p w14:paraId="53C4F91C" w14:textId="77777777" w:rsidR="00172423" w:rsidRPr="002041E3" w:rsidRDefault="00172423" w:rsidP="00EF4045">
            <w:pPr>
              <w:rPr>
                <w:sz w:val="20"/>
                <w:szCs w:val="20"/>
              </w:rPr>
            </w:pPr>
            <w:r w:rsidRPr="002041E3">
              <w:rPr>
                <w:sz w:val="20"/>
                <w:szCs w:val="20"/>
              </w:rPr>
              <w:t>Reduce transaction costs</w:t>
            </w:r>
          </w:p>
          <w:p w14:paraId="46957F36" w14:textId="77777777" w:rsidR="00172423" w:rsidRPr="002041E3" w:rsidRDefault="00172423" w:rsidP="00EF4045">
            <w:pPr>
              <w:rPr>
                <w:sz w:val="20"/>
                <w:szCs w:val="20"/>
              </w:rPr>
            </w:pPr>
            <w:r w:rsidRPr="002041E3">
              <w:rPr>
                <w:sz w:val="20"/>
                <w:szCs w:val="20"/>
              </w:rPr>
              <w:t>Reduce administrative costs to Regulator</w:t>
            </w:r>
          </w:p>
          <w:p w14:paraId="703E24DD" w14:textId="77777777" w:rsidR="00172423" w:rsidRPr="002041E3" w:rsidRDefault="00172423" w:rsidP="00EF4045">
            <w:pPr>
              <w:rPr>
                <w:sz w:val="20"/>
                <w:szCs w:val="20"/>
              </w:rPr>
            </w:pPr>
          </w:p>
        </w:tc>
        <w:tc>
          <w:tcPr>
            <w:tcW w:w="1985" w:type="dxa"/>
            <w:tcBorders>
              <w:top w:val="dotted" w:sz="4" w:space="0" w:color="309CC8" w:themeColor="accent3"/>
              <w:bottom w:val="dotted" w:sz="4" w:space="0" w:color="309CC8" w:themeColor="text2"/>
            </w:tcBorders>
            <w:tcMar>
              <w:top w:w="57" w:type="dxa"/>
              <w:bottom w:w="57" w:type="dxa"/>
            </w:tcMar>
          </w:tcPr>
          <w:p w14:paraId="1B1921DB" w14:textId="77777777" w:rsidR="00172423" w:rsidRPr="002041E3" w:rsidRDefault="00172423" w:rsidP="00EF4045">
            <w:pPr>
              <w:rPr>
                <w:sz w:val="20"/>
                <w:szCs w:val="20"/>
              </w:rPr>
            </w:pPr>
            <w:r w:rsidRPr="002041E3">
              <w:rPr>
                <w:sz w:val="20"/>
                <w:szCs w:val="20"/>
              </w:rPr>
              <w:t>NA</w:t>
            </w:r>
          </w:p>
        </w:tc>
        <w:tc>
          <w:tcPr>
            <w:tcW w:w="2268" w:type="dxa"/>
            <w:tcBorders>
              <w:top w:val="dotted" w:sz="4" w:space="0" w:color="309CC8" w:themeColor="accent3"/>
              <w:bottom w:val="dotted" w:sz="4" w:space="0" w:color="309CC8" w:themeColor="text2"/>
            </w:tcBorders>
            <w:tcMar>
              <w:top w:w="57" w:type="dxa"/>
              <w:bottom w:w="57" w:type="dxa"/>
            </w:tcMar>
          </w:tcPr>
          <w:p w14:paraId="2E3493DE" w14:textId="77777777" w:rsidR="00172423" w:rsidRPr="002041E3" w:rsidRDefault="00172423" w:rsidP="00EF4045">
            <w:pPr>
              <w:rPr>
                <w:sz w:val="20"/>
                <w:szCs w:val="20"/>
              </w:rPr>
            </w:pPr>
            <w:r w:rsidRPr="002041E3">
              <w:rPr>
                <w:sz w:val="20"/>
                <w:szCs w:val="20"/>
              </w:rPr>
              <w:t>NA</w:t>
            </w:r>
          </w:p>
        </w:tc>
        <w:tc>
          <w:tcPr>
            <w:tcW w:w="2268" w:type="dxa"/>
            <w:tcBorders>
              <w:top w:val="dotted" w:sz="4" w:space="0" w:color="309CC8" w:themeColor="accent3"/>
              <w:bottom w:val="dotted" w:sz="4" w:space="0" w:color="309CC8" w:themeColor="text2"/>
            </w:tcBorders>
            <w:tcMar>
              <w:top w:w="57" w:type="dxa"/>
              <w:bottom w:w="57" w:type="dxa"/>
            </w:tcMar>
          </w:tcPr>
          <w:p w14:paraId="3219862A" w14:textId="77777777" w:rsidR="00172423" w:rsidRPr="002041E3" w:rsidRDefault="00172423" w:rsidP="00EF4045">
            <w:pPr>
              <w:rPr>
                <w:sz w:val="20"/>
                <w:szCs w:val="20"/>
              </w:rPr>
            </w:pPr>
          </w:p>
        </w:tc>
        <w:tc>
          <w:tcPr>
            <w:tcW w:w="2556" w:type="dxa"/>
            <w:tcBorders>
              <w:top w:val="dotted" w:sz="4" w:space="0" w:color="309CC8" w:themeColor="accent3"/>
              <w:bottom w:val="dotted" w:sz="4" w:space="0" w:color="309CC8" w:themeColor="text2"/>
            </w:tcBorders>
            <w:tcMar>
              <w:top w:w="57" w:type="dxa"/>
              <w:bottom w:w="57" w:type="dxa"/>
            </w:tcMar>
          </w:tcPr>
          <w:p w14:paraId="183CBCEC" w14:textId="77777777" w:rsidR="00172423" w:rsidRPr="002041E3" w:rsidRDefault="00172423" w:rsidP="00EF4045">
            <w:pPr>
              <w:rPr>
                <w:sz w:val="20"/>
                <w:szCs w:val="20"/>
              </w:rPr>
            </w:pPr>
            <w:r w:rsidRPr="002041E3">
              <w:rPr>
                <w:sz w:val="20"/>
                <w:szCs w:val="20"/>
              </w:rPr>
              <w:t>Regulator</w:t>
            </w:r>
          </w:p>
        </w:tc>
      </w:tr>
    </w:tbl>
    <w:p w14:paraId="40AC50DE" w14:textId="77777777" w:rsidR="00172423" w:rsidRPr="00747D4E" w:rsidRDefault="00172423" w:rsidP="00172423">
      <w:pPr>
        <w:pStyle w:val="CCABodytext"/>
      </w:pPr>
    </w:p>
    <w:p w14:paraId="53DBBDDF" w14:textId="0D3EB929" w:rsidR="00A74ECA" w:rsidRPr="007161D3" w:rsidRDefault="00A74ECA" w:rsidP="00A74ECA">
      <w:pPr>
        <w:spacing w:after="200" w:line="276" w:lineRule="auto"/>
        <w:rPr>
          <w:rFonts w:asciiTheme="minorHAnsi" w:hAnsiTheme="minorHAnsi" w:cstheme="minorHAnsi"/>
          <w:sz w:val="21"/>
          <w:szCs w:val="21"/>
        </w:rPr>
        <w:sectPr w:rsidR="00A74ECA" w:rsidRPr="007161D3" w:rsidSect="00172423">
          <w:pgSz w:w="16840" w:h="11907" w:orient="landscape" w:code="9"/>
          <w:pgMar w:top="1077" w:right="1418" w:bottom="1077" w:left="851" w:header="850" w:footer="720" w:gutter="0"/>
          <w:pgNumType w:chapStyle="1" w:chapSep="emDash"/>
          <w:cols w:space="720"/>
          <w:docGrid w:linePitch="360"/>
        </w:sectPr>
      </w:pPr>
    </w:p>
    <w:p w14:paraId="300FEAA1" w14:textId="56F92194" w:rsidR="00A74ECA" w:rsidRPr="007161D3" w:rsidRDefault="00A74ECA" w:rsidP="00C813C5">
      <w:pPr>
        <w:pStyle w:val="CCAAppendixHeading"/>
      </w:pPr>
      <w:bookmarkStart w:id="950" w:name="_Ref529390414"/>
      <w:bookmarkStart w:id="951" w:name="_Toc531095597"/>
      <w:bookmarkStart w:id="952" w:name="_Toc531099363"/>
      <w:bookmarkStart w:id="953" w:name="_Toc531101772"/>
      <w:bookmarkStart w:id="954" w:name="_Toc531764038"/>
      <w:bookmarkStart w:id="955" w:name="_Toc532912131"/>
      <w:bookmarkStart w:id="956" w:name="_Toc532914973"/>
      <w:r>
        <w:t>Public consultations</w:t>
      </w:r>
      <w:bookmarkEnd w:id="950"/>
      <w:bookmarkEnd w:id="951"/>
      <w:bookmarkEnd w:id="952"/>
      <w:bookmarkEnd w:id="953"/>
      <w:bookmarkEnd w:id="954"/>
      <w:bookmarkEnd w:id="955"/>
      <w:bookmarkEnd w:id="956"/>
    </w:p>
    <w:p w14:paraId="6DA8FB6D" w14:textId="77777777" w:rsidR="00B14544" w:rsidRPr="00B14544" w:rsidRDefault="00B14544" w:rsidP="00602BAF">
      <w:pPr>
        <w:pStyle w:val="CCABodytext"/>
      </w:pPr>
      <w:r w:rsidRPr="00B14544">
        <w:t xml:space="preserve">The </w:t>
      </w:r>
      <w:r w:rsidR="005A3867">
        <w:t>Climate Change</w:t>
      </w:r>
      <w:r w:rsidRPr="00B14544">
        <w:t xml:space="preserve"> Authority conducts public consultations for all of its reviews. </w:t>
      </w:r>
    </w:p>
    <w:p w14:paraId="06C275BE" w14:textId="77777777" w:rsidR="00B14544" w:rsidRPr="00B14544" w:rsidRDefault="00B14544" w:rsidP="00602BAF">
      <w:pPr>
        <w:pStyle w:val="CCABodytext"/>
      </w:pPr>
      <w:r w:rsidRPr="00B14544">
        <w:t>On 31 July 2018, the Authority released a paper to facilitate consultation for this review. The Authority received 40 stakeholder submissions. The Authority also met with over 100 individuals from more than 80 organisations. The Authority met with and received submissions from:</w:t>
      </w:r>
    </w:p>
    <w:p w14:paraId="6D2BB849" w14:textId="77777777" w:rsidR="00B14544" w:rsidRPr="00B14544" w:rsidRDefault="00B14544" w:rsidP="00602BAF">
      <w:pPr>
        <w:pStyle w:val="ListBullet"/>
        <w:rPr>
          <w:rFonts w:eastAsia="Calibri"/>
        </w:rPr>
      </w:pPr>
      <w:r w:rsidRPr="00B14544">
        <w:rPr>
          <w:rFonts w:eastAsia="Calibri"/>
        </w:rPr>
        <w:t>companies across a range of sectors that have obligations under the</w:t>
      </w:r>
      <w:r w:rsidR="007C4F22">
        <w:rPr>
          <w:rFonts w:eastAsia="Calibri"/>
        </w:rPr>
        <w:t xml:space="preserve"> reporting scheme and safeguard</w:t>
      </w:r>
    </w:p>
    <w:p w14:paraId="4149C68D" w14:textId="77777777" w:rsidR="00B14544" w:rsidRPr="00B14544" w:rsidRDefault="00B14544" w:rsidP="00602BAF">
      <w:pPr>
        <w:pStyle w:val="ListBullet"/>
        <w:rPr>
          <w:rFonts w:eastAsia="Calibri"/>
        </w:rPr>
      </w:pPr>
      <w:r w:rsidRPr="00B14544">
        <w:rPr>
          <w:rFonts w:eastAsia="Calibri"/>
        </w:rPr>
        <w:t>service providers that assist compani</w:t>
      </w:r>
      <w:r w:rsidR="007C4F22">
        <w:rPr>
          <w:rFonts w:eastAsia="Calibri"/>
        </w:rPr>
        <w:t>es in meeting their obligations</w:t>
      </w:r>
    </w:p>
    <w:p w14:paraId="4652D6C7" w14:textId="77777777" w:rsidR="00B14544" w:rsidRPr="00B14544" w:rsidRDefault="00B14544" w:rsidP="00602BAF">
      <w:pPr>
        <w:pStyle w:val="ListBullet"/>
        <w:rPr>
          <w:rFonts w:eastAsia="Calibri"/>
        </w:rPr>
      </w:pPr>
      <w:r w:rsidRPr="00B14544">
        <w:rPr>
          <w:rFonts w:eastAsia="Calibri"/>
        </w:rPr>
        <w:t>individuals and gr</w:t>
      </w:r>
      <w:r w:rsidR="007C4F22">
        <w:rPr>
          <w:rFonts w:eastAsia="Calibri"/>
        </w:rPr>
        <w:t>oups that use the data reported</w:t>
      </w:r>
    </w:p>
    <w:p w14:paraId="73067C09" w14:textId="77777777" w:rsidR="00B14544" w:rsidRPr="00B14544" w:rsidRDefault="00B14544" w:rsidP="00602BAF">
      <w:pPr>
        <w:pStyle w:val="ListBullet"/>
        <w:rPr>
          <w:rFonts w:eastAsia="Calibri"/>
        </w:rPr>
      </w:pPr>
      <w:r w:rsidRPr="00B14544">
        <w:rPr>
          <w:rFonts w:eastAsia="Calibri"/>
        </w:rPr>
        <w:t>the government bodies that administer the legislation or use the data reported.</w:t>
      </w:r>
    </w:p>
    <w:p w14:paraId="5AD16D1D" w14:textId="77777777" w:rsidR="00B14544" w:rsidRPr="00B14544" w:rsidRDefault="00B14544" w:rsidP="00602BAF">
      <w:pPr>
        <w:pStyle w:val="CCABodytext"/>
      </w:pPr>
      <w:r w:rsidRPr="00B14544">
        <w:t xml:space="preserve">Submissions are available on the Authority’s website at </w:t>
      </w:r>
      <w:hyperlink r:id="rId49" w:history="1">
        <w:r w:rsidR="00926C37" w:rsidRPr="000B15DB">
          <w:rPr>
            <w:rStyle w:val="Hyperlink"/>
          </w:rPr>
          <w:t>http://www.climatechangeauthority.gov.au/submissions/submissions-received</w:t>
        </w:r>
      </w:hyperlink>
      <w:r w:rsidRPr="00B14544">
        <w:t xml:space="preserve">. A summary of submissions received is </w:t>
      </w:r>
      <w:r w:rsidR="007C4F22">
        <w:t xml:space="preserve">also </w:t>
      </w:r>
      <w:r w:rsidRPr="00B14544">
        <w:t xml:space="preserve">available at </w:t>
      </w:r>
      <w:hyperlink r:id="rId50" w:history="1">
        <w:r w:rsidR="00926C37" w:rsidRPr="000B15DB">
          <w:rPr>
            <w:rStyle w:val="Hyperlink"/>
          </w:rPr>
          <w:t>http://www.climatechangeauthority.gov.au/summary-submissions-review-national-greenhouse-and-energy-reporting-legislation</w:t>
        </w:r>
      </w:hyperlink>
      <w:r w:rsidRPr="00B14544">
        <w:t xml:space="preserve">. </w:t>
      </w:r>
    </w:p>
    <w:p w14:paraId="2F53D784" w14:textId="3ACC4A44" w:rsidR="002301D7" w:rsidRPr="00B14544" w:rsidRDefault="004F686D" w:rsidP="00602BAF">
      <w:pPr>
        <w:pStyle w:val="CCABodytext"/>
      </w:pPr>
      <w:r>
        <w:t>T</w:t>
      </w:r>
      <w:r w:rsidR="00B14544" w:rsidRPr="00B14544">
        <w:t xml:space="preserve">he Authority also drew on </w:t>
      </w:r>
      <w:r w:rsidR="00E819D5">
        <w:t xml:space="preserve">public </w:t>
      </w:r>
      <w:r w:rsidR="00B14544" w:rsidRPr="00B14544">
        <w:t xml:space="preserve">submissions </w:t>
      </w:r>
      <w:r w:rsidR="00A355F0">
        <w:t>on</w:t>
      </w:r>
      <w:r w:rsidR="00B14544" w:rsidRPr="00B14544">
        <w:t xml:space="preserve"> the Department of </w:t>
      </w:r>
      <w:r w:rsidR="006A520D">
        <w:t xml:space="preserve">the </w:t>
      </w:r>
      <w:r w:rsidR="00B14544" w:rsidRPr="00B14544">
        <w:t xml:space="preserve">Environment and Energy’s </w:t>
      </w:r>
      <w:r w:rsidR="00A43F11">
        <w:t>consultations on safeguard baseline settings in 2018</w:t>
      </w:r>
      <w:r w:rsidR="002301D7" w:rsidRPr="002301D7">
        <w:t xml:space="preserve"> and the Government’s review of climate change policies in 2017. </w:t>
      </w:r>
    </w:p>
    <w:p w14:paraId="3E7F9E99" w14:textId="77777777" w:rsidR="00B14544" w:rsidRPr="00B14544" w:rsidRDefault="00B14544" w:rsidP="00602BAF">
      <w:pPr>
        <w:pStyle w:val="CCABodytext"/>
      </w:pPr>
      <w:r w:rsidRPr="00B14544">
        <w:t>The Authority thanks all those that provided submissions or engaged with the Authority for this work.</w:t>
      </w:r>
    </w:p>
    <w:p w14:paraId="40F41D89" w14:textId="77777777" w:rsidR="00B00919" w:rsidRDefault="00B14544" w:rsidP="00B14544">
      <w:pPr>
        <w:pStyle w:val="CCABodytext"/>
      </w:pPr>
      <w:r w:rsidRPr="00B14544">
        <w:t xml:space="preserve">Organisations that made non-confidential submissions </w:t>
      </w:r>
      <w:r w:rsidR="00A355F0">
        <w:t>on</w:t>
      </w:r>
      <w:r w:rsidRPr="00B14544">
        <w:t xml:space="preserve"> this review were:</w:t>
      </w:r>
    </w:p>
    <w:p w14:paraId="701DF552" w14:textId="77777777" w:rsidR="00B00919" w:rsidRDefault="00B00919" w:rsidP="00B14544">
      <w:pPr>
        <w:pStyle w:val="CCABodytext"/>
        <w:sectPr w:rsidR="00B00919" w:rsidSect="00041493">
          <w:pgSz w:w="11907" w:h="16840" w:code="9"/>
          <w:pgMar w:top="1418" w:right="1077" w:bottom="851" w:left="1077" w:header="850" w:footer="720" w:gutter="0"/>
          <w:pgNumType w:chapStyle="1" w:chapSep="emDash"/>
          <w:cols w:space="720"/>
          <w:docGrid w:linePitch="360"/>
        </w:sectPr>
      </w:pPr>
    </w:p>
    <w:p w14:paraId="485941DA" w14:textId="77777777" w:rsidR="00B00919" w:rsidRPr="00B14544" w:rsidRDefault="00B00919" w:rsidP="00B00919">
      <w:pPr>
        <w:pStyle w:val="ListBullet"/>
        <w:rPr>
          <w:rFonts w:eastAsia="Calibri"/>
        </w:rPr>
      </w:pPr>
      <w:r w:rsidRPr="00B14544">
        <w:rPr>
          <w:rFonts w:eastAsia="Calibri"/>
        </w:rPr>
        <w:t xml:space="preserve">AGL </w:t>
      </w:r>
    </w:p>
    <w:p w14:paraId="234013CD" w14:textId="77777777" w:rsidR="00B00919" w:rsidRPr="00B14544" w:rsidRDefault="00B00919" w:rsidP="00B00919">
      <w:pPr>
        <w:pStyle w:val="ListBullet"/>
        <w:rPr>
          <w:rFonts w:eastAsia="Calibri"/>
        </w:rPr>
      </w:pPr>
      <w:r w:rsidRPr="00B14544">
        <w:rPr>
          <w:rFonts w:eastAsia="Calibri"/>
        </w:rPr>
        <w:t xml:space="preserve">Australian Petroleum Production and Exploration Association </w:t>
      </w:r>
    </w:p>
    <w:p w14:paraId="6C445D83" w14:textId="77777777" w:rsidR="00B00919" w:rsidRPr="00B14544" w:rsidRDefault="00B00919" w:rsidP="00B00919">
      <w:pPr>
        <w:pStyle w:val="ListBullet"/>
        <w:rPr>
          <w:rFonts w:eastAsia="Calibri"/>
        </w:rPr>
      </w:pPr>
      <w:r w:rsidRPr="00B14544">
        <w:rPr>
          <w:rFonts w:eastAsia="Calibri"/>
        </w:rPr>
        <w:t xml:space="preserve">Australian Aluminium Council </w:t>
      </w:r>
    </w:p>
    <w:p w14:paraId="15C453B8" w14:textId="77777777" w:rsidR="00B00919" w:rsidRPr="00B14544" w:rsidRDefault="00B00919" w:rsidP="00B00919">
      <w:pPr>
        <w:pStyle w:val="ListBullet"/>
        <w:rPr>
          <w:rFonts w:eastAsia="Calibri"/>
        </w:rPr>
      </w:pPr>
      <w:r w:rsidRPr="00B14544">
        <w:rPr>
          <w:rFonts w:eastAsia="Calibri"/>
        </w:rPr>
        <w:t xml:space="preserve">Australian Industry Greenhouse Network </w:t>
      </w:r>
    </w:p>
    <w:p w14:paraId="27CC6754" w14:textId="77777777" w:rsidR="00B00919" w:rsidRPr="00B14544" w:rsidRDefault="00B00919" w:rsidP="00B00919">
      <w:pPr>
        <w:pStyle w:val="ListBullet"/>
        <w:rPr>
          <w:rFonts w:eastAsia="Calibri"/>
        </w:rPr>
      </w:pPr>
      <w:r w:rsidRPr="00B14544">
        <w:rPr>
          <w:rFonts w:eastAsia="Calibri"/>
        </w:rPr>
        <w:t xml:space="preserve">Australian Pork </w:t>
      </w:r>
    </w:p>
    <w:p w14:paraId="67A4BECE" w14:textId="77777777" w:rsidR="00B00919" w:rsidRPr="00B14544" w:rsidRDefault="00B00919" w:rsidP="00B00919">
      <w:pPr>
        <w:pStyle w:val="ListBullet"/>
        <w:rPr>
          <w:rFonts w:eastAsia="Calibri"/>
        </w:rPr>
      </w:pPr>
      <w:r w:rsidRPr="00B14544">
        <w:rPr>
          <w:rFonts w:eastAsia="Calibri"/>
        </w:rPr>
        <w:t xml:space="preserve">Australian Sugar Milling Council </w:t>
      </w:r>
    </w:p>
    <w:p w14:paraId="3638D501" w14:textId="77777777" w:rsidR="00B00919" w:rsidRPr="00B14544" w:rsidRDefault="00B00919" w:rsidP="00B00919">
      <w:pPr>
        <w:pStyle w:val="ListBullet"/>
        <w:rPr>
          <w:rFonts w:eastAsia="Calibri"/>
        </w:rPr>
      </w:pPr>
      <w:r w:rsidRPr="00B14544">
        <w:rPr>
          <w:rFonts w:eastAsia="Calibri"/>
        </w:rPr>
        <w:t xml:space="preserve">Cement Industry Federation </w:t>
      </w:r>
    </w:p>
    <w:p w14:paraId="3D505DFB" w14:textId="77777777" w:rsidR="00B00919" w:rsidRPr="00B14544" w:rsidRDefault="00B00919" w:rsidP="00B00919">
      <w:pPr>
        <w:pStyle w:val="ListBullet"/>
        <w:rPr>
          <w:rFonts w:eastAsia="Calibri"/>
        </w:rPr>
      </w:pPr>
      <w:r w:rsidRPr="00B14544">
        <w:rPr>
          <w:rFonts w:eastAsia="Calibri"/>
        </w:rPr>
        <w:t xml:space="preserve">Chamber of Minerals and Energy of Western Australia </w:t>
      </w:r>
    </w:p>
    <w:p w14:paraId="4F323F1F" w14:textId="77777777" w:rsidR="00B00919" w:rsidRPr="00B14544" w:rsidRDefault="00B00919" w:rsidP="00B00919">
      <w:pPr>
        <w:pStyle w:val="ListBullet"/>
        <w:rPr>
          <w:rFonts w:eastAsia="Calibri"/>
        </w:rPr>
      </w:pPr>
      <w:r w:rsidRPr="00B14544">
        <w:rPr>
          <w:rFonts w:eastAsia="Calibri"/>
        </w:rPr>
        <w:t xml:space="preserve">Chartered Accountants Australia and New Zealand </w:t>
      </w:r>
    </w:p>
    <w:p w14:paraId="55AC7967" w14:textId="77777777" w:rsidR="00B00919" w:rsidRPr="00B14544" w:rsidRDefault="00B00919" w:rsidP="00B00919">
      <w:pPr>
        <w:pStyle w:val="ListBullet"/>
        <w:rPr>
          <w:rFonts w:eastAsia="Calibri"/>
        </w:rPr>
      </w:pPr>
      <w:r w:rsidRPr="00B14544">
        <w:rPr>
          <w:rFonts w:eastAsia="Calibri"/>
        </w:rPr>
        <w:t xml:space="preserve">Chevron Australia </w:t>
      </w:r>
    </w:p>
    <w:p w14:paraId="54BA48E5" w14:textId="77777777" w:rsidR="00B00919" w:rsidRPr="00B14544" w:rsidRDefault="00B00919" w:rsidP="00B00919">
      <w:pPr>
        <w:pStyle w:val="ListBullet"/>
        <w:rPr>
          <w:rFonts w:eastAsia="Calibri"/>
        </w:rPr>
      </w:pPr>
      <w:r w:rsidRPr="00B14544">
        <w:rPr>
          <w:rFonts w:eastAsia="Calibri"/>
        </w:rPr>
        <w:t xml:space="preserve">Carbon Market Institute </w:t>
      </w:r>
    </w:p>
    <w:p w14:paraId="098B694A" w14:textId="77777777" w:rsidR="00B00919" w:rsidRPr="00B14544" w:rsidRDefault="00B00919" w:rsidP="00B00919">
      <w:pPr>
        <w:pStyle w:val="ListBullet"/>
        <w:rPr>
          <w:rFonts w:eastAsia="Calibri"/>
        </w:rPr>
      </w:pPr>
      <w:r w:rsidRPr="00B14544">
        <w:rPr>
          <w:rFonts w:eastAsia="Calibri"/>
        </w:rPr>
        <w:t xml:space="preserve">ClimateWorks Australia </w:t>
      </w:r>
    </w:p>
    <w:p w14:paraId="4452E52B" w14:textId="77777777" w:rsidR="00911234" w:rsidRDefault="00B00919" w:rsidP="005473E8">
      <w:pPr>
        <w:pStyle w:val="ListBullet"/>
        <w:rPr>
          <w:rFonts w:eastAsia="Calibri"/>
        </w:rPr>
      </w:pPr>
      <w:r w:rsidRPr="00911234">
        <w:rPr>
          <w:rFonts w:eastAsia="Calibri"/>
        </w:rPr>
        <w:t xml:space="preserve">ConocoPhillips </w:t>
      </w:r>
    </w:p>
    <w:p w14:paraId="3B2E7FAF" w14:textId="77777777" w:rsidR="00B00919" w:rsidRDefault="00B00919" w:rsidP="005473E8">
      <w:pPr>
        <w:pStyle w:val="ListBullet"/>
        <w:rPr>
          <w:rFonts w:eastAsia="Calibri"/>
        </w:rPr>
      </w:pPr>
      <w:r w:rsidRPr="00911234">
        <w:rPr>
          <w:rFonts w:eastAsia="Calibri"/>
        </w:rPr>
        <w:t xml:space="preserve">Energy Queensland </w:t>
      </w:r>
    </w:p>
    <w:p w14:paraId="01E526FB" w14:textId="77777777" w:rsidR="00B00919" w:rsidRPr="00911234" w:rsidRDefault="00911234" w:rsidP="005473E8">
      <w:pPr>
        <w:pStyle w:val="ListBullet"/>
        <w:rPr>
          <w:rFonts w:eastAsia="Calibri"/>
        </w:rPr>
      </w:pPr>
      <w:r w:rsidRPr="00911234">
        <w:rPr>
          <w:rFonts w:eastAsia="Calibri"/>
        </w:rPr>
        <w:br w:type="column"/>
      </w:r>
      <w:r w:rsidR="00B00919" w:rsidRPr="00911234">
        <w:rPr>
          <w:rFonts w:eastAsia="Calibri"/>
        </w:rPr>
        <w:t xml:space="preserve">ERM Power </w:t>
      </w:r>
    </w:p>
    <w:p w14:paraId="4F152CD2" w14:textId="77777777" w:rsidR="00B00919" w:rsidRPr="00B14544" w:rsidRDefault="00B00919" w:rsidP="00B00919">
      <w:pPr>
        <w:pStyle w:val="ListBullet"/>
        <w:rPr>
          <w:rFonts w:eastAsia="Calibri"/>
        </w:rPr>
      </w:pPr>
      <w:r w:rsidRPr="00B14544">
        <w:rPr>
          <w:rFonts w:eastAsia="Calibri"/>
        </w:rPr>
        <w:t xml:space="preserve">Greenbase </w:t>
      </w:r>
    </w:p>
    <w:p w14:paraId="7A65529F" w14:textId="77777777" w:rsidR="00B00919" w:rsidRPr="00B14544" w:rsidRDefault="00B00919" w:rsidP="00B00919">
      <w:pPr>
        <w:pStyle w:val="ListBullet"/>
        <w:rPr>
          <w:rFonts w:eastAsia="Calibri"/>
        </w:rPr>
      </w:pPr>
      <w:r w:rsidRPr="00B14544">
        <w:rPr>
          <w:rFonts w:eastAsia="Calibri"/>
        </w:rPr>
        <w:t xml:space="preserve">Hydro Tasmania </w:t>
      </w:r>
    </w:p>
    <w:p w14:paraId="1C1FA8E8" w14:textId="77777777" w:rsidR="00B00919" w:rsidRPr="00B14544" w:rsidRDefault="00B00919" w:rsidP="00B00919">
      <w:pPr>
        <w:pStyle w:val="ListBullet"/>
        <w:rPr>
          <w:rFonts w:eastAsia="Calibri"/>
        </w:rPr>
      </w:pPr>
      <w:r w:rsidRPr="00B14544">
        <w:rPr>
          <w:rFonts w:eastAsia="Calibri"/>
        </w:rPr>
        <w:t xml:space="preserve">Law Society of New South Wales Young Lawyers </w:t>
      </w:r>
    </w:p>
    <w:p w14:paraId="059F8B99" w14:textId="6458BF6E" w:rsidR="00B00919" w:rsidRPr="00B14544" w:rsidRDefault="006A520D" w:rsidP="00B00919">
      <w:pPr>
        <w:pStyle w:val="ListBullet"/>
        <w:rPr>
          <w:rFonts w:eastAsia="Calibri"/>
        </w:rPr>
      </w:pPr>
      <w:r>
        <w:rPr>
          <w:rFonts w:eastAsia="Calibri"/>
        </w:rPr>
        <w:t>National Australia Bank</w:t>
      </w:r>
    </w:p>
    <w:p w14:paraId="54BB32B7" w14:textId="77777777" w:rsidR="00B00919" w:rsidRPr="00B14544" w:rsidRDefault="00B00919" w:rsidP="00B00919">
      <w:pPr>
        <w:pStyle w:val="ListBullet"/>
        <w:rPr>
          <w:rFonts w:eastAsia="Calibri"/>
        </w:rPr>
      </w:pPr>
      <w:r w:rsidRPr="00B14544">
        <w:rPr>
          <w:rFonts w:eastAsia="Calibri"/>
        </w:rPr>
        <w:t xml:space="preserve">National Waste and Recycling Industry Council </w:t>
      </w:r>
    </w:p>
    <w:p w14:paraId="2C9570EC" w14:textId="77777777" w:rsidR="00B00919" w:rsidRPr="00B14544" w:rsidRDefault="00B00919" w:rsidP="00B00919">
      <w:pPr>
        <w:pStyle w:val="ListBullet"/>
        <w:rPr>
          <w:rFonts w:eastAsia="Calibri"/>
        </w:rPr>
      </w:pPr>
      <w:r w:rsidRPr="00B14544">
        <w:rPr>
          <w:rFonts w:eastAsia="Calibri"/>
        </w:rPr>
        <w:t xml:space="preserve">Origin Energy </w:t>
      </w:r>
    </w:p>
    <w:p w14:paraId="7C19CA6C" w14:textId="77777777" w:rsidR="00B00919" w:rsidRPr="00B14544" w:rsidRDefault="00B00919" w:rsidP="00B00919">
      <w:pPr>
        <w:pStyle w:val="ListBullet"/>
        <w:rPr>
          <w:rFonts w:eastAsia="Calibri"/>
        </w:rPr>
      </w:pPr>
      <w:r w:rsidRPr="00B14544">
        <w:rPr>
          <w:rFonts w:eastAsia="Calibri"/>
        </w:rPr>
        <w:t xml:space="preserve">Rio Tinto </w:t>
      </w:r>
    </w:p>
    <w:p w14:paraId="04779663" w14:textId="77777777" w:rsidR="00B00919" w:rsidRPr="00B14544" w:rsidRDefault="00B00919" w:rsidP="00B00919">
      <w:pPr>
        <w:pStyle w:val="ListBullet"/>
        <w:rPr>
          <w:rFonts w:eastAsia="Calibri"/>
        </w:rPr>
      </w:pPr>
      <w:r w:rsidRPr="00B14544">
        <w:rPr>
          <w:rFonts w:eastAsia="Calibri"/>
        </w:rPr>
        <w:t xml:space="preserve">Sustainable Business Australia </w:t>
      </w:r>
    </w:p>
    <w:p w14:paraId="7AD0FEE5" w14:textId="77777777" w:rsidR="00B00919" w:rsidRPr="00B14544" w:rsidRDefault="00B00919" w:rsidP="00B00919">
      <w:pPr>
        <w:pStyle w:val="ListBullet"/>
        <w:rPr>
          <w:rFonts w:eastAsia="Calibri"/>
        </w:rPr>
      </w:pPr>
      <w:r w:rsidRPr="00B14544">
        <w:rPr>
          <w:rFonts w:eastAsia="Calibri"/>
        </w:rPr>
        <w:t>Tim Kelly</w:t>
      </w:r>
    </w:p>
    <w:p w14:paraId="3ECF9A77" w14:textId="77777777" w:rsidR="00B00919" w:rsidRPr="00B14544" w:rsidRDefault="00B00919" w:rsidP="00B00919">
      <w:pPr>
        <w:pStyle w:val="ListBullet"/>
        <w:rPr>
          <w:rFonts w:eastAsia="Calibri"/>
        </w:rPr>
      </w:pPr>
      <w:r w:rsidRPr="00B14544">
        <w:rPr>
          <w:rFonts w:eastAsia="Calibri"/>
        </w:rPr>
        <w:t xml:space="preserve">UnitingCare Queensland </w:t>
      </w:r>
    </w:p>
    <w:p w14:paraId="3D65AA10" w14:textId="77777777" w:rsidR="00B00919" w:rsidRPr="00602BAF" w:rsidRDefault="00B00919" w:rsidP="00602BAF">
      <w:pPr>
        <w:pStyle w:val="ListBullet"/>
      </w:pPr>
      <w:r w:rsidRPr="00B14544">
        <w:rPr>
          <w:rFonts w:eastAsia="Calibri"/>
        </w:rPr>
        <w:t xml:space="preserve">UNSW Centre for Energy and Environmental Markets </w:t>
      </w:r>
    </w:p>
    <w:p w14:paraId="0039F1B2" w14:textId="77777777" w:rsidR="00B00919" w:rsidRDefault="00B00919" w:rsidP="00602BAF">
      <w:pPr>
        <w:pStyle w:val="ListBullet"/>
      </w:pPr>
      <w:r w:rsidRPr="00B14544">
        <w:rPr>
          <w:rFonts w:eastAsia="Calibri"/>
        </w:rPr>
        <w:t>Woodside Energy</w:t>
      </w:r>
    </w:p>
    <w:p w14:paraId="13725E1E" w14:textId="77777777" w:rsidR="00194B04" w:rsidRDefault="00194B04" w:rsidP="00B14544">
      <w:pPr>
        <w:pStyle w:val="CCABodytext"/>
        <w:sectPr w:rsidR="00194B04" w:rsidSect="00602BAF">
          <w:type w:val="continuous"/>
          <w:pgSz w:w="11907" w:h="16840" w:code="9"/>
          <w:pgMar w:top="1418" w:right="1077" w:bottom="851" w:left="1077" w:header="850" w:footer="720" w:gutter="0"/>
          <w:pgNumType w:chapStyle="1" w:chapSep="emDash"/>
          <w:cols w:num="2" w:space="720"/>
          <w:docGrid w:linePitch="360"/>
        </w:sectPr>
      </w:pPr>
    </w:p>
    <w:p w14:paraId="26DBB742" w14:textId="77357E12" w:rsidR="00172423" w:rsidRDefault="00172423" w:rsidP="00172423">
      <w:pPr>
        <w:pStyle w:val="CCAAppendixHeading"/>
      </w:pPr>
      <w:bookmarkStart w:id="957" w:name="_Toc528140819"/>
      <w:bookmarkStart w:id="958" w:name="_Toc528143302"/>
      <w:bookmarkStart w:id="959" w:name="_Toc528770263"/>
      <w:bookmarkStart w:id="960" w:name="_Toc529183889"/>
      <w:bookmarkStart w:id="961" w:name="_Toc529187701"/>
      <w:bookmarkStart w:id="962" w:name="_Toc529188127"/>
      <w:bookmarkStart w:id="963" w:name="_Toc529377780"/>
      <w:bookmarkStart w:id="964" w:name="_Ref529390349"/>
      <w:bookmarkStart w:id="965" w:name="_Ref529390723"/>
      <w:bookmarkStart w:id="966" w:name="_Ref529391015"/>
      <w:bookmarkStart w:id="967" w:name="_Ref530405154"/>
      <w:bookmarkStart w:id="968" w:name="_Ref530474497"/>
      <w:bookmarkStart w:id="969" w:name="_Toc531095599"/>
      <w:bookmarkStart w:id="970" w:name="_Toc531099365"/>
      <w:bookmarkStart w:id="971" w:name="_Toc531101774"/>
      <w:bookmarkStart w:id="972" w:name="_Toc531764041"/>
      <w:bookmarkStart w:id="973" w:name="_Toc532912132"/>
      <w:bookmarkStart w:id="974" w:name="_Toc532914974"/>
      <w:r>
        <w:t>International reporting schemes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561218F8" w14:textId="77777777" w:rsidR="00172423" w:rsidRDefault="00172423" w:rsidP="00172423">
      <w:pPr>
        <w:pStyle w:val="CCATableheader"/>
      </w:pPr>
      <w:bookmarkStart w:id="975" w:name="_Ref526951523"/>
      <w:bookmarkStart w:id="976" w:name="_Toc531095543"/>
      <w:bookmarkStart w:id="977" w:name="_Toc531099309"/>
      <w:bookmarkStart w:id="978" w:name="_Toc531101718"/>
      <w:bookmarkStart w:id="979" w:name="_Toc531341087"/>
      <w:bookmarkStart w:id="980" w:name="_Toc531764056"/>
      <w:bookmarkStart w:id="981" w:name="_Toc532912075"/>
      <w:bookmarkStart w:id="982" w:name="_Toc532914019"/>
      <w:r>
        <w:t xml:space="preserve">Summary of </w:t>
      </w:r>
      <w:r w:rsidRPr="00F62B97">
        <w:t>international</w:t>
      </w:r>
      <w:r>
        <w:t xml:space="preserve"> company-level emissions reporting schemes</w:t>
      </w:r>
      <w:bookmarkEnd w:id="975"/>
      <w:bookmarkEnd w:id="976"/>
      <w:bookmarkEnd w:id="977"/>
      <w:bookmarkEnd w:id="978"/>
      <w:bookmarkEnd w:id="979"/>
      <w:bookmarkEnd w:id="980"/>
      <w:bookmarkEnd w:id="981"/>
      <w:bookmarkEnd w:id="982"/>
    </w:p>
    <w:tbl>
      <w:tblPr>
        <w:tblStyle w:val="ListTable3-Accent21"/>
        <w:tblW w:w="14763" w:type="dxa"/>
        <w:tblBorders>
          <w:top w:val="none" w:sz="0" w:space="0" w:color="auto"/>
          <w:left w:val="none" w:sz="0" w:space="0" w:color="auto"/>
          <w:bottom w:val="none" w:sz="0" w:space="0" w:color="auto"/>
          <w:right w:val="none" w:sz="0" w:space="0" w:color="auto"/>
          <w:insideH w:val="dotted" w:sz="4" w:space="0" w:color="309CC8" w:themeColor="accent3"/>
        </w:tblBorders>
        <w:tblLayout w:type="fixed"/>
        <w:tblLook w:val="04A0" w:firstRow="1" w:lastRow="0" w:firstColumn="1" w:lastColumn="0" w:noHBand="0" w:noVBand="1"/>
      </w:tblPr>
      <w:tblGrid>
        <w:gridCol w:w="1248"/>
        <w:gridCol w:w="1421"/>
        <w:gridCol w:w="1608"/>
        <w:gridCol w:w="2361"/>
        <w:gridCol w:w="2981"/>
        <w:gridCol w:w="1530"/>
        <w:gridCol w:w="1391"/>
        <w:gridCol w:w="2223"/>
      </w:tblGrid>
      <w:tr w:rsidR="00172423" w:rsidRPr="00E0204F" w14:paraId="1594B4AE" w14:textId="77777777" w:rsidTr="00EF40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48" w:type="dxa"/>
          </w:tcPr>
          <w:p w14:paraId="0F54D290" w14:textId="77777777" w:rsidR="00172423" w:rsidRPr="00E0204F" w:rsidRDefault="00172423" w:rsidP="00EF4045">
            <w:pPr>
              <w:pStyle w:val="TableText"/>
              <w:rPr>
                <w:b w:val="0"/>
                <w:color w:val="FFFFFF" w:themeColor="background1"/>
              </w:rPr>
            </w:pPr>
            <w:r w:rsidRPr="00E0204F">
              <w:rPr>
                <w:color w:val="FFFFFF" w:themeColor="background1"/>
              </w:rPr>
              <w:t>Country of operation</w:t>
            </w:r>
          </w:p>
        </w:tc>
        <w:tc>
          <w:tcPr>
            <w:tcW w:w="1421" w:type="dxa"/>
            <w:tcBorders>
              <w:bottom w:val="nil"/>
            </w:tcBorders>
          </w:tcPr>
          <w:p w14:paraId="441EAA71" w14:textId="77777777" w:rsidR="00172423" w:rsidRPr="00E0204F" w:rsidRDefault="00172423" w:rsidP="00EF4045">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0204F">
              <w:rPr>
                <w:color w:val="FFFFFF" w:themeColor="background1"/>
              </w:rPr>
              <w:t>Scheme</w:t>
            </w:r>
          </w:p>
        </w:tc>
        <w:tc>
          <w:tcPr>
            <w:tcW w:w="1608" w:type="dxa"/>
            <w:tcBorders>
              <w:bottom w:val="nil"/>
            </w:tcBorders>
          </w:tcPr>
          <w:p w14:paraId="677D7981" w14:textId="77777777" w:rsidR="00172423" w:rsidRDefault="00172423" w:rsidP="00EF404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Commenced</w:t>
            </w:r>
          </w:p>
        </w:tc>
        <w:tc>
          <w:tcPr>
            <w:tcW w:w="2361" w:type="dxa"/>
            <w:tcBorders>
              <w:bottom w:val="nil"/>
            </w:tcBorders>
          </w:tcPr>
          <w:p w14:paraId="53AB3C81" w14:textId="77777777" w:rsidR="00172423" w:rsidRPr="00E0204F" w:rsidRDefault="00172423" w:rsidP="00EF4045">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0204F">
              <w:rPr>
                <w:color w:val="FFFFFF" w:themeColor="background1"/>
              </w:rPr>
              <w:t xml:space="preserve">Gases covered </w:t>
            </w:r>
          </w:p>
        </w:tc>
        <w:tc>
          <w:tcPr>
            <w:tcW w:w="2981" w:type="dxa"/>
            <w:tcBorders>
              <w:bottom w:val="nil"/>
            </w:tcBorders>
          </w:tcPr>
          <w:p w14:paraId="6B3CF741" w14:textId="77777777" w:rsidR="00172423" w:rsidRPr="00E0204F" w:rsidRDefault="00172423" w:rsidP="00EF404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Industry sectors </w:t>
            </w:r>
            <w:r w:rsidRPr="00E0204F">
              <w:rPr>
                <w:color w:val="FFFFFF" w:themeColor="background1"/>
              </w:rPr>
              <w:t>covered</w:t>
            </w:r>
          </w:p>
        </w:tc>
        <w:tc>
          <w:tcPr>
            <w:tcW w:w="1530" w:type="dxa"/>
            <w:tcBorders>
              <w:bottom w:val="nil"/>
            </w:tcBorders>
          </w:tcPr>
          <w:p w14:paraId="1CE66304" w14:textId="77777777" w:rsidR="00172423" w:rsidRPr="00E0204F" w:rsidRDefault="00172423" w:rsidP="00EF404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E0204F">
              <w:rPr>
                <w:color w:val="FFFFFF" w:themeColor="background1"/>
              </w:rPr>
              <w:t>Scope</w:t>
            </w:r>
          </w:p>
        </w:tc>
        <w:tc>
          <w:tcPr>
            <w:tcW w:w="1391" w:type="dxa"/>
            <w:tcBorders>
              <w:bottom w:val="nil"/>
            </w:tcBorders>
          </w:tcPr>
          <w:p w14:paraId="4D71413B" w14:textId="77777777" w:rsidR="00172423" w:rsidRPr="00E0204F" w:rsidRDefault="00172423" w:rsidP="00EF4045">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N</w:t>
            </w:r>
            <w:r w:rsidRPr="00E0204F">
              <w:rPr>
                <w:color w:val="FFFFFF" w:themeColor="background1"/>
              </w:rPr>
              <w:t>ational emissions covered</w:t>
            </w:r>
          </w:p>
        </w:tc>
        <w:tc>
          <w:tcPr>
            <w:tcW w:w="2223" w:type="dxa"/>
            <w:tcBorders>
              <w:bottom w:val="nil"/>
            </w:tcBorders>
          </w:tcPr>
          <w:p w14:paraId="0CE057CB" w14:textId="77777777" w:rsidR="00172423" w:rsidRPr="00E0204F" w:rsidRDefault="00172423" w:rsidP="00EF4045">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E0204F">
              <w:rPr>
                <w:color w:val="FFFFFF" w:themeColor="background1"/>
              </w:rPr>
              <w:t>Threshold</w:t>
            </w:r>
          </w:p>
        </w:tc>
      </w:tr>
      <w:tr w:rsidR="00172423" w:rsidRPr="0079317F" w14:paraId="04F8FF55" w14:textId="77777777" w:rsidTr="00EF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Borders>
              <w:top w:val="nil"/>
              <w:bottom w:val="dotted" w:sz="4" w:space="0" w:color="309CC8" w:themeColor="accent2"/>
            </w:tcBorders>
          </w:tcPr>
          <w:p w14:paraId="04E437F4" w14:textId="77777777" w:rsidR="00172423" w:rsidRPr="00B94E56" w:rsidRDefault="00172423" w:rsidP="00EF4045">
            <w:pPr>
              <w:pStyle w:val="TableText"/>
              <w:rPr>
                <w:b w:val="0"/>
              </w:rPr>
            </w:pPr>
            <w:r w:rsidRPr="00B94E56">
              <w:rPr>
                <w:b w:val="0"/>
              </w:rPr>
              <w:t>Canada</w:t>
            </w:r>
          </w:p>
        </w:tc>
        <w:tc>
          <w:tcPr>
            <w:tcW w:w="1421" w:type="dxa"/>
            <w:tcBorders>
              <w:top w:val="nil"/>
              <w:bottom w:val="dotted" w:sz="4" w:space="0" w:color="309CC8" w:themeColor="accent2"/>
            </w:tcBorders>
          </w:tcPr>
          <w:p w14:paraId="42433CB8"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Greenhouse Gas Reporting Program</w:t>
            </w:r>
          </w:p>
        </w:tc>
        <w:tc>
          <w:tcPr>
            <w:tcW w:w="1608" w:type="dxa"/>
            <w:tcBorders>
              <w:top w:val="nil"/>
              <w:bottom w:val="dotted" w:sz="4" w:space="0" w:color="309CC8" w:themeColor="accent2"/>
            </w:tcBorders>
          </w:tcPr>
          <w:p w14:paraId="287D37B6" w14:textId="77777777" w:rsidR="00172423"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2004</w:t>
            </w:r>
          </w:p>
        </w:tc>
        <w:tc>
          <w:tcPr>
            <w:tcW w:w="2361" w:type="dxa"/>
            <w:tcBorders>
              <w:top w:val="nil"/>
              <w:bottom w:val="dotted" w:sz="4" w:space="0" w:color="309CC8" w:themeColor="accent2"/>
            </w:tcBorders>
          </w:tcPr>
          <w:p w14:paraId="66CF04ED"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CO</w:t>
            </w:r>
            <w:r w:rsidRPr="00E0204F">
              <w:rPr>
                <w:vertAlign w:val="subscript"/>
              </w:rPr>
              <w:t xml:space="preserve">2, </w:t>
            </w:r>
            <w:r w:rsidRPr="00E0204F">
              <w:t>CH</w:t>
            </w:r>
            <w:r w:rsidRPr="00E0204F">
              <w:rPr>
                <w:vertAlign w:val="subscript"/>
              </w:rPr>
              <w:t>4</w:t>
            </w:r>
            <w:r w:rsidRPr="00E0204F">
              <w:t>, N</w:t>
            </w:r>
            <w:r w:rsidRPr="00E0204F">
              <w:rPr>
                <w:vertAlign w:val="subscript"/>
              </w:rPr>
              <w:t>2</w:t>
            </w:r>
            <w:r w:rsidRPr="00E0204F">
              <w:t>O, SF</w:t>
            </w:r>
            <w:r w:rsidRPr="00E0204F">
              <w:rPr>
                <w:vertAlign w:val="subscript"/>
              </w:rPr>
              <w:t>6</w:t>
            </w:r>
            <w:r w:rsidRPr="00E0204F">
              <w:t>, HFCs, PFCs</w:t>
            </w:r>
          </w:p>
        </w:tc>
        <w:tc>
          <w:tcPr>
            <w:tcW w:w="2981" w:type="dxa"/>
            <w:tcBorders>
              <w:top w:val="nil"/>
              <w:bottom w:val="dotted" w:sz="4" w:space="0" w:color="309CC8" w:themeColor="accent2"/>
            </w:tcBorders>
          </w:tcPr>
          <w:p w14:paraId="2EFCE0B3"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Stationary energy</w:t>
            </w:r>
            <w:r>
              <w:t>,</w:t>
            </w:r>
            <w:r w:rsidRPr="00E0204F">
              <w:t xml:space="preserve"> industrial processes</w:t>
            </w:r>
            <w:r>
              <w:t>,</w:t>
            </w:r>
            <w:r w:rsidRPr="00E0204F">
              <w:t xml:space="preserve"> fugitive emissions</w:t>
            </w:r>
            <w:r>
              <w:t>,</w:t>
            </w:r>
            <w:r w:rsidRPr="00E0204F">
              <w:t xml:space="preserve"> on-site transport</w:t>
            </w:r>
            <w:r>
              <w:t>,</w:t>
            </w:r>
            <w:r w:rsidRPr="00E0204F">
              <w:t xml:space="preserve"> waste</w:t>
            </w:r>
          </w:p>
        </w:tc>
        <w:tc>
          <w:tcPr>
            <w:tcW w:w="1530" w:type="dxa"/>
            <w:tcBorders>
              <w:top w:val="nil"/>
              <w:bottom w:val="dotted" w:sz="4" w:space="0" w:color="309CC8" w:themeColor="accent2"/>
            </w:tcBorders>
          </w:tcPr>
          <w:p w14:paraId="3644FC62"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Scope 1</w:t>
            </w:r>
          </w:p>
        </w:tc>
        <w:tc>
          <w:tcPr>
            <w:tcW w:w="1391" w:type="dxa"/>
            <w:tcBorders>
              <w:top w:val="nil"/>
              <w:bottom w:val="dotted" w:sz="4" w:space="0" w:color="309CC8" w:themeColor="accent2"/>
            </w:tcBorders>
          </w:tcPr>
          <w:p w14:paraId="0F930EC6" w14:textId="77777777" w:rsidR="00172423"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37 per cent</w:t>
            </w:r>
            <w:r w:rsidRPr="00E0204F">
              <w:rPr>
                <w:rStyle w:val="FootnoteReference"/>
                <w:sz w:val="21"/>
                <w:szCs w:val="21"/>
              </w:rPr>
              <w:footnoteReference w:id="36"/>
            </w:r>
          </w:p>
        </w:tc>
        <w:tc>
          <w:tcPr>
            <w:tcW w:w="2223" w:type="dxa"/>
            <w:tcBorders>
              <w:top w:val="nil"/>
              <w:bottom w:val="dotted" w:sz="4" w:space="0" w:color="309CC8" w:themeColor="accent2"/>
            </w:tcBorders>
          </w:tcPr>
          <w:p w14:paraId="17AA8D3C" w14:textId="77777777" w:rsidR="00172423"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783F60">
              <w:t>Facilit</w:t>
            </w:r>
            <w:r>
              <w:t>y</w:t>
            </w:r>
            <w:r w:rsidRPr="00783F60">
              <w:t>:</w:t>
            </w:r>
            <w:r>
              <w:t xml:space="preserve"> 1</w:t>
            </w:r>
            <w:r w:rsidRPr="00E0204F">
              <w:t>0 kt CO</w:t>
            </w:r>
            <w:r w:rsidRPr="00E0204F">
              <w:rPr>
                <w:vertAlign w:val="subscript"/>
              </w:rPr>
              <w:t>2</w:t>
            </w:r>
            <w:r w:rsidRPr="00E0204F">
              <w:t>-e per year</w:t>
            </w:r>
          </w:p>
        </w:tc>
      </w:tr>
      <w:tr w:rsidR="00172423" w:rsidRPr="0079317F" w14:paraId="5D6053D2" w14:textId="77777777" w:rsidTr="00EF4045">
        <w:tc>
          <w:tcPr>
            <w:cnfStyle w:val="001000000000" w:firstRow="0" w:lastRow="0" w:firstColumn="1" w:lastColumn="0" w:oddVBand="0" w:evenVBand="0" w:oddHBand="0" w:evenHBand="0" w:firstRowFirstColumn="0" w:firstRowLastColumn="0" w:lastRowFirstColumn="0" w:lastRowLastColumn="0"/>
            <w:tcW w:w="1248" w:type="dxa"/>
            <w:tcBorders>
              <w:top w:val="dotted" w:sz="4" w:space="0" w:color="309CC8" w:themeColor="accent2"/>
              <w:bottom w:val="dotted" w:sz="4" w:space="0" w:color="309CC8" w:themeColor="accent2"/>
            </w:tcBorders>
          </w:tcPr>
          <w:p w14:paraId="5F680CC2" w14:textId="77777777" w:rsidR="00172423" w:rsidRPr="00B94E56" w:rsidRDefault="00172423" w:rsidP="00EF4045">
            <w:pPr>
              <w:pStyle w:val="TableText"/>
              <w:rPr>
                <w:b w:val="0"/>
              </w:rPr>
            </w:pPr>
            <w:r>
              <w:rPr>
                <w:b w:val="0"/>
              </w:rPr>
              <w:t>European Economic Area</w:t>
            </w:r>
            <w:bookmarkStart w:id="983" w:name="_Ref521669252"/>
            <w:r w:rsidRPr="00B94E56">
              <w:rPr>
                <w:rStyle w:val="FootnoteReference"/>
                <w:b w:val="0"/>
                <w:sz w:val="21"/>
                <w:szCs w:val="21"/>
              </w:rPr>
              <w:footnoteReference w:id="37"/>
            </w:r>
            <w:bookmarkEnd w:id="983"/>
          </w:p>
        </w:tc>
        <w:tc>
          <w:tcPr>
            <w:tcW w:w="1421" w:type="dxa"/>
            <w:tcBorders>
              <w:top w:val="dotted" w:sz="4" w:space="0" w:color="309CC8" w:themeColor="accent2"/>
              <w:bottom w:val="dotted" w:sz="4" w:space="0" w:color="309CC8" w:themeColor="accent2"/>
            </w:tcBorders>
          </w:tcPr>
          <w:p w14:paraId="35BE671D"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t xml:space="preserve">EU </w:t>
            </w:r>
            <w:r w:rsidRPr="00E0204F">
              <w:t>Emissions Trading Scheme</w:t>
            </w:r>
          </w:p>
        </w:tc>
        <w:tc>
          <w:tcPr>
            <w:tcW w:w="1608" w:type="dxa"/>
            <w:tcBorders>
              <w:top w:val="dotted" w:sz="4" w:space="0" w:color="309CC8" w:themeColor="accent2"/>
              <w:bottom w:val="dotted" w:sz="4" w:space="0" w:color="309CC8" w:themeColor="accent2"/>
            </w:tcBorders>
          </w:tcPr>
          <w:p w14:paraId="648687F1" w14:textId="77777777" w:rsidR="00172423" w:rsidRDefault="00172423" w:rsidP="00EF4045">
            <w:pPr>
              <w:pStyle w:val="TableText"/>
              <w:cnfStyle w:val="000000000000" w:firstRow="0" w:lastRow="0" w:firstColumn="0" w:lastColumn="0" w:oddVBand="0" w:evenVBand="0" w:oddHBand="0" w:evenHBand="0" w:firstRowFirstColumn="0" w:firstRowLastColumn="0" w:lastRowFirstColumn="0" w:lastRowLastColumn="0"/>
            </w:pPr>
            <w:r>
              <w:t>2005</w:t>
            </w:r>
          </w:p>
        </w:tc>
        <w:tc>
          <w:tcPr>
            <w:tcW w:w="2361" w:type="dxa"/>
            <w:tcBorders>
              <w:top w:val="dotted" w:sz="4" w:space="0" w:color="309CC8" w:themeColor="accent2"/>
              <w:bottom w:val="dotted" w:sz="4" w:space="0" w:color="309CC8" w:themeColor="accent2"/>
            </w:tcBorders>
          </w:tcPr>
          <w:p w14:paraId="181A2289" w14:textId="77777777" w:rsidR="00172423"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CO</w:t>
            </w:r>
            <w:r w:rsidRPr="00E0204F">
              <w:rPr>
                <w:vertAlign w:val="subscript"/>
              </w:rPr>
              <w:t>2</w:t>
            </w:r>
          </w:p>
          <w:p w14:paraId="3DABB085" w14:textId="77777777" w:rsidR="00172423" w:rsidRDefault="00172423" w:rsidP="00EF4045">
            <w:pPr>
              <w:pStyle w:val="TableText"/>
              <w:cnfStyle w:val="000000000000" w:firstRow="0" w:lastRow="0" w:firstColumn="0" w:lastColumn="0" w:oddVBand="0" w:evenVBand="0" w:oddHBand="0" w:evenHBand="0" w:firstRowFirstColumn="0" w:firstRowLastColumn="0" w:lastRowFirstColumn="0" w:lastRowLastColumn="0"/>
            </w:pPr>
          </w:p>
          <w:p w14:paraId="7E9FB47B"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N</w:t>
            </w:r>
            <w:r w:rsidRPr="00E0204F">
              <w:rPr>
                <w:vertAlign w:val="subscript"/>
              </w:rPr>
              <w:t>2</w:t>
            </w:r>
            <w:r w:rsidRPr="00E0204F">
              <w:t>O and PFCs for certain processes</w:t>
            </w:r>
          </w:p>
        </w:tc>
        <w:tc>
          <w:tcPr>
            <w:tcW w:w="2981" w:type="dxa"/>
            <w:tcBorders>
              <w:top w:val="dotted" w:sz="4" w:space="0" w:color="309CC8" w:themeColor="accent2"/>
              <w:bottom w:val="dotted" w:sz="4" w:space="0" w:color="309CC8" w:themeColor="accent2"/>
            </w:tcBorders>
          </w:tcPr>
          <w:p w14:paraId="4FDBCE8A"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Stationary energy</w:t>
            </w:r>
            <w:r>
              <w:t>,</w:t>
            </w:r>
            <w:r w:rsidRPr="00E0204F">
              <w:t xml:space="preserve"> industrial processes</w:t>
            </w:r>
            <w:r>
              <w:t>,</w:t>
            </w:r>
            <w:r w:rsidRPr="00E0204F">
              <w:t xml:space="preserve"> civil aviation</w:t>
            </w:r>
          </w:p>
        </w:tc>
        <w:tc>
          <w:tcPr>
            <w:tcW w:w="1530" w:type="dxa"/>
            <w:tcBorders>
              <w:top w:val="dotted" w:sz="4" w:space="0" w:color="309CC8" w:themeColor="accent2"/>
              <w:bottom w:val="dotted" w:sz="4" w:space="0" w:color="309CC8" w:themeColor="accent2"/>
            </w:tcBorders>
          </w:tcPr>
          <w:p w14:paraId="3E8F67B7"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Scope 1</w:t>
            </w:r>
          </w:p>
        </w:tc>
        <w:tc>
          <w:tcPr>
            <w:tcW w:w="1391" w:type="dxa"/>
            <w:tcBorders>
              <w:top w:val="dotted" w:sz="4" w:space="0" w:color="309CC8" w:themeColor="accent2"/>
              <w:bottom w:val="dotted" w:sz="4" w:space="0" w:color="309CC8" w:themeColor="accent2"/>
            </w:tcBorders>
          </w:tcPr>
          <w:p w14:paraId="1E8A9A52"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t>Around</w:t>
            </w:r>
            <w:r w:rsidRPr="00E0204F">
              <w:t xml:space="preserve"> 45 per cent</w:t>
            </w:r>
          </w:p>
        </w:tc>
        <w:tc>
          <w:tcPr>
            <w:tcW w:w="2223" w:type="dxa"/>
            <w:tcBorders>
              <w:top w:val="dotted" w:sz="4" w:space="0" w:color="309CC8" w:themeColor="accent2"/>
              <w:bottom w:val="dotted" w:sz="4" w:space="0" w:color="309CC8" w:themeColor="accent2"/>
            </w:tcBorders>
          </w:tcPr>
          <w:p w14:paraId="464EF02A"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783F60">
              <w:t>Facility</w:t>
            </w:r>
            <w:r w:rsidRPr="00E0204F">
              <w:t>: 25 kt CO</w:t>
            </w:r>
            <w:r w:rsidRPr="00E0204F">
              <w:rPr>
                <w:vertAlign w:val="subscript"/>
              </w:rPr>
              <w:t>2</w:t>
            </w:r>
            <w:r w:rsidRPr="00E0204F">
              <w:t>-e per year</w:t>
            </w:r>
            <w:r>
              <w:rPr>
                <w:rStyle w:val="FootnoteReference"/>
              </w:rPr>
              <w:footnoteReference w:id="38"/>
            </w:r>
          </w:p>
        </w:tc>
      </w:tr>
      <w:tr w:rsidR="00172423" w:rsidRPr="0079317F" w14:paraId="7B8F1C49" w14:textId="77777777" w:rsidTr="00EF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Borders>
              <w:top w:val="dotted" w:sz="4" w:space="0" w:color="309CC8" w:themeColor="accent2"/>
              <w:bottom w:val="dotted" w:sz="4" w:space="0" w:color="309CC8" w:themeColor="accent2"/>
            </w:tcBorders>
          </w:tcPr>
          <w:p w14:paraId="537C93F4" w14:textId="77777777" w:rsidR="00172423" w:rsidRPr="00B94E56" w:rsidRDefault="00172423" w:rsidP="00EF4045">
            <w:pPr>
              <w:pStyle w:val="TableText"/>
              <w:rPr>
                <w:b w:val="0"/>
              </w:rPr>
            </w:pPr>
            <w:r w:rsidRPr="00B94E56">
              <w:rPr>
                <w:b w:val="0"/>
              </w:rPr>
              <w:t>France</w:t>
            </w:r>
          </w:p>
        </w:tc>
        <w:tc>
          <w:tcPr>
            <w:tcW w:w="1421" w:type="dxa"/>
            <w:tcBorders>
              <w:top w:val="dotted" w:sz="4" w:space="0" w:color="309CC8" w:themeColor="accent2"/>
              <w:bottom w:val="dotted" w:sz="4" w:space="0" w:color="309CC8" w:themeColor="accent2"/>
            </w:tcBorders>
          </w:tcPr>
          <w:p w14:paraId="6D44CA5C"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Greenhouse Gas Emissions Reporting</w:t>
            </w:r>
          </w:p>
        </w:tc>
        <w:tc>
          <w:tcPr>
            <w:tcW w:w="1608" w:type="dxa"/>
            <w:tcBorders>
              <w:top w:val="dotted" w:sz="4" w:space="0" w:color="309CC8" w:themeColor="accent2"/>
              <w:bottom w:val="dotted" w:sz="4" w:space="0" w:color="309CC8" w:themeColor="accent2"/>
            </w:tcBorders>
          </w:tcPr>
          <w:p w14:paraId="031419A5" w14:textId="77777777" w:rsidR="00172423"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2011</w:t>
            </w:r>
          </w:p>
        </w:tc>
        <w:tc>
          <w:tcPr>
            <w:tcW w:w="2361" w:type="dxa"/>
            <w:tcBorders>
              <w:top w:val="dotted" w:sz="4" w:space="0" w:color="309CC8" w:themeColor="accent2"/>
              <w:bottom w:val="dotted" w:sz="4" w:space="0" w:color="309CC8" w:themeColor="accent2"/>
            </w:tcBorders>
          </w:tcPr>
          <w:p w14:paraId="352889E9"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CO</w:t>
            </w:r>
            <w:r w:rsidRPr="00E0204F">
              <w:rPr>
                <w:vertAlign w:val="subscript"/>
              </w:rPr>
              <w:t xml:space="preserve">2, </w:t>
            </w:r>
            <w:r w:rsidRPr="00E0204F">
              <w:t>CH</w:t>
            </w:r>
            <w:r w:rsidRPr="00E0204F">
              <w:rPr>
                <w:vertAlign w:val="subscript"/>
              </w:rPr>
              <w:t>4</w:t>
            </w:r>
            <w:r w:rsidRPr="00E0204F">
              <w:t>, N</w:t>
            </w:r>
            <w:r w:rsidRPr="00E0204F">
              <w:rPr>
                <w:vertAlign w:val="subscript"/>
              </w:rPr>
              <w:t>2</w:t>
            </w:r>
            <w:r w:rsidRPr="00E0204F">
              <w:t>O, SF</w:t>
            </w:r>
            <w:r w:rsidRPr="00E0204F">
              <w:rPr>
                <w:vertAlign w:val="subscript"/>
              </w:rPr>
              <w:t>6</w:t>
            </w:r>
            <w:r w:rsidRPr="00E0204F">
              <w:t>, HFCs, PFCs</w:t>
            </w:r>
            <w:r>
              <w:t>, NF</w:t>
            </w:r>
            <w:r w:rsidRPr="00AF2E0A">
              <w:rPr>
                <w:vertAlign w:val="subscript"/>
              </w:rPr>
              <w:t>3</w:t>
            </w:r>
          </w:p>
        </w:tc>
        <w:tc>
          <w:tcPr>
            <w:tcW w:w="2981" w:type="dxa"/>
            <w:tcBorders>
              <w:top w:val="dotted" w:sz="4" w:space="0" w:color="309CC8" w:themeColor="accent2"/>
              <w:bottom w:val="dotted" w:sz="4" w:space="0" w:color="309CC8" w:themeColor="accent2"/>
            </w:tcBorders>
          </w:tcPr>
          <w:p w14:paraId="6F3F879C"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Stationary energy, industrial processes, transport, agriculture, forestry</w:t>
            </w:r>
          </w:p>
        </w:tc>
        <w:tc>
          <w:tcPr>
            <w:tcW w:w="1530" w:type="dxa"/>
            <w:tcBorders>
              <w:top w:val="dotted" w:sz="4" w:space="0" w:color="309CC8" w:themeColor="accent2"/>
              <w:bottom w:val="dotted" w:sz="4" w:space="0" w:color="309CC8" w:themeColor="accent2"/>
            </w:tcBorders>
          </w:tcPr>
          <w:p w14:paraId="734265F4" w14:textId="77777777" w:rsidR="00172423"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Scope 1 and 2</w:t>
            </w:r>
          </w:p>
          <w:p w14:paraId="554E2C43"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(scope 3 voluntary)</w:t>
            </w:r>
          </w:p>
        </w:tc>
        <w:tc>
          <w:tcPr>
            <w:tcW w:w="1391" w:type="dxa"/>
            <w:tcBorders>
              <w:top w:val="dotted" w:sz="4" w:space="0" w:color="309CC8" w:themeColor="accent2"/>
              <w:bottom w:val="dotted" w:sz="4" w:space="0" w:color="309CC8" w:themeColor="accent2"/>
            </w:tcBorders>
          </w:tcPr>
          <w:p w14:paraId="3304F276"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15</w:t>
            </w:r>
            <w:r>
              <w:t>–</w:t>
            </w:r>
            <w:r w:rsidRPr="00E0204F">
              <w:t>30 per cent</w:t>
            </w:r>
            <w:r>
              <w:rPr>
                <w:rStyle w:val="FootnoteReference"/>
              </w:rPr>
              <w:footnoteReference w:id="39"/>
            </w:r>
            <w:r w:rsidRPr="00E0204F">
              <w:t xml:space="preserve"> </w:t>
            </w:r>
          </w:p>
        </w:tc>
        <w:tc>
          <w:tcPr>
            <w:tcW w:w="2223" w:type="dxa"/>
            <w:tcBorders>
              <w:top w:val="dotted" w:sz="4" w:space="0" w:color="309CC8" w:themeColor="accent2"/>
              <w:bottom w:val="dotted" w:sz="4" w:space="0" w:color="309CC8" w:themeColor="accent2"/>
            </w:tcBorders>
          </w:tcPr>
          <w:p w14:paraId="5FD676D3"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rPr>
                <w:rFonts w:cs="Arial"/>
              </w:rPr>
            </w:pPr>
            <w:r w:rsidRPr="00783F60">
              <w:t>Companies:</w:t>
            </w:r>
            <w:r w:rsidRPr="00E0204F">
              <w:t xml:space="preserve"> </w:t>
            </w:r>
            <w:r w:rsidRPr="00E0204F">
              <w:rPr>
                <w:rFonts w:cs="Arial"/>
              </w:rPr>
              <w:t>500 employees</w:t>
            </w:r>
          </w:p>
          <w:p w14:paraId="41997450"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rPr>
                <w:rFonts w:cs="Arial"/>
              </w:rPr>
            </w:pPr>
            <w:r w:rsidRPr="00783F60">
              <w:rPr>
                <w:rFonts w:cs="Arial"/>
              </w:rPr>
              <w:t>Public bodies:</w:t>
            </w:r>
            <w:r w:rsidRPr="00E0204F">
              <w:rPr>
                <w:rFonts w:cs="Arial"/>
              </w:rPr>
              <w:t xml:space="preserve"> 250 employees</w:t>
            </w:r>
          </w:p>
          <w:p w14:paraId="370FFDF9"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783F60">
              <w:rPr>
                <w:rFonts w:cs="Arial"/>
              </w:rPr>
              <w:t>Local authorities:</w:t>
            </w:r>
            <w:r w:rsidRPr="00E0204F">
              <w:rPr>
                <w:rFonts w:cs="Arial"/>
              </w:rPr>
              <w:t xml:space="preserve"> 50,000 inhabitants</w:t>
            </w:r>
          </w:p>
        </w:tc>
      </w:tr>
      <w:tr w:rsidR="00172423" w:rsidRPr="0079317F" w14:paraId="14DB13AF" w14:textId="77777777" w:rsidTr="00EF4045">
        <w:tc>
          <w:tcPr>
            <w:cnfStyle w:val="001000000000" w:firstRow="0" w:lastRow="0" w:firstColumn="1" w:lastColumn="0" w:oddVBand="0" w:evenVBand="0" w:oddHBand="0" w:evenHBand="0" w:firstRowFirstColumn="0" w:firstRowLastColumn="0" w:lastRowFirstColumn="0" w:lastRowLastColumn="0"/>
            <w:tcW w:w="1248" w:type="dxa"/>
            <w:tcBorders>
              <w:top w:val="dotted" w:sz="4" w:space="0" w:color="309CC8" w:themeColor="accent2"/>
              <w:bottom w:val="dotted" w:sz="4" w:space="0" w:color="309CC8" w:themeColor="accent2"/>
            </w:tcBorders>
          </w:tcPr>
          <w:p w14:paraId="3C3D0CC3" w14:textId="77777777" w:rsidR="00172423" w:rsidRPr="00B94E56" w:rsidRDefault="00172423" w:rsidP="00EF4045">
            <w:pPr>
              <w:pStyle w:val="TableText"/>
              <w:rPr>
                <w:b w:val="0"/>
              </w:rPr>
            </w:pPr>
            <w:r w:rsidRPr="00B94E56">
              <w:rPr>
                <w:b w:val="0"/>
              </w:rPr>
              <w:t>Japan</w:t>
            </w:r>
          </w:p>
        </w:tc>
        <w:tc>
          <w:tcPr>
            <w:tcW w:w="1421" w:type="dxa"/>
            <w:tcBorders>
              <w:top w:val="dotted" w:sz="4" w:space="0" w:color="309CC8" w:themeColor="accent2"/>
              <w:bottom w:val="dotted" w:sz="4" w:space="0" w:color="309CC8" w:themeColor="accent2"/>
            </w:tcBorders>
          </w:tcPr>
          <w:p w14:paraId="0D1F7294" w14:textId="77777777" w:rsidR="00172423" w:rsidRPr="00620C04"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620C04">
              <w:t>Mandatory Greenhouse Gas Accounting and Reporting System</w:t>
            </w:r>
          </w:p>
        </w:tc>
        <w:tc>
          <w:tcPr>
            <w:tcW w:w="1608" w:type="dxa"/>
            <w:tcBorders>
              <w:top w:val="dotted" w:sz="4" w:space="0" w:color="309CC8" w:themeColor="accent2"/>
              <w:bottom w:val="dotted" w:sz="4" w:space="0" w:color="309CC8" w:themeColor="accent2"/>
            </w:tcBorders>
          </w:tcPr>
          <w:p w14:paraId="0A7B5429" w14:textId="77777777" w:rsidR="00172423" w:rsidRPr="00620C04"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620C04">
              <w:t>2006</w:t>
            </w:r>
          </w:p>
        </w:tc>
        <w:tc>
          <w:tcPr>
            <w:tcW w:w="2361" w:type="dxa"/>
            <w:tcBorders>
              <w:top w:val="dotted" w:sz="4" w:space="0" w:color="309CC8" w:themeColor="accent2"/>
              <w:bottom w:val="dotted" w:sz="4" w:space="0" w:color="309CC8" w:themeColor="accent2"/>
            </w:tcBorders>
          </w:tcPr>
          <w:p w14:paraId="38586BCE" w14:textId="77777777" w:rsidR="00172423" w:rsidRPr="00620C04"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620C04">
              <w:t>CO</w:t>
            </w:r>
            <w:r w:rsidRPr="00620C04">
              <w:rPr>
                <w:vertAlign w:val="subscript"/>
              </w:rPr>
              <w:t>2</w:t>
            </w:r>
            <w:r w:rsidRPr="00620C04">
              <w:t>, CH</w:t>
            </w:r>
            <w:r w:rsidRPr="00620C04">
              <w:rPr>
                <w:vertAlign w:val="subscript"/>
              </w:rPr>
              <w:t>4</w:t>
            </w:r>
            <w:r w:rsidRPr="00620C04">
              <w:t>, N</w:t>
            </w:r>
            <w:r w:rsidRPr="00620C04">
              <w:rPr>
                <w:vertAlign w:val="subscript"/>
              </w:rPr>
              <w:t>2</w:t>
            </w:r>
            <w:r w:rsidRPr="00620C04">
              <w:t>O, SF</w:t>
            </w:r>
            <w:r w:rsidRPr="00620C04">
              <w:rPr>
                <w:vertAlign w:val="subscript"/>
              </w:rPr>
              <w:t>6</w:t>
            </w:r>
            <w:r w:rsidRPr="00620C04">
              <w:t>,</w:t>
            </w:r>
            <w:r w:rsidRPr="00620C04">
              <w:rPr>
                <w:vertAlign w:val="subscript"/>
              </w:rPr>
              <w:t xml:space="preserve"> </w:t>
            </w:r>
            <w:r w:rsidRPr="00620C04">
              <w:t>HFCs and PFCs</w:t>
            </w:r>
          </w:p>
        </w:tc>
        <w:tc>
          <w:tcPr>
            <w:tcW w:w="2981" w:type="dxa"/>
            <w:tcBorders>
              <w:top w:val="dotted" w:sz="4" w:space="0" w:color="309CC8" w:themeColor="accent2"/>
              <w:bottom w:val="dotted" w:sz="4" w:space="0" w:color="309CC8" w:themeColor="accent2"/>
            </w:tcBorders>
          </w:tcPr>
          <w:p w14:paraId="332C9F8B" w14:textId="77777777" w:rsidR="00172423" w:rsidRPr="00620C04"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620C04">
              <w:t>Large emitters including transport</w:t>
            </w:r>
          </w:p>
        </w:tc>
        <w:tc>
          <w:tcPr>
            <w:tcW w:w="1530" w:type="dxa"/>
            <w:tcBorders>
              <w:top w:val="dotted" w:sz="4" w:space="0" w:color="309CC8" w:themeColor="accent2"/>
              <w:bottom w:val="dotted" w:sz="4" w:space="0" w:color="309CC8" w:themeColor="accent2"/>
            </w:tcBorders>
          </w:tcPr>
          <w:p w14:paraId="51F16BF1" w14:textId="77777777" w:rsidR="00172423" w:rsidRPr="00620C04"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620C04">
              <w:t>Scope 1 and 2</w:t>
            </w:r>
          </w:p>
        </w:tc>
        <w:tc>
          <w:tcPr>
            <w:tcW w:w="1391" w:type="dxa"/>
            <w:tcBorders>
              <w:top w:val="dotted" w:sz="4" w:space="0" w:color="309CC8" w:themeColor="accent2"/>
              <w:bottom w:val="dotted" w:sz="4" w:space="0" w:color="309CC8" w:themeColor="accent2"/>
            </w:tcBorders>
          </w:tcPr>
          <w:p w14:paraId="35C6CB3A" w14:textId="77777777" w:rsidR="00172423" w:rsidRPr="00620C04"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620C04">
              <w:rPr>
                <w:rFonts w:cs="Arial"/>
                <w:shd w:val="clear" w:color="auto" w:fill="FFFFFF"/>
              </w:rPr>
              <w:t>55 per cent</w:t>
            </w:r>
          </w:p>
        </w:tc>
        <w:tc>
          <w:tcPr>
            <w:tcW w:w="2223" w:type="dxa"/>
            <w:tcBorders>
              <w:top w:val="dotted" w:sz="4" w:space="0" w:color="309CC8" w:themeColor="accent2"/>
              <w:bottom w:val="dotted" w:sz="4" w:space="0" w:color="309CC8" w:themeColor="accent2"/>
            </w:tcBorders>
          </w:tcPr>
          <w:p w14:paraId="266F3F45" w14:textId="77777777" w:rsidR="00172423" w:rsidRPr="00783F60" w:rsidRDefault="00172423" w:rsidP="00EF4045">
            <w:pPr>
              <w:pStyle w:val="TableText"/>
              <w:cnfStyle w:val="000000000000" w:firstRow="0" w:lastRow="0" w:firstColumn="0" w:lastColumn="0" w:oddVBand="0" w:evenVBand="0" w:oddHBand="0" w:evenHBand="0" w:firstRowFirstColumn="0" w:firstRowLastColumn="0" w:lastRowFirstColumn="0" w:lastRowLastColumn="0"/>
            </w:pPr>
            <w:r>
              <w:t>Compan</w:t>
            </w:r>
            <w:r w:rsidRPr="00620C04">
              <w:t xml:space="preserve">ies with energy consumption of 1,500 kL of crude oil equivalent per year; </w:t>
            </w:r>
            <w:r>
              <w:t xml:space="preserve">or </w:t>
            </w:r>
            <w:r w:rsidRPr="00620C04">
              <w:t>3,000 t CO</w:t>
            </w:r>
            <w:r w:rsidRPr="00620C04">
              <w:rPr>
                <w:vertAlign w:val="subscript"/>
              </w:rPr>
              <w:t>2</w:t>
            </w:r>
            <w:r w:rsidRPr="00620C04">
              <w:t>-e per year; and 21 full-time employees</w:t>
            </w:r>
          </w:p>
        </w:tc>
      </w:tr>
      <w:tr w:rsidR="00172423" w:rsidRPr="0079317F" w14:paraId="76504766" w14:textId="77777777" w:rsidTr="00EF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Borders>
              <w:top w:val="dotted" w:sz="4" w:space="0" w:color="309CC8" w:themeColor="accent2"/>
              <w:bottom w:val="dotted" w:sz="4" w:space="0" w:color="309CC8" w:themeColor="accent2"/>
            </w:tcBorders>
          </w:tcPr>
          <w:p w14:paraId="338EDD58" w14:textId="77777777" w:rsidR="00172423" w:rsidRPr="00B94E56" w:rsidRDefault="00172423" w:rsidP="00EF4045">
            <w:pPr>
              <w:pStyle w:val="TableText"/>
              <w:rPr>
                <w:b w:val="0"/>
              </w:rPr>
            </w:pPr>
            <w:r w:rsidRPr="00B94E56">
              <w:rPr>
                <w:b w:val="0"/>
              </w:rPr>
              <w:t>Mexico</w:t>
            </w:r>
          </w:p>
        </w:tc>
        <w:tc>
          <w:tcPr>
            <w:tcW w:w="1421" w:type="dxa"/>
            <w:tcBorders>
              <w:top w:val="dotted" w:sz="4" w:space="0" w:color="309CC8" w:themeColor="accent2"/>
              <w:bottom w:val="dotted" w:sz="4" w:space="0" w:color="309CC8" w:themeColor="accent2"/>
            </w:tcBorders>
          </w:tcPr>
          <w:p w14:paraId="0ACE385D"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National Emissions Register</w:t>
            </w:r>
          </w:p>
        </w:tc>
        <w:tc>
          <w:tcPr>
            <w:tcW w:w="1608" w:type="dxa"/>
            <w:tcBorders>
              <w:top w:val="dotted" w:sz="4" w:space="0" w:color="309CC8" w:themeColor="accent2"/>
              <w:bottom w:val="dotted" w:sz="4" w:space="0" w:color="309CC8" w:themeColor="accent2"/>
            </w:tcBorders>
          </w:tcPr>
          <w:p w14:paraId="2454EE86" w14:textId="77777777" w:rsidR="00172423"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2016</w:t>
            </w:r>
          </w:p>
        </w:tc>
        <w:tc>
          <w:tcPr>
            <w:tcW w:w="2361" w:type="dxa"/>
            <w:tcBorders>
              <w:top w:val="dotted" w:sz="4" w:space="0" w:color="309CC8" w:themeColor="accent2"/>
              <w:bottom w:val="dotted" w:sz="4" w:space="0" w:color="309CC8" w:themeColor="accent2"/>
            </w:tcBorders>
          </w:tcPr>
          <w:p w14:paraId="694F60FF"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CO</w:t>
            </w:r>
            <w:r w:rsidRPr="00E0204F">
              <w:rPr>
                <w:vertAlign w:val="subscript"/>
              </w:rPr>
              <w:t>2</w:t>
            </w:r>
            <w:r w:rsidRPr="00E0204F">
              <w:t xml:space="preserve"> , CH</w:t>
            </w:r>
            <w:r w:rsidRPr="00E0204F">
              <w:rPr>
                <w:vertAlign w:val="subscript"/>
              </w:rPr>
              <w:t>4</w:t>
            </w:r>
            <w:r w:rsidRPr="00E0204F">
              <w:t xml:space="preserve"> , N</w:t>
            </w:r>
            <w:r w:rsidRPr="00E0204F">
              <w:rPr>
                <w:vertAlign w:val="subscript"/>
              </w:rPr>
              <w:t>2</w:t>
            </w:r>
            <w:r w:rsidRPr="00E0204F">
              <w:t>O, HFC</w:t>
            </w:r>
            <w:r>
              <w:t>s</w:t>
            </w:r>
            <w:r w:rsidRPr="00E0204F">
              <w:t>, PFC</w:t>
            </w:r>
            <w:r>
              <w:t>s</w:t>
            </w:r>
            <w:r w:rsidRPr="00E0204F">
              <w:t>, HCFC</w:t>
            </w:r>
            <w:r>
              <w:t>s</w:t>
            </w:r>
            <w:r w:rsidRPr="00E0204F">
              <w:t>, CFC</w:t>
            </w:r>
            <w:r>
              <w:t>s</w:t>
            </w:r>
            <w:r w:rsidRPr="00E0204F">
              <w:t>, SF</w:t>
            </w:r>
            <w:r w:rsidRPr="00E0204F">
              <w:rPr>
                <w:vertAlign w:val="subscript"/>
              </w:rPr>
              <w:t>6</w:t>
            </w:r>
            <w:r w:rsidRPr="00E0204F">
              <w:t>, NF</w:t>
            </w:r>
            <w:r w:rsidRPr="00E0204F">
              <w:rPr>
                <w:vertAlign w:val="subscript"/>
              </w:rPr>
              <w:t>3</w:t>
            </w:r>
            <w:r w:rsidRPr="00E0204F">
              <w:t>, halogenated ether, halocarbon, and black carbon</w:t>
            </w:r>
          </w:p>
        </w:tc>
        <w:tc>
          <w:tcPr>
            <w:tcW w:w="2981" w:type="dxa"/>
            <w:tcBorders>
              <w:top w:val="dotted" w:sz="4" w:space="0" w:color="309CC8" w:themeColor="accent2"/>
              <w:bottom w:val="dotted" w:sz="4" w:space="0" w:color="309CC8" w:themeColor="accent2"/>
            </w:tcBorders>
          </w:tcPr>
          <w:p w14:paraId="2548FA12"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Energy</w:t>
            </w:r>
            <w:r>
              <w:t>,</w:t>
            </w:r>
            <w:r w:rsidRPr="00E0204F">
              <w:t xml:space="preserve"> industry</w:t>
            </w:r>
            <w:r>
              <w:t>,</w:t>
            </w:r>
            <w:r w:rsidRPr="00E0204F">
              <w:t xml:space="preserve"> commercial</w:t>
            </w:r>
            <w:r>
              <w:t>,</w:t>
            </w:r>
            <w:r w:rsidRPr="00E0204F">
              <w:t xml:space="preserve"> waste</w:t>
            </w:r>
            <w:r>
              <w:t>,</w:t>
            </w:r>
            <w:r w:rsidRPr="00E0204F">
              <w:t xml:space="preserve"> agriculture</w:t>
            </w:r>
            <w:r>
              <w:t>,</w:t>
            </w:r>
            <w:r w:rsidRPr="00E0204F">
              <w:t xml:space="preserve"> transport</w:t>
            </w:r>
          </w:p>
        </w:tc>
        <w:tc>
          <w:tcPr>
            <w:tcW w:w="1530" w:type="dxa"/>
            <w:tcBorders>
              <w:top w:val="dotted" w:sz="4" w:space="0" w:color="309CC8" w:themeColor="accent2"/>
              <w:bottom w:val="dotted" w:sz="4" w:space="0" w:color="309CC8" w:themeColor="accent2"/>
            </w:tcBorders>
          </w:tcPr>
          <w:p w14:paraId="7BAE396F"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Scope 1 and 2</w:t>
            </w:r>
          </w:p>
        </w:tc>
        <w:tc>
          <w:tcPr>
            <w:tcW w:w="1391" w:type="dxa"/>
            <w:tcBorders>
              <w:top w:val="dotted" w:sz="4" w:space="0" w:color="309CC8" w:themeColor="accent2"/>
              <w:bottom w:val="dotted" w:sz="4" w:space="0" w:color="309CC8" w:themeColor="accent2"/>
            </w:tcBorders>
          </w:tcPr>
          <w:p w14:paraId="65DE60AA"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Data not available</w:t>
            </w:r>
          </w:p>
        </w:tc>
        <w:tc>
          <w:tcPr>
            <w:tcW w:w="2223" w:type="dxa"/>
            <w:tcBorders>
              <w:top w:val="dotted" w:sz="4" w:space="0" w:color="309CC8" w:themeColor="accent2"/>
              <w:bottom w:val="dotted" w:sz="4" w:space="0" w:color="309CC8" w:themeColor="accent2"/>
            </w:tcBorders>
          </w:tcPr>
          <w:p w14:paraId="1F2F5804" w14:textId="77777777" w:rsidR="00172423" w:rsidRPr="0079317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783F60">
              <w:t>Facility or co</w:t>
            </w:r>
            <w:r>
              <w:t>rporate group</w:t>
            </w:r>
            <w:r w:rsidRPr="00783F60">
              <w:t>:</w:t>
            </w:r>
            <w:r w:rsidRPr="00E0204F">
              <w:t xml:space="preserve"> 25</w:t>
            </w:r>
            <w:r>
              <w:t> </w:t>
            </w:r>
            <w:r w:rsidRPr="00E0204F">
              <w:t>kt</w:t>
            </w:r>
            <w:r>
              <w:t> </w:t>
            </w:r>
            <w:r w:rsidRPr="00E0204F">
              <w:t>CO</w:t>
            </w:r>
            <w:r w:rsidRPr="00E0204F">
              <w:rPr>
                <w:vertAlign w:val="subscript"/>
              </w:rPr>
              <w:t>2</w:t>
            </w:r>
            <w:r w:rsidRPr="00E0204F">
              <w:t>-e per year</w:t>
            </w:r>
          </w:p>
        </w:tc>
      </w:tr>
      <w:tr w:rsidR="00172423" w:rsidRPr="0079317F" w14:paraId="727A522E" w14:textId="77777777" w:rsidTr="00EF4045">
        <w:tc>
          <w:tcPr>
            <w:cnfStyle w:val="001000000000" w:firstRow="0" w:lastRow="0" w:firstColumn="1" w:lastColumn="0" w:oddVBand="0" w:evenVBand="0" w:oddHBand="0" w:evenHBand="0" w:firstRowFirstColumn="0" w:firstRowLastColumn="0" w:lastRowFirstColumn="0" w:lastRowLastColumn="0"/>
            <w:tcW w:w="1248" w:type="dxa"/>
            <w:tcBorders>
              <w:top w:val="dotted" w:sz="4" w:space="0" w:color="309CC8" w:themeColor="accent2"/>
              <w:bottom w:val="dotted" w:sz="4" w:space="0" w:color="309CC8" w:themeColor="accent2"/>
            </w:tcBorders>
          </w:tcPr>
          <w:p w14:paraId="00D00BDF" w14:textId="77777777" w:rsidR="00172423" w:rsidRPr="00B94E56" w:rsidRDefault="00172423" w:rsidP="00EF4045">
            <w:pPr>
              <w:pStyle w:val="TableText"/>
              <w:rPr>
                <w:b w:val="0"/>
              </w:rPr>
            </w:pPr>
            <w:r w:rsidRPr="00B94E56">
              <w:rPr>
                <w:b w:val="0"/>
              </w:rPr>
              <w:t>New Zealand</w:t>
            </w:r>
          </w:p>
        </w:tc>
        <w:tc>
          <w:tcPr>
            <w:tcW w:w="1421" w:type="dxa"/>
            <w:tcBorders>
              <w:top w:val="dotted" w:sz="4" w:space="0" w:color="309CC8" w:themeColor="accent2"/>
              <w:bottom w:val="dotted" w:sz="4" w:space="0" w:color="309CC8" w:themeColor="accent2"/>
            </w:tcBorders>
          </w:tcPr>
          <w:p w14:paraId="48640835"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New Zealand Emissions Trading Scheme</w:t>
            </w:r>
          </w:p>
        </w:tc>
        <w:tc>
          <w:tcPr>
            <w:tcW w:w="1608" w:type="dxa"/>
            <w:tcBorders>
              <w:top w:val="dotted" w:sz="4" w:space="0" w:color="309CC8" w:themeColor="accent2"/>
              <w:bottom w:val="dotted" w:sz="4" w:space="0" w:color="309CC8" w:themeColor="accent2"/>
            </w:tcBorders>
          </w:tcPr>
          <w:p w14:paraId="409BBAD0" w14:textId="77777777" w:rsidR="00172423" w:rsidRDefault="00172423" w:rsidP="00EF4045">
            <w:pPr>
              <w:pStyle w:val="TableText"/>
              <w:cnfStyle w:val="000000000000" w:firstRow="0" w:lastRow="0" w:firstColumn="0" w:lastColumn="0" w:oddVBand="0" w:evenVBand="0" w:oddHBand="0" w:evenHBand="0" w:firstRowFirstColumn="0" w:firstRowLastColumn="0" w:lastRowFirstColumn="0" w:lastRowLastColumn="0"/>
            </w:pPr>
            <w:r>
              <w:t>2008</w:t>
            </w:r>
          </w:p>
        </w:tc>
        <w:tc>
          <w:tcPr>
            <w:tcW w:w="2361" w:type="dxa"/>
            <w:tcBorders>
              <w:top w:val="dotted" w:sz="4" w:space="0" w:color="309CC8" w:themeColor="accent2"/>
              <w:bottom w:val="dotted" w:sz="4" w:space="0" w:color="309CC8" w:themeColor="accent2"/>
            </w:tcBorders>
          </w:tcPr>
          <w:p w14:paraId="315A8F89"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CO</w:t>
            </w:r>
            <w:r w:rsidRPr="00E0204F">
              <w:rPr>
                <w:vertAlign w:val="subscript"/>
              </w:rPr>
              <w:t>2</w:t>
            </w:r>
            <w:r w:rsidRPr="00E0204F">
              <w:t>, CH</w:t>
            </w:r>
            <w:r w:rsidRPr="00E0204F">
              <w:rPr>
                <w:vertAlign w:val="subscript"/>
              </w:rPr>
              <w:t>4</w:t>
            </w:r>
            <w:r w:rsidRPr="00E0204F">
              <w:t>, N</w:t>
            </w:r>
            <w:r w:rsidRPr="00E0204F">
              <w:rPr>
                <w:vertAlign w:val="subscript"/>
              </w:rPr>
              <w:t>2</w:t>
            </w:r>
            <w:r w:rsidRPr="00E0204F">
              <w:t>O, SF</w:t>
            </w:r>
            <w:r w:rsidRPr="00E0204F">
              <w:rPr>
                <w:vertAlign w:val="subscript"/>
              </w:rPr>
              <w:t>6</w:t>
            </w:r>
            <w:r w:rsidRPr="00E0204F">
              <w:t>,</w:t>
            </w:r>
            <w:r w:rsidRPr="00E0204F">
              <w:rPr>
                <w:vertAlign w:val="subscript"/>
              </w:rPr>
              <w:t xml:space="preserve"> </w:t>
            </w:r>
            <w:r w:rsidRPr="00E0204F">
              <w:t>HFCs</w:t>
            </w:r>
            <w:r>
              <w:t xml:space="preserve">, </w:t>
            </w:r>
            <w:r w:rsidRPr="00E0204F">
              <w:t>PFCs</w:t>
            </w:r>
            <w:r>
              <w:t>, NF3, other fluorinated greenhouse gases</w:t>
            </w:r>
          </w:p>
        </w:tc>
        <w:tc>
          <w:tcPr>
            <w:tcW w:w="2981" w:type="dxa"/>
            <w:tcBorders>
              <w:top w:val="dotted" w:sz="4" w:space="0" w:color="309CC8" w:themeColor="accent2"/>
              <w:bottom w:val="dotted" w:sz="4" w:space="0" w:color="309CC8" w:themeColor="accent2"/>
            </w:tcBorders>
          </w:tcPr>
          <w:p w14:paraId="7A4149AA"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All sectors of the economy</w:t>
            </w:r>
            <w:r>
              <w:t>:</w:t>
            </w:r>
            <w:r w:rsidRPr="00E0204F">
              <w:t xml:space="preserve"> stationary energy</w:t>
            </w:r>
            <w:r>
              <w:t>,</w:t>
            </w:r>
            <w:r w:rsidRPr="00E0204F">
              <w:t xml:space="preserve"> industrial processes</w:t>
            </w:r>
            <w:r>
              <w:t>,</w:t>
            </w:r>
            <w:r w:rsidRPr="00E0204F">
              <w:t xml:space="preserve"> waste</w:t>
            </w:r>
            <w:r>
              <w:t>,</w:t>
            </w:r>
            <w:r w:rsidRPr="00E0204F">
              <w:t xml:space="preserve"> transport</w:t>
            </w:r>
            <w:r>
              <w:t>, agriculture, forestry</w:t>
            </w:r>
          </w:p>
        </w:tc>
        <w:tc>
          <w:tcPr>
            <w:tcW w:w="1530" w:type="dxa"/>
            <w:tcBorders>
              <w:top w:val="dotted" w:sz="4" w:space="0" w:color="309CC8" w:themeColor="accent2"/>
              <w:bottom w:val="dotted" w:sz="4" w:space="0" w:color="309CC8" w:themeColor="accent2"/>
            </w:tcBorders>
          </w:tcPr>
          <w:p w14:paraId="35B4093A"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Scope 1 and</w:t>
            </w:r>
            <w:r>
              <w:t xml:space="preserve"> upstream point of obligation</w:t>
            </w:r>
          </w:p>
        </w:tc>
        <w:tc>
          <w:tcPr>
            <w:tcW w:w="1391" w:type="dxa"/>
            <w:tcBorders>
              <w:top w:val="dotted" w:sz="4" w:space="0" w:color="309CC8" w:themeColor="accent2"/>
              <w:bottom w:val="dotted" w:sz="4" w:space="0" w:color="309CC8" w:themeColor="accent2"/>
            </w:tcBorders>
          </w:tcPr>
          <w:p w14:paraId="56D2C352"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55 per cent</w:t>
            </w:r>
          </w:p>
        </w:tc>
        <w:tc>
          <w:tcPr>
            <w:tcW w:w="2223" w:type="dxa"/>
            <w:tcBorders>
              <w:top w:val="dotted" w:sz="4" w:space="0" w:color="309CC8" w:themeColor="accent2"/>
              <w:bottom w:val="dotted" w:sz="4" w:space="0" w:color="309CC8" w:themeColor="accent2"/>
            </w:tcBorders>
          </w:tcPr>
          <w:p w14:paraId="6E9C050A"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 xml:space="preserve">Thresholds </w:t>
            </w:r>
            <w:r>
              <w:t>vary by</w:t>
            </w:r>
            <w:r w:rsidRPr="00E0204F">
              <w:t xml:space="preserve"> sector</w:t>
            </w:r>
            <w:r>
              <w:t>,</w:t>
            </w:r>
            <w:r w:rsidRPr="00E0204F">
              <w:t xml:space="preserve"> obligation is aimed as </w:t>
            </w:r>
            <w:r w:rsidRPr="00783F60">
              <w:t>far upstream as possible</w:t>
            </w:r>
          </w:p>
        </w:tc>
      </w:tr>
      <w:tr w:rsidR="00172423" w:rsidRPr="0079317F" w14:paraId="2AD4CBE7" w14:textId="77777777" w:rsidTr="00EF4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Borders>
              <w:top w:val="dotted" w:sz="4" w:space="0" w:color="309CC8" w:themeColor="accent2"/>
              <w:bottom w:val="dotted" w:sz="4" w:space="0" w:color="309CC8" w:themeColor="accent2"/>
            </w:tcBorders>
          </w:tcPr>
          <w:p w14:paraId="59AFB129" w14:textId="77777777" w:rsidR="00172423" w:rsidRPr="00B94E56" w:rsidRDefault="00172423" w:rsidP="00EF4045">
            <w:pPr>
              <w:pStyle w:val="TableText"/>
              <w:rPr>
                <w:b w:val="0"/>
              </w:rPr>
            </w:pPr>
            <w:r>
              <w:rPr>
                <w:b w:val="0"/>
              </w:rPr>
              <w:t xml:space="preserve">Republic of </w:t>
            </w:r>
            <w:r w:rsidRPr="00B94E56">
              <w:rPr>
                <w:b w:val="0"/>
              </w:rPr>
              <w:t>Korea</w:t>
            </w:r>
          </w:p>
        </w:tc>
        <w:tc>
          <w:tcPr>
            <w:tcW w:w="1421" w:type="dxa"/>
            <w:tcBorders>
              <w:top w:val="dotted" w:sz="4" w:space="0" w:color="309CC8" w:themeColor="accent2"/>
              <w:bottom w:val="dotted" w:sz="4" w:space="0" w:color="309CC8" w:themeColor="accent2"/>
            </w:tcBorders>
          </w:tcPr>
          <w:p w14:paraId="442C54E0"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Target Management System</w:t>
            </w:r>
          </w:p>
        </w:tc>
        <w:tc>
          <w:tcPr>
            <w:tcW w:w="1608" w:type="dxa"/>
            <w:tcBorders>
              <w:top w:val="dotted" w:sz="4" w:space="0" w:color="309CC8" w:themeColor="accent2"/>
              <w:bottom w:val="dotted" w:sz="4" w:space="0" w:color="309CC8" w:themeColor="accent2"/>
            </w:tcBorders>
          </w:tcPr>
          <w:p w14:paraId="73C0ED30" w14:textId="77777777" w:rsidR="00172423"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2012</w:t>
            </w:r>
          </w:p>
        </w:tc>
        <w:tc>
          <w:tcPr>
            <w:tcW w:w="2361" w:type="dxa"/>
            <w:tcBorders>
              <w:top w:val="dotted" w:sz="4" w:space="0" w:color="309CC8" w:themeColor="accent2"/>
              <w:bottom w:val="dotted" w:sz="4" w:space="0" w:color="309CC8" w:themeColor="accent2"/>
            </w:tcBorders>
          </w:tcPr>
          <w:p w14:paraId="4B584625"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CO</w:t>
            </w:r>
            <w:r w:rsidRPr="00E0204F">
              <w:rPr>
                <w:vertAlign w:val="subscript"/>
              </w:rPr>
              <w:t xml:space="preserve">2, </w:t>
            </w:r>
            <w:r w:rsidRPr="00E0204F">
              <w:t>CH</w:t>
            </w:r>
            <w:r w:rsidRPr="00E0204F">
              <w:rPr>
                <w:vertAlign w:val="subscript"/>
              </w:rPr>
              <w:t>4</w:t>
            </w:r>
            <w:r w:rsidRPr="00E0204F">
              <w:t>, N</w:t>
            </w:r>
            <w:r w:rsidRPr="00E0204F">
              <w:rPr>
                <w:vertAlign w:val="subscript"/>
              </w:rPr>
              <w:t>2</w:t>
            </w:r>
            <w:r w:rsidRPr="00E0204F">
              <w:t>O, SF</w:t>
            </w:r>
            <w:r w:rsidRPr="00E0204F">
              <w:rPr>
                <w:vertAlign w:val="subscript"/>
              </w:rPr>
              <w:t>6</w:t>
            </w:r>
            <w:r w:rsidRPr="00E0204F">
              <w:t>, HFCs, PFCs</w:t>
            </w:r>
          </w:p>
        </w:tc>
        <w:tc>
          <w:tcPr>
            <w:tcW w:w="2981" w:type="dxa"/>
            <w:tcBorders>
              <w:top w:val="dotted" w:sz="4" w:space="0" w:color="309CC8" w:themeColor="accent2"/>
              <w:bottom w:val="dotted" w:sz="4" w:space="0" w:color="309CC8" w:themeColor="accent2"/>
            </w:tcBorders>
          </w:tcPr>
          <w:p w14:paraId="1487CF16"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Stationary energy,</w:t>
            </w:r>
            <w:r w:rsidRPr="00E0204F">
              <w:t xml:space="preserve"> </w:t>
            </w:r>
            <w:r>
              <w:t>industrial processes,</w:t>
            </w:r>
            <w:r w:rsidRPr="00E0204F">
              <w:t xml:space="preserve"> manufacturers</w:t>
            </w:r>
            <w:r>
              <w:t>,</w:t>
            </w:r>
            <w:r w:rsidRPr="00E0204F">
              <w:t xml:space="preserve"> buildings</w:t>
            </w:r>
            <w:r>
              <w:t>,</w:t>
            </w:r>
            <w:r w:rsidRPr="00E0204F">
              <w:t xml:space="preserve"> waste</w:t>
            </w:r>
            <w:r>
              <w:t xml:space="preserve">, transport, agriculture </w:t>
            </w:r>
          </w:p>
        </w:tc>
        <w:tc>
          <w:tcPr>
            <w:tcW w:w="1530" w:type="dxa"/>
            <w:tcBorders>
              <w:top w:val="dotted" w:sz="4" w:space="0" w:color="309CC8" w:themeColor="accent2"/>
              <w:bottom w:val="dotted" w:sz="4" w:space="0" w:color="309CC8" w:themeColor="accent2"/>
            </w:tcBorders>
          </w:tcPr>
          <w:p w14:paraId="39204A12"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E0204F">
              <w:t>Scope 1 and 2</w:t>
            </w:r>
          </w:p>
        </w:tc>
        <w:tc>
          <w:tcPr>
            <w:tcW w:w="1391" w:type="dxa"/>
            <w:tcBorders>
              <w:top w:val="dotted" w:sz="4" w:space="0" w:color="309CC8" w:themeColor="accent2"/>
              <w:bottom w:val="dotted" w:sz="4" w:space="0" w:color="309CC8" w:themeColor="accent2"/>
            </w:tcBorders>
          </w:tcPr>
          <w:p w14:paraId="26C66E88"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t>Around</w:t>
            </w:r>
            <w:r w:rsidRPr="00E0204F">
              <w:t xml:space="preserve"> 68 per cent</w:t>
            </w:r>
            <w:r>
              <w:rPr>
                <w:rStyle w:val="FootnoteReference"/>
              </w:rPr>
              <w:footnoteReference w:id="40"/>
            </w:r>
          </w:p>
        </w:tc>
        <w:tc>
          <w:tcPr>
            <w:tcW w:w="2223" w:type="dxa"/>
            <w:tcBorders>
              <w:top w:val="dotted" w:sz="4" w:space="0" w:color="309CC8" w:themeColor="accent2"/>
              <w:bottom w:val="dotted" w:sz="4" w:space="0" w:color="309CC8" w:themeColor="accent2"/>
            </w:tcBorders>
          </w:tcPr>
          <w:p w14:paraId="258B10A7"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rPr>
                <w:u w:val="single"/>
              </w:rPr>
            </w:pPr>
            <w:r w:rsidRPr="00783F60">
              <w:t>Facility:</w:t>
            </w:r>
            <w:r w:rsidRPr="00E0204F">
              <w:t xml:space="preserve"> </w:t>
            </w:r>
            <w:r>
              <w:t>1</w:t>
            </w:r>
            <w:r w:rsidRPr="00E0204F">
              <w:t>5 kt CO</w:t>
            </w:r>
            <w:r w:rsidRPr="00E0204F">
              <w:rPr>
                <w:vertAlign w:val="subscript"/>
              </w:rPr>
              <w:t>2</w:t>
            </w:r>
            <w:r w:rsidRPr="00E0204F">
              <w:t>-e per year</w:t>
            </w:r>
            <w:r>
              <w:t>; 80 TJ per year</w:t>
            </w:r>
          </w:p>
          <w:p w14:paraId="630AA7D0" w14:textId="77777777" w:rsidR="00172423" w:rsidRPr="00E0204F" w:rsidRDefault="00172423" w:rsidP="00EF4045">
            <w:pPr>
              <w:pStyle w:val="TableText"/>
              <w:cnfStyle w:val="000000100000" w:firstRow="0" w:lastRow="0" w:firstColumn="0" w:lastColumn="0" w:oddVBand="0" w:evenVBand="0" w:oddHBand="1" w:evenHBand="0" w:firstRowFirstColumn="0" w:firstRowLastColumn="0" w:lastRowFirstColumn="0" w:lastRowLastColumn="0"/>
            </w:pPr>
            <w:r w:rsidRPr="00783F60">
              <w:t>Co</w:t>
            </w:r>
            <w:r>
              <w:t>rporate group</w:t>
            </w:r>
            <w:r w:rsidRPr="00783F60">
              <w:t>:</w:t>
            </w:r>
            <w:r w:rsidRPr="00E0204F">
              <w:t xml:space="preserve"> </w:t>
            </w:r>
            <w:r>
              <w:t>50</w:t>
            </w:r>
            <w:r w:rsidRPr="00E0204F">
              <w:t xml:space="preserve"> kt CO</w:t>
            </w:r>
            <w:r w:rsidRPr="00E0204F">
              <w:rPr>
                <w:vertAlign w:val="subscript"/>
              </w:rPr>
              <w:t>2</w:t>
            </w:r>
            <w:r w:rsidRPr="00E0204F">
              <w:t>-e per year</w:t>
            </w:r>
            <w:r>
              <w:t>; 200 TJ per year</w:t>
            </w:r>
          </w:p>
        </w:tc>
      </w:tr>
      <w:tr w:rsidR="00172423" w:rsidRPr="00BE385B" w14:paraId="018ADAAE" w14:textId="77777777" w:rsidTr="00EF4045">
        <w:tc>
          <w:tcPr>
            <w:cnfStyle w:val="001000000000" w:firstRow="0" w:lastRow="0" w:firstColumn="1" w:lastColumn="0" w:oddVBand="0" w:evenVBand="0" w:oddHBand="0" w:evenHBand="0" w:firstRowFirstColumn="0" w:firstRowLastColumn="0" w:lastRowFirstColumn="0" w:lastRowLastColumn="0"/>
            <w:tcW w:w="1248" w:type="dxa"/>
            <w:tcBorders>
              <w:top w:val="dotted" w:sz="4" w:space="0" w:color="309CC8" w:themeColor="accent2"/>
              <w:bottom w:val="nil"/>
            </w:tcBorders>
          </w:tcPr>
          <w:p w14:paraId="409F21A1" w14:textId="77777777" w:rsidR="00172423" w:rsidRPr="00B94E56" w:rsidRDefault="00172423" w:rsidP="00EF4045">
            <w:pPr>
              <w:pStyle w:val="TableText"/>
              <w:rPr>
                <w:b w:val="0"/>
              </w:rPr>
            </w:pPr>
            <w:r w:rsidRPr="00B94E56">
              <w:rPr>
                <w:b w:val="0"/>
              </w:rPr>
              <w:t>United States</w:t>
            </w:r>
          </w:p>
        </w:tc>
        <w:tc>
          <w:tcPr>
            <w:tcW w:w="1421" w:type="dxa"/>
            <w:tcBorders>
              <w:top w:val="dotted" w:sz="4" w:space="0" w:color="309CC8" w:themeColor="accent2"/>
              <w:bottom w:val="nil"/>
            </w:tcBorders>
          </w:tcPr>
          <w:p w14:paraId="33D9E69F"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Greenhouse Gases Reporting Program</w:t>
            </w:r>
          </w:p>
        </w:tc>
        <w:tc>
          <w:tcPr>
            <w:tcW w:w="1608" w:type="dxa"/>
            <w:tcBorders>
              <w:top w:val="dotted" w:sz="4" w:space="0" w:color="309CC8" w:themeColor="accent2"/>
              <w:bottom w:val="nil"/>
            </w:tcBorders>
          </w:tcPr>
          <w:p w14:paraId="49712007" w14:textId="77777777" w:rsidR="00172423" w:rsidRDefault="00172423" w:rsidP="00EF4045">
            <w:pPr>
              <w:pStyle w:val="TableText"/>
              <w:cnfStyle w:val="000000000000" w:firstRow="0" w:lastRow="0" w:firstColumn="0" w:lastColumn="0" w:oddVBand="0" w:evenVBand="0" w:oddHBand="0" w:evenHBand="0" w:firstRowFirstColumn="0" w:firstRowLastColumn="0" w:lastRowFirstColumn="0" w:lastRowLastColumn="0"/>
            </w:pPr>
            <w:r>
              <w:t>2010</w:t>
            </w:r>
          </w:p>
        </w:tc>
        <w:tc>
          <w:tcPr>
            <w:tcW w:w="2361" w:type="dxa"/>
            <w:tcBorders>
              <w:top w:val="dotted" w:sz="4" w:space="0" w:color="309CC8" w:themeColor="accent2"/>
              <w:bottom w:val="nil"/>
            </w:tcBorders>
          </w:tcPr>
          <w:p w14:paraId="13E68436"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CO</w:t>
            </w:r>
            <w:r w:rsidRPr="00E0204F">
              <w:rPr>
                <w:vertAlign w:val="subscript"/>
              </w:rPr>
              <w:t>2</w:t>
            </w:r>
            <w:r w:rsidRPr="00E0204F">
              <w:t>, CH</w:t>
            </w:r>
            <w:r w:rsidRPr="00E0204F">
              <w:rPr>
                <w:vertAlign w:val="subscript"/>
              </w:rPr>
              <w:t>4</w:t>
            </w:r>
            <w:r w:rsidRPr="00E0204F">
              <w:t>, N</w:t>
            </w:r>
            <w:r w:rsidRPr="00E0204F">
              <w:rPr>
                <w:vertAlign w:val="subscript"/>
              </w:rPr>
              <w:t>2</w:t>
            </w:r>
            <w:r w:rsidRPr="00E0204F">
              <w:t>O, SF</w:t>
            </w:r>
            <w:r w:rsidRPr="00E0204F">
              <w:rPr>
                <w:vertAlign w:val="subscript"/>
              </w:rPr>
              <w:t>6</w:t>
            </w:r>
            <w:r w:rsidRPr="00E0204F">
              <w:t xml:space="preserve"> HFCs, PFCs, NF</w:t>
            </w:r>
            <w:r w:rsidRPr="00E0204F">
              <w:rPr>
                <w:vertAlign w:val="subscript"/>
              </w:rPr>
              <w:t>3</w:t>
            </w:r>
            <w:r>
              <w:t>, other fully fluorinated greenhouse gases, HFEs, very short-lived compounds</w:t>
            </w:r>
          </w:p>
        </w:tc>
        <w:tc>
          <w:tcPr>
            <w:tcW w:w="2981" w:type="dxa"/>
            <w:tcBorders>
              <w:top w:val="dotted" w:sz="4" w:space="0" w:color="309CC8" w:themeColor="accent2"/>
              <w:bottom w:val="nil"/>
            </w:tcBorders>
          </w:tcPr>
          <w:p w14:paraId="0D6AD307"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Threshold activities: industrial processes</w:t>
            </w:r>
            <w:r>
              <w:t xml:space="preserve">, </w:t>
            </w:r>
            <w:r w:rsidRPr="00E0204F">
              <w:t>waste</w:t>
            </w:r>
          </w:p>
          <w:p w14:paraId="562E6AFD"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All in: electricity generation</w:t>
            </w:r>
            <w:r>
              <w:t>,</w:t>
            </w:r>
            <w:r w:rsidRPr="00E0204F">
              <w:t xml:space="preserve"> aluminium production</w:t>
            </w:r>
            <w:r>
              <w:t>,</w:t>
            </w:r>
            <w:r w:rsidRPr="00E0204F">
              <w:t xml:space="preserve"> nitric acid production</w:t>
            </w:r>
            <w:r>
              <w:t>,</w:t>
            </w:r>
            <w:r w:rsidRPr="00E0204F">
              <w:t xml:space="preserve"> CO</w:t>
            </w:r>
            <w:r w:rsidRPr="00E0204F">
              <w:rPr>
                <w:vertAlign w:val="subscript"/>
              </w:rPr>
              <w:t>2</w:t>
            </w:r>
            <w:r w:rsidRPr="00E0204F">
              <w:t xml:space="preserve"> injection</w:t>
            </w:r>
          </w:p>
        </w:tc>
        <w:tc>
          <w:tcPr>
            <w:tcW w:w="1530" w:type="dxa"/>
            <w:tcBorders>
              <w:top w:val="dotted" w:sz="4" w:space="0" w:color="309CC8" w:themeColor="accent2"/>
              <w:bottom w:val="nil"/>
            </w:tcBorders>
          </w:tcPr>
          <w:p w14:paraId="4DCB55A2" w14:textId="77777777" w:rsidR="00172423" w:rsidRPr="00E0204F"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 xml:space="preserve">Scope 1 and </w:t>
            </w:r>
            <w:r>
              <w:t>upstream point of obligation (for suppliers of fuels and industrial greenhouse gases)</w:t>
            </w:r>
          </w:p>
        </w:tc>
        <w:tc>
          <w:tcPr>
            <w:tcW w:w="1391" w:type="dxa"/>
            <w:tcBorders>
              <w:top w:val="dotted" w:sz="4" w:space="0" w:color="309CC8" w:themeColor="accent2"/>
              <w:bottom w:val="nil"/>
            </w:tcBorders>
          </w:tcPr>
          <w:p w14:paraId="0CA10D02" w14:textId="77777777" w:rsidR="00172423"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E0204F">
              <w:t>85</w:t>
            </w:r>
            <w:r>
              <w:t>–</w:t>
            </w:r>
            <w:r w:rsidRPr="00E0204F">
              <w:t>90 per cent</w:t>
            </w:r>
          </w:p>
        </w:tc>
        <w:tc>
          <w:tcPr>
            <w:tcW w:w="2223" w:type="dxa"/>
            <w:tcBorders>
              <w:top w:val="dotted" w:sz="4" w:space="0" w:color="309CC8" w:themeColor="accent2"/>
              <w:bottom w:val="nil"/>
            </w:tcBorders>
          </w:tcPr>
          <w:p w14:paraId="197CC172" w14:textId="77777777" w:rsidR="00172423" w:rsidRPr="00783F60" w:rsidRDefault="00172423" w:rsidP="00EF4045">
            <w:pPr>
              <w:pStyle w:val="TableText"/>
              <w:cnfStyle w:val="000000000000" w:firstRow="0" w:lastRow="0" w:firstColumn="0" w:lastColumn="0" w:oddVBand="0" w:evenVBand="0" w:oddHBand="0" w:evenHBand="0" w:firstRowFirstColumn="0" w:firstRowLastColumn="0" w:lastRowFirstColumn="0" w:lastRowLastColumn="0"/>
            </w:pPr>
            <w:r w:rsidRPr="00783F60">
              <w:t>Facilit</w:t>
            </w:r>
            <w:r>
              <w:t xml:space="preserve">y: </w:t>
            </w:r>
            <w:r w:rsidRPr="00E0204F">
              <w:t>25 kt CO</w:t>
            </w:r>
            <w:r w:rsidRPr="00E0204F">
              <w:rPr>
                <w:vertAlign w:val="subscript"/>
              </w:rPr>
              <w:t>2</w:t>
            </w:r>
            <w:r w:rsidRPr="00E0204F">
              <w:t>-e per year</w:t>
            </w:r>
          </w:p>
          <w:p w14:paraId="62160356" w14:textId="77777777" w:rsidR="00172423" w:rsidRPr="00783F60" w:rsidRDefault="00172423" w:rsidP="00EF4045">
            <w:pPr>
              <w:pStyle w:val="TableText"/>
              <w:cnfStyle w:val="000000000000" w:firstRow="0" w:lastRow="0" w:firstColumn="0" w:lastColumn="0" w:oddVBand="0" w:evenVBand="0" w:oddHBand="0" w:evenHBand="0" w:firstRowFirstColumn="0" w:firstRowLastColumn="0" w:lastRowFirstColumn="0" w:lastRowLastColumn="0"/>
            </w:pPr>
            <w:r>
              <w:t>No threshold for ‘all in’ category</w:t>
            </w:r>
          </w:p>
        </w:tc>
      </w:tr>
    </w:tbl>
    <w:p w14:paraId="1747F8BF" w14:textId="1268094D" w:rsidR="00172423" w:rsidRDefault="00172423" w:rsidP="00172423">
      <w:pPr>
        <w:pStyle w:val="CCANotesource"/>
        <w:sectPr w:rsidR="00172423" w:rsidSect="00F84F58">
          <w:pgSz w:w="16840" w:h="11907" w:orient="landscape" w:code="9"/>
          <w:pgMar w:top="1077" w:right="1418" w:bottom="1077" w:left="851" w:header="850" w:footer="720" w:gutter="0"/>
          <w:pgNumType w:chapStyle="1" w:chapSep="emDash"/>
          <w:cols w:space="720"/>
          <w:docGrid w:linePitch="360"/>
        </w:sectPr>
      </w:pPr>
      <w:r w:rsidRPr="00612FD1">
        <w:rPr>
          <w:b/>
        </w:rPr>
        <w:t>Sources:</w:t>
      </w:r>
      <w:r w:rsidRPr="0065703D">
        <w:t xml:space="preserve"> </w:t>
      </w:r>
      <w:r>
        <w:t xml:space="preserve">Canada: Environment and Climate Change Canada 2018; EU: European Commission n.d.a., European Commission n.d.b.; France: Republic of France Ministry of Environment, Energy and the Sea 2016; Japan: </w:t>
      </w:r>
      <w:r w:rsidRPr="008E5B92">
        <w:t>Greenhouse Gas Inventory Office of Japan 2017; Japanese Ministry of Economy, Trade and Industry 2018;</w:t>
      </w:r>
      <w:r>
        <w:t xml:space="preserve"> Mexico:</w:t>
      </w:r>
      <w:r w:rsidRPr="0071182F">
        <w:t xml:space="preserve"> Mexican Department of Environment and Natural Resources</w:t>
      </w:r>
      <w:r>
        <w:t xml:space="preserve"> 2015; New Zealand: </w:t>
      </w:r>
      <w:r w:rsidRPr="00157303">
        <w:rPr>
          <w:i/>
        </w:rPr>
        <w:t>Climate Change Response Act 2002</w:t>
      </w:r>
      <w:r>
        <w:t xml:space="preserve"> (New Zealand), Environmental Defense Fund 2015, </w:t>
      </w:r>
      <w:r w:rsidRPr="008A42D2">
        <w:t>Motu Economic and Public Policy Research</w:t>
      </w:r>
      <w:r>
        <w:t xml:space="preserve"> 2018; Republic of Korea: Korea Environment Corporation 2013, Republic of Korea Ministry of Environment 2017, Hyun and Oh n.d., International Partnership on Mitigation and MRV 2015; United States: US EPA n.d.; All: World Resources Institute 2013, World Resources Institute 2015.</w:t>
      </w:r>
    </w:p>
    <w:p w14:paraId="149B094A" w14:textId="1EB1B0AF" w:rsidR="00DA58FC" w:rsidRPr="007161D3" w:rsidRDefault="00DA58FC" w:rsidP="00C813C5">
      <w:pPr>
        <w:pStyle w:val="CCAAppendixHeading"/>
      </w:pPr>
      <w:bookmarkStart w:id="984" w:name="_Toc530413979"/>
      <w:bookmarkStart w:id="985" w:name="_Ref529390854"/>
      <w:bookmarkStart w:id="986" w:name="_Toc531095598"/>
      <w:bookmarkStart w:id="987" w:name="_Toc531099364"/>
      <w:bookmarkStart w:id="988" w:name="_Toc531101773"/>
      <w:bookmarkStart w:id="989" w:name="_Toc531764039"/>
      <w:bookmarkStart w:id="990" w:name="_Toc532912133"/>
      <w:bookmarkStart w:id="991" w:name="_Toc532914975"/>
      <w:bookmarkEnd w:id="984"/>
      <w:r>
        <w:t xml:space="preserve">Use of </w:t>
      </w:r>
      <w:r w:rsidR="00E819D5">
        <w:t xml:space="preserve">the </w:t>
      </w:r>
      <w:r w:rsidRPr="00DA58FC">
        <w:t xml:space="preserve">reporting </w:t>
      </w:r>
      <w:r>
        <w:t xml:space="preserve">scheme in </w:t>
      </w:r>
      <w:r w:rsidRPr="00DA58FC">
        <w:t>Australian Government policies, programs and activities</w:t>
      </w:r>
      <w:bookmarkEnd w:id="985"/>
      <w:bookmarkEnd w:id="986"/>
      <w:bookmarkEnd w:id="987"/>
      <w:bookmarkEnd w:id="988"/>
      <w:bookmarkEnd w:id="989"/>
      <w:bookmarkEnd w:id="990"/>
      <w:bookmarkEnd w:id="991"/>
    </w:p>
    <w:p w14:paraId="1AC00F10" w14:textId="77777777" w:rsidR="003F24F1" w:rsidRDefault="003F24F1" w:rsidP="00532BE2">
      <w:pPr>
        <w:pStyle w:val="CCATableheader"/>
      </w:pPr>
      <w:bookmarkStart w:id="992" w:name="_Ref531614660"/>
      <w:bookmarkStart w:id="993" w:name="_Toc531764053"/>
      <w:bookmarkStart w:id="994" w:name="_Toc532912076"/>
      <w:bookmarkStart w:id="995" w:name="_Toc532914020"/>
      <w:bookmarkStart w:id="996" w:name="_Toc531095541"/>
      <w:bookmarkStart w:id="997" w:name="_Toc531099307"/>
      <w:bookmarkStart w:id="998" w:name="_Toc531101716"/>
      <w:bookmarkStart w:id="999" w:name="_Toc531341085"/>
      <w:r>
        <w:t xml:space="preserve">Examples of reporting data, factors and methods informing </w:t>
      </w:r>
      <w:r w:rsidRPr="000D74FE">
        <w:t xml:space="preserve">Australian Government </w:t>
      </w:r>
      <w:r>
        <w:t xml:space="preserve">policies, </w:t>
      </w:r>
      <w:r w:rsidRPr="000D74FE">
        <w:t>programs and activities</w:t>
      </w:r>
      <w:bookmarkEnd w:id="992"/>
      <w:bookmarkEnd w:id="993"/>
      <w:bookmarkEnd w:id="994"/>
      <w:bookmarkEnd w:id="995"/>
      <w:r w:rsidRPr="000D74FE">
        <w:t xml:space="preserve"> </w:t>
      </w:r>
      <w:bookmarkEnd w:id="996"/>
      <w:bookmarkEnd w:id="997"/>
      <w:bookmarkEnd w:id="998"/>
      <w:bookmarkEnd w:id="99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3237"/>
        <w:gridCol w:w="4110"/>
      </w:tblGrid>
      <w:tr w:rsidR="003F24F1" w:rsidRPr="003C39A9" w14:paraId="5C4B7F54" w14:textId="77777777" w:rsidTr="00602BAF">
        <w:trPr>
          <w:tblHeader/>
        </w:trPr>
        <w:tc>
          <w:tcPr>
            <w:tcW w:w="2292" w:type="dxa"/>
            <w:shd w:val="clear" w:color="auto" w:fill="309CC8" w:themeFill="accent2"/>
            <w:hideMark/>
          </w:tcPr>
          <w:p w14:paraId="550E8E9C" w14:textId="77777777" w:rsidR="003F24F1" w:rsidRPr="00602BAF" w:rsidRDefault="003F24F1" w:rsidP="00602BAF">
            <w:pPr>
              <w:pStyle w:val="CCABodytext"/>
              <w:tabs>
                <w:tab w:val="right" w:pos="3814"/>
              </w:tabs>
              <w:spacing w:before="60" w:after="60"/>
              <w:rPr>
                <w:b/>
                <w:color w:val="FFFFFF" w:themeColor="background1"/>
                <w:sz w:val="20"/>
                <w:szCs w:val="20"/>
              </w:rPr>
            </w:pPr>
            <w:r w:rsidRPr="00602BAF">
              <w:rPr>
                <w:b/>
                <w:color w:val="FFFFFF" w:themeColor="background1"/>
                <w:sz w:val="20"/>
                <w:szCs w:val="20"/>
              </w:rPr>
              <w:t>Program or activity</w:t>
            </w:r>
          </w:p>
        </w:tc>
        <w:tc>
          <w:tcPr>
            <w:tcW w:w="3237" w:type="dxa"/>
            <w:shd w:val="clear" w:color="auto" w:fill="309CC8" w:themeFill="accent2"/>
            <w:hideMark/>
          </w:tcPr>
          <w:p w14:paraId="2A81E08C" w14:textId="77777777" w:rsidR="003F24F1" w:rsidRPr="00602BAF" w:rsidRDefault="003F24F1" w:rsidP="00602BAF">
            <w:pPr>
              <w:pStyle w:val="CCABodytext"/>
              <w:tabs>
                <w:tab w:val="right" w:pos="3814"/>
              </w:tabs>
              <w:spacing w:before="60" w:after="60"/>
              <w:rPr>
                <w:b/>
                <w:color w:val="FFFFFF" w:themeColor="background1"/>
                <w:sz w:val="20"/>
                <w:szCs w:val="20"/>
              </w:rPr>
            </w:pPr>
            <w:r w:rsidRPr="00602BAF">
              <w:rPr>
                <w:b/>
                <w:color w:val="FFFFFF" w:themeColor="background1"/>
                <w:sz w:val="20"/>
                <w:szCs w:val="20"/>
              </w:rPr>
              <w:t>Description</w:t>
            </w:r>
          </w:p>
        </w:tc>
        <w:tc>
          <w:tcPr>
            <w:tcW w:w="4110" w:type="dxa"/>
            <w:shd w:val="clear" w:color="auto" w:fill="309CC8" w:themeFill="accent2"/>
            <w:hideMark/>
          </w:tcPr>
          <w:p w14:paraId="53902796" w14:textId="77777777" w:rsidR="003F24F1" w:rsidRPr="00602BAF" w:rsidRDefault="003F24F1" w:rsidP="00602BAF">
            <w:pPr>
              <w:pStyle w:val="CCABodytext"/>
              <w:tabs>
                <w:tab w:val="right" w:pos="3814"/>
              </w:tabs>
              <w:spacing w:before="60" w:after="60"/>
              <w:rPr>
                <w:b/>
                <w:color w:val="FFFFFF" w:themeColor="background1"/>
                <w:sz w:val="20"/>
                <w:szCs w:val="20"/>
              </w:rPr>
            </w:pPr>
            <w:r w:rsidRPr="00602BAF">
              <w:rPr>
                <w:b/>
                <w:color w:val="FFFFFF" w:themeColor="background1"/>
                <w:sz w:val="20"/>
                <w:szCs w:val="20"/>
              </w:rPr>
              <w:t>Information used</w:t>
            </w:r>
          </w:p>
        </w:tc>
      </w:tr>
      <w:tr w:rsidR="003F24F1" w:rsidRPr="003C39A9" w14:paraId="3388479D" w14:textId="77777777" w:rsidTr="00542595">
        <w:tc>
          <w:tcPr>
            <w:tcW w:w="9639" w:type="dxa"/>
            <w:gridSpan w:val="3"/>
            <w:shd w:val="clear" w:color="auto" w:fill="D4EBF4" w:themeFill="text2" w:themeFillTint="33"/>
            <w:hideMark/>
          </w:tcPr>
          <w:p w14:paraId="5760B18D" w14:textId="77777777" w:rsidR="003F24F1" w:rsidRPr="00602BAF" w:rsidRDefault="003F24F1" w:rsidP="00542595">
            <w:pPr>
              <w:spacing w:before="60" w:after="60"/>
              <w:rPr>
                <w:rFonts w:asciiTheme="minorHAnsi" w:hAnsiTheme="minorHAnsi" w:cstheme="minorHAnsi"/>
                <w:i/>
                <w:sz w:val="20"/>
                <w:szCs w:val="20"/>
              </w:rPr>
            </w:pPr>
            <w:r w:rsidRPr="00602BAF">
              <w:rPr>
                <w:rFonts w:asciiTheme="minorHAnsi" w:hAnsiTheme="minorHAnsi" w:cstheme="minorHAnsi"/>
                <w:i/>
                <w:sz w:val="20"/>
                <w:szCs w:val="20"/>
              </w:rPr>
              <w:t xml:space="preserve">Emissions </w:t>
            </w:r>
          </w:p>
        </w:tc>
      </w:tr>
      <w:tr w:rsidR="003F24F1" w:rsidRPr="000D74FE" w14:paraId="69D0878B" w14:textId="77777777" w:rsidTr="00542595">
        <w:tc>
          <w:tcPr>
            <w:tcW w:w="2292" w:type="dxa"/>
            <w:tcBorders>
              <w:bottom w:val="dotted" w:sz="4" w:space="0" w:color="309CC8" w:themeColor="accent1"/>
            </w:tcBorders>
          </w:tcPr>
          <w:p w14:paraId="0E302043" w14:textId="77777777" w:rsidR="003F24F1" w:rsidRPr="00602BAF" w:rsidRDefault="003F24F1" w:rsidP="00602BAF">
            <w:pPr>
              <w:pStyle w:val="CCABodytext"/>
              <w:spacing w:before="60" w:after="60"/>
              <w:rPr>
                <w:sz w:val="20"/>
                <w:szCs w:val="20"/>
              </w:rPr>
            </w:pPr>
            <w:r w:rsidRPr="00602BAF">
              <w:rPr>
                <w:sz w:val="20"/>
                <w:szCs w:val="20"/>
              </w:rPr>
              <w:t>Safeguard mechanism</w:t>
            </w:r>
          </w:p>
        </w:tc>
        <w:tc>
          <w:tcPr>
            <w:tcW w:w="3237" w:type="dxa"/>
            <w:tcBorders>
              <w:bottom w:val="dotted" w:sz="4" w:space="0" w:color="309CC8" w:themeColor="accent1"/>
            </w:tcBorders>
          </w:tcPr>
          <w:p w14:paraId="67527617" w14:textId="77777777" w:rsidR="003F24F1" w:rsidRPr="00602BAF" w:rsidRDefault="003F24F1" w:rsidP="00602BAF">
            <w:pPr>
              <w:pStyle w:val="CCABodytext"/>
              <w:spacing w:before="60" w:after="60"/>
              <w:rPr>
                <w:sz w:val="20"/>
                <w:szCs w:val="20"/>
              </w:rPr>
            </w:pPr>
            <w:r w:rsidRPr="00602BAF">
              <w:rPr>
                <w:sz w:val="20"/>
                <w:szCs w:val="20"/>
              </w:rPr>
              <w:t>Places emissions limits on large facilities</w:t>
            </w:r>
            <w:r w:rsidR="00E819D5">
              <w:rPr>
                <w:sz w:val="20"/>
                <w:szCs w:val="20"/>
              </w:rPr>
              <w:t>.</w:t>
            </w:r>
          </w:p>
        </w:tc>
        <w:tc>
          <w:tcPr>
            <w:tcW w:w="4110" w:type="dxa"/>
            <w:tcBorders>
              <w:bottom w:val="dotted" w:sz="4" w:space="0" w:color="309CC8" w:themeColor="accent1"/>
            </w:tcBorders>
          </w:tcPr>
          <w:p w14:paraId="618942B2" w14:textId="77777777" w:rsidR="003F24F1" w:rsidRPr="00602BAF" w:rsidRDefault="003F24F1" w:rsidP="00602BAF">
            <w:pPr>
              <w:pStyle w:val="CCABodytext"/>
              <w:spacing w:before="60" w:after="60"/>
              <w:rPr>
                <w:sz w:val="20"/>
                <w:szCs w:val="20"/>
              </w:rPr>
            </w:pPr>
            <w:r w:rsidRPr="00602BAF">
              <w:rPr>
                <w:sz w:val="20"/>
                <w:szCs w:val="20"/>
              </w:rPr>
              <w:t>Reporting data is used to set emissions limits for large facilities and determine whether facilities’ net emissions are at or below their emissions limit</w:t>
            </w:r>
            <w:r w:rsidR="00E819D5">
              <w:rPr>
                <w:sz w:val="20"/>
                <w:szCs w:val="20"/>
              </w:rPr>
              <w:t>.</w:t>
            </w:r>
          </w:p>
        </w:tc>
      </w:tr>
      <w:tr w:rsidR="003F24F1" w:rsidRPr="000D74FE" w14:paraId="0E42A3AE" w14:textId="77777777" w:rsidTr="00542595">
        <w:tc>
          <w:tcPr>
            <w:tcW w:w="2292" w:type="dxa"/>
            <w:tcBorders>
              <w:bottom w:val="dotted" w:sz="4" w:space="0" w:color="309CC8" w:themeColor="accent1"/>
            </w:tcBorders>
            <w:hideMark/>
          </w:tcPr>
          <w:p w14:paraId="7FECDA60" w14:textId="77777777" w:rsidR="003F24F1" w:rsidRPr="00602BAF" w:rsidRDefault="003F24F1" w:rsidP="00602BAF">
            <w:pPr>
              <w:pStyle w:val="CCABodytext"/>
              <w:spacing w:before="60" w:after="60"/>
              <w:rPr>
                <w:sz w:val="20"/>
                <w:szCs w:val="20"/>
              </w:rPr>
            </w:pPr>
            <w:r w:rsidRPr="00602BAF">
              <w:rPr>
                <w:sz w:val="20"/>
                <w:szCs w:val="20"/>
              </w:rPr>
              <w:t>Emissions Reduction Fund</w:t>
            </w:r>
          </w:p>
        </w:tc>
        <w:tc>
          <w:tcPr>
            <w:tcW w:w="3237" w:type="dxa"/>
            <w:tcBorders>
              <w:bottom w:val="dotted" w:sz="4" w:space="0" w:color="309CC8" w:themeColor="accent1"/>
            </w:tcBorders>
            <w:hideMark/>
          </w:tcPr>
          <w:p w14:paraId="3C8290E2" w14:textId="77777777" w:rsidR="003F24F1" w:rsidRPr="00602BAF" w:rsidRDefault="003F24F1" w:rsidP="00A355F0">
            <w:pPr>
              <w:pStyle w:val="CCABodytext"/>
              <w:spacing w:before="60" w:after="60"/>
              <w:rPr>
                <w:sz w:val="20"/>
                <w:szCs w:val="20"/>
              </w:rPr>
            </w:pPr>
            <w:r w:rsidRPr="00602BAF">
              <w:rPr>
                <w:sz w:val="20"/>
                <w:szCs w:val="20"/>
              </w:rPr>
              <w:t>An emissions offset scheme that credits project-level reductions in emissions combined with Government purchasing of emission</w:t>
            </w:r>
            <w:r w:rsidR="00DD4FD4">
              <w:rPr>
                <w:sz w:val="20"/>
                <w:szCs w:val="20"/>
              </w:rPr>
              <w:t>s</w:t>
            </w:r>
            <w:r w:rsidRPr="00602BAF">
              <w:rPr>
                <w:sz w:val="20"/>
                <w:szCs w:val="20"/>
              </w:rPr>
              <w:t xml:space="preserve"> reductions.</w:t>
            </w:r>
          </w:p>
        </w:tc>
        <w:tc>
          <w:tcPr>
            <w:tcW w:w="4110" w:type="dxa"/>
            <w:tcBorders>
              <w:bottom w:val="dotted" w:sz="4" w:space="0" w:color="309CC8" w:themeColor="accent1"/>
            </w:tcBorders>
            <w:hideMark/>
          </w:tcPr>
          <w:p w14:paraId="77FCF940" w14:textId="77777777" w:rsidR="003F24F1" w:rsidRPr="00E0204F" w:rsidRDefault="003F24F1" w:rsidP="00602BAF">
            <w:pPr>
              <w:pStyle w:val="CCABodytext"/>
              <w:spacing w:before="60" w:after="60"/>
              <w:rPr>
                <w:rFonts w:asciiTheme="minorHAnsi" w:hAnsiTheme="minorHAnsi" w:cstheme="minorHAnsi"/>
              </w:rPr>
            </w:pPr>
            <w:r w:rsidRPr="00602BAF">
              <w:rPr>
                <w:sz w:val="20"/>
                <w:szCs w:val="20"/>
              </w:rPr>
              <w:t>Reporting data used for measuring emissions under the facilities method.</w:t>
            </w:r>
          </w:p>
          <w:p w14:paraId="3EF31392" w14:textId="7FE1A495" w:rsidR="003F24F1" w:rsidRPr="00602BAF" w:rsidRDefault="003F24F1" w:rsidP="00A6452F">
            <w:pPr>
              <w:pStyle w:val="CCABodytext"/>
              <w:spacing w:before="60" w:after="60"/>
              <w:rPr>
                <w:sz w:val="20"/>
                <w:szCs w:val="20"/>
              </w:rPr>
            </w:pPr>
            <w:r w:rsidRPr="00602BAF">
              <w:rPr>
                <w:sz w:val="20"/>
                <w:szCs w:val="20"/>
              </w:rPr>
              <w:t>Emissions factors and some methods from the measurement determination (</w:t>
            </w:r>
            <w:r w:rsidR="00A6452F">
              <w:rPr>
                <w:sz w:val="20"/>
                <w:szCs w:val="20"/>
              </w:rPr>
              <w:t>for example</w:t>
            </w:r>
            <w:r w:rsidRPr="00602BAF">
              <w:rPr>
                <w:sz w:val="20"/>
                <w:szCs w:val="20"/>
              </w:rPr>
              <w:t xml:space="preserve"> emissions from fuel combustion) are used as part of most E</w:t>
            </w:r>
            <w:r w:rsidR="00E819D5">
              <w:rPr>
                <w:sz w:val="20"/>
                <w:szCs w:val="20"/>
              </w:rPr>
              <w:t xml:space="preserve">missions </w:t>
            </w:r>
            <w:r w:rsidRPr="00602BAF">
              <w:rPr>
                <w:sz w:val="20"/>
                <w:szCs w:val="20"/>
              </w:rPr>
              <w:t>R</w:t>
            </w:r>
            <w:r w:rsidR="00E819D5">
              <w:rPr>
                <w:sz w:val="20"/>
                <w:szCs w:val="20"/>
              </w:rPr>
              <w:t xml:space="preserve">eduction </w:t>
            </w:r>
            <w:r w:rsidRPr="00602BAF">
              <w:rPr>
                <w:sz w:val="20"/>
                <w:szCs w:val="20"/>
              </w:rPr>
              <w:t>F</w:t>
            </w:r>
            <w:r w:rsidR="00E819D5">
              <w:rPr>
                <w:sz w:val="20"/>
                <w:szCs w:val="20"/>
              </w:rPr>
              <w:t>und</w:t>
            </w:r>
            <w:r w:rsidRPr="00602BAF">
              <w:rPr>
                <w:sz w:val="20"/>
                <w:szCs w:val="20"/>
              </w:rPr>
              <w:t xml:space="preserve"> methods.</w:t>
            </w:r>
          </w:p>
        </w:tc>
      </w:tr>
      <w:tr w:rsidR="003F24F1" w:rsidRPr="000D74FE" w14:paraId="23B58ADF" w14:textId="77777777" w:rsidTr="00542595">
        <w:tc>
          <w:tcPr>
            <w:tcW w:w="2292" w:type="dxa"/>
            <w:tcBorders>
              <w:top w:val="dotted" w:sz="4" w:space="0" w:color="309CC8" w:themeColor="accent1"/>
            </w:tcBorders>
          </w:tcPr>
          <w:p w14:paraId="2D8E034F" w14:textId="77777777" w:rsidR="003F24F1" w:rsidRPr="00602BAF" w:rsidRDefault="003F24F1" w:rsidP="00602BAF">
            <w:pPr>
              <w:pStyle w:val="CCABodytext"/>
              <w:spacing w:before="60" w:after="60"/>
              <w:rPr>
                <w:sz w:val="20"/>
                <w:szCs w:val="20"/>
              </w:rPr>
            </w:pPr>
            <w:r w:rsidRPr="00602BAF">
              <w:rPr>
                <w:sz w:val="20"/>
                <w:szCs w:val="20"/>
              </w:rPr>
              <w:t>National Carbon Offset Standard</w:t>
            </w:r>
          </w:p>
        </w:tc>
        <w:tc>
          <w:tcPr>
            <w:tcW w:w="3237" w:type="dxa"/>
            <w:tcBorders>
              <w:top w:val="dotted" w:sz="4" w:space="0" w:color="309CC8" w:themeColor="accent1"/>
            </w:tcBorders>
          </w:tcPr>
          <w:p w14:paraId="3C21B0E9" w14:textId="77777777" w:rsidR="003F24F1" w:rsidRPr="00E0204F" w:rsidRDefault="003F24F1" w:rsidP="00602BAF">
            <w:pPr>
              <w:pStyle w:val="CCABodytext"/>
              <w:spacing w:before="60" w:after="60"/>
              <w:rPr>
                <w:rFonts w:asciiTheme="minorHAnsi" w:hAnsiTheme="minorHAnsi" w:cstheme="minorHAnsi"/>
              </w:rPr>
            </w:pPr>
            <w:r w:rsidRPr="00602BAF">
              <w:rPr>
                <w:sz w:val="20"/>
                <w:szCs w:val="20"/>
              </w:rPr>
              <w:t>A voluntary standard to manage emissions and to achieve carbon neutrality.</w:t>
            </w:r>
          </w:p>
          <w:p w14:paraId="738CB1DC" w14:textId="77777777" w:rsidR="003F24F1" w:rsidRPr="00602BAF" w:rsidRDefault="003F24F1" w:rsidP="00602BAF">
            <w:pPr>
              <w:pStyle w:val="CCABodytext"/>
              <w:spacing w:before="60" w:after="60"/>
              <w:rPr>
                <w:sz w:val="20"/>
                <w:szCs w:val="20"/>
              </w:rPr>
            </w:pPr>
          </w:p>
        </w:tc>
        <w:tc>
          <w:tcPr>
            <w:tcW w:w="4110" w:type="dxa"/>
            <w:tcBorders>
              <w:top w:val="dotted" w:sz="4" w:space="0" w:color="309CC8" w:themeColor="accent1"/>
            </w:tcBorders>
          </w:tcPr>
          <w:p w14:paraId="77902F3E" w14:textId="77777777" w:rsidR="003F24F1" w:rsidRPr="00E0204F" w:rsidRDefault="003F24F1" w:rsidP="00602BAF">
            <w:pPr>
              <w:pStyle w:val="CCABodytext"/>
              <w:spacing w:before="60" w:after="60"/>
              <w:rPr>
                <w:rFonts w:asciiTheme="minorHAnsi" w:hAnsiTheme="minorHAnsi" w:cstheme="minorHAnsi"/>
              </w:rPr>
            </w:pPr>
            <w:r w:rsidRPr="00602BAF">
              <w:rPr>
                <w:sz w:val="20"/>
                <w:szCs w:val="20"/>
              </w:rPr>
              <w:t>Data can be reported under the National Carbon Offset Standard using reporting data where boundaries match.</w:t>
            </w:r>
          </w:p>
          <w:p w14:paraId="71715422" w14:textId="77777777" w:rsidR="003F24F1" w:rsidRPr="00602BAF" w:rsidRDefault="003F24F1" w:rsidP="00602BAF">
            <w:pPr>
              <w:pStyle w:val="CCABodytext"/>
              <w:spacing w:before="60" w:after="60"/>
              <w:rPr>
                <w:sz w:val="20"/>
                <w:szCs w:val="20"/>
              </w:rPr>
            </w:pPr>
            <w:r w:rsidRPr="00602BAF">
              <w:rPr>
                <w:sz w:val="20"/>
                <w:szCs w:val="20"/>
              </w:rPr>
              <w:t>Auditors accredited under N</w:t>
            </w:r>
            <w:r w:rsidR="00827C7E" w:rsidRPr="00602BAF">
              <w:rPr>
                <w:sz w:val="20"/>
                <w:szCs w:val="20"/>
              </w:rPr>
              <w:t>ational Greenhouse and Energy Reporting legislation</w:t>
            </w:r>
            <w:r w:rsidRPr="00602BAF">
              <w:rPr>
                <w:sz w:val="20"/>
                <w:szCs w:val="20"/>
              </w:rPr>
              <w:t xml:space="preserve"> can be used.</w:t>
            </w:r>
          </w:p>
        </w:tc>
      </w:tr>
      <w:tr w:rsidR="003F24F1" w:rsidRPr="000D74FE" w14:paraId="695C05BF" w14:textId="77777777" w:rsidTr="00542595">
        <w:tc>
          <w:tcPr>
            <w:tcW w:w="2292" w:type="dxa"/>
            <w:tcBorders>
              <w:top w:val="dotted" w:sz="4" w:space="0" w:color="309CC8" w:themeColor="accent1"/>
            </w:tcBorders>
          </w:tcPr>
          <w:p w14:paraId="069D63DC" w14:textId="77777777" w:rsidR="003F24F1" w:rsidRPr="00602BAF" w:rsidRDefault="003F24F1" w:rsidP="00A355F0">
            <w:pPr>
              <w:pStyle w:val="CCABodytext"/>
              <w:spacing w:before="60" w:after="60"/>
              <w:rPr>
                <w:sz w:val="20"/>
                <w:szCs w:val="20"/>
              </w:rPr>
            </w:pPr>
            <w:r w:rsidRPr="00602BAF">
              <w:rPr>
                <w:sz w:val="20"/>
                <w:szCs w:val="20"/>
              </w:rPr>
              <w:t>National Greenhouse Gas Inventor</w:t>
            </w:r>
            <w:r w:rsidR="00A355F0">
              <w:rPr>
                <w:sz w:val="20"/>
                <w:szCs w:val="20"/>
              </w:rPr>
              <w:t>y</w:t>
            </w:r>
          </w:p>
        </w:tc>
        <w:tc>
          <w:tcPr>
            <w:tcW w:w="3237" w:type="dxa"/>
            <w:tcBorders>
              <w:top w:val="dotted" w:sz="4" w:space="0" w:color="309CC8" w:themeColor="accent1"/>
            </w:tcBorders>
          </w:tcPr>
          <w:p w14:paraId="5F0C900A" w14:textId="77777777" w:rsidR="003F24F1" w:rsidRPr="00602BAF" w:rsidRDefault="003F24F1" w:rsidP="00A355F0">
            <w:pPr>
              <w:pStyle w:val="CCABodytext"/>
              <w:spacing w:before="60" w:after="60"/>
              <w:rPr>
                <w:sz w:val="20"/>
                <w:szCs w:val="20"/>
              </w:rPr>
            </w:pPr>
            <w:r w:rsidRPr="00602BAF">
              <w:rPr>
                <w:sz w:val="20"/>
                <w:szCs w:val="20"/>
              </w:rPr>
              <w:t>Estimates of Australia’s emissions submitted under Australia’s international treaty obligations (United Nations Framework Convention on Climate Change and Kyoto Protocol)</w:t>
            </w:r>
            <w:r w:rsidR="00E819D5">
              <w:rPr>
                <w:sz w:val="20"/>
                <w:szCs w:val="20"/>
              </w:rPr>
              <w:t>.</w:t>
            </w:r>
          </w:p>
        </w:tc>
        <w:tc>
          <w:tcPr>
            <w:tcW w:w="4110" w:type="dxa"/>
            <w:tcBorders>
              <w:top w:val="dotted" w:sz="4" w:space="0" w:color="309CC8" w:themeColor="accent1"/>
            </w:tcBorders>
          </w:tcPr>
          <w:p w14:paraId="7FFEB468" w14:textId="77777777" w:rsidR="003F24F1" w:rsidRPr="00602BAF" w:rsidRDefault="003F24F1" w:rsidP="00602BAF">
            <w:pPr>
              <w:pStyle w:val="CCABodytext"/>
              <w:spacing w:before="60" w:after="60"/>
              <w:rPr>
                <w:sz w:val="20"/>
                <w:szCs w:val="20"/>
              </w:rPr>
            </w:pPr>
            <w:r w:rsidRPr="00602BAF">
              <w:rPr>
                <w:sz w:val="20"/>
                <w:szCs w:val="20"/>
              </w:rPr>
              <w:t>Reporting data (both emissions and energy) used to inform emissions estimates for energy, industrial processes and waste emission</w:t>
            </w:r>
            <w:r w:rsidR="00DD4FD4">
              <w:rPr>
                <w:sz w:val="20"/>
                <w:szCs w:val="20"/>
              </w:rPr>
              <w:t>s</w:t>
            </w:r>
            <w:r w:rsidRPr="00602BAF">
              <w:rPr>
                <w:sz w:val="20"/>
                <w:szCs w:val="20"/>
              </w:rPr>
              <w:t xml:space="preserve"> sources.</w:t>
            </w:r>
          </w:p>
        </w:tc>
      </w:tr>
      <w:tr w:rsidR="003F24F1" w:rsidRPr="000D74FE" w14:paraId="3F167B9D" w14:textId="77777777" w:rsidTr="00542595">
        <w:tc>
          <w:tcPr>
            <w:tcW w:w="2292" w:type="dxa"/>
            <w:tcBorders>
              <w:top w:val="dotted" w:sz="4" w:space="0" w:color="309CC8" w:themeColor="accent1"/>
            </w:tcBorders>
          </w:tcPr>
          <w:p w14:paraId="0A5555EB" w14:textId="77777777" w:rsidR="003F24F1" w:rsidRPr="00602BAF" w:rsidRDefault="003F24F1" w:rsidP="00602BAF">
            <w:pPr>
              <w:pStyle w:val="CCABodytext"/>
              <w:spacing w:before="60" w:after="60"/>
              <w:rPr>
                <w:sz w:val="20"/>
                <w:szCs w:val="20"/>
              </w:rPr>
            </w:pPr>
            <w:r w:rsidRPr="00602BAF">
              <w:rPr>
                <w:sz w:val="20"/>
                <w:szCs w:val="20"/>
              </w:rPr>
              <w:t>National emissions projections</w:t>
            </w:r>
          </w:p>
        </w:tc>
        <w:tc>
          <w:tcPr>
            <w:tcW w:w="3237" w:type="dxa"/>
            <w:tcBorders>
              <w:top w:val="dotted" w:sz="4" w:space="0" w:color="309CC8" w:themeColor="accent1"/>
            </w:tcBorders>
          </w:tcPr>
          <w:p w14:paraId="06CDD092" w14:textId="77777777" w:rsidR="003F24F1" w:rsidRPr="00E0204F" w:rsidRDefault="003F24F1" w:rsidP="00602BAF">
            <w:pPr>
              <w:pStyle w:val="CCABodytext"/>
              <w:spacing w:before="60" w:after="60"/>
              <w:rPr>
                <w:rFonts w:asciiTheme="minorHAnsi" w:hAnsiTheme="minorHAnsi" w:cstheme="minorHAnsi"/>
              </w:rPr>
            </w:pPr>
            <w:r w:rsidRPr="00602BAF">
              <w:rPr>
                <w:sz w:val="20"/>
                <w:szCs w:val="20"/>
              </w:rPr>
              <w:t xml:space="preserve">Projections of Australia’s future emissions are published by the Department to provide an assessment of how Australia is tracking against its emissions reduction targets. </w:t>
            </w:r>
          </w:p>
          <w:p w14:paraId="20C72D5C" w14:textId="77777777" w:rsidR="003F24F1" w:rsidRPr="00602BAF" w:rsidRDefault="003F24F1" w:rsidP="00602BAF">
            <w:pPr>
              <w:pStyle w:val="CCABodytext"/>
              <w:spacing w:before="60" w:after="60"/>
              <w:rPr>
                <w:sz w:val="20"/>
                <w:szCs w:val="20"/>
              </w:rPr>
            </w:pPr>
            <w:r w:rsidRPr="00602BAF">
              <w:rPr>
                <w:sz w:val="20"/>
                <w:szCs w:val="20"/>
              </w:rPr>
              <w:t xml:space="preserve">Projections are reported as part of meeting Australia’s international reporting obligations to the </w:t>
            </w:r>
            <w:r w:rsidR="00A355F0" w:rsidRPr="00602BAF">
              <w:rPr>
                <w:sz w:val="20"/>
                <w:szCs w:val="20"/>
              </w:rPr>
              <w:t>United Nations Framework Convention on Climate Change</w:t>
            </w:r>
            <w:r w:rsidRPr="00602BAF">
              <w:rPr>
                <w:sz w:val="20"/>
                <w:szCs w:val="20"/>
              </w:rPr>
              <w:t>.</w:t>
            </w:r>
          </w:p>
        </w:tc>
        <w:tc>
          <w:tcPr>
            <w:tcW w:w="4110" w:type="dxa"/>
            <w:tcBorders>
              <w:top w:val="dotted" w:sz="4" w:space="0" w:color="309CC8" w:themeColor="accent1"/>
            </w:tcBorders>
          </w:tcPr>
          <w:p w14:paraId="1423DE5E" w14:textId="77777777" w:rsidR="003F24F1" w:rsidRPr="00602BAF" w:rsidRDefault="003F24F1" w:rsidP="00602BAF">
            <w:pPr>
              <w:pStyle w:val="CCABodytext"/>
              <w:spacing w:before="60" w:after="60"/>
              <w:rPr>
                <w:sz w:val="20"/>
                <w:szCs w:val="20"/>
              </w:rPr>
            </w:pPr>
            <w:r w:rsidRPr="00602BAF">
              <w:rPr>
                <w:sz w:val="20"/>
                <w:szCs w:val="20"/>
              </w:rPr>
              <w:t>Reporting data supports more accurate emission</w:t>
            </w:r>
            <w:r w:rsidR="00DD4FD4">
              <w:rPr>
                <w:sz w:val="20"/>
                <w:szCs w:val="20"/>
              </w:rPr>
              <w:t>s</w:t>
            </w:r>
            <w:r w:rsidRPr="00602BAF">
              <w:rPr>
                <w:sz w:val="20"/>
                <w:szCs w:val="20"/>
              </w:rPr>
              <w:t xml:space="preserve"> projections than otherwise would be available by allowing for detailed sectoral projections. Facility</w:t>
            </w:r>
            <w:r w:rsidR="00012202">
              <w:rPr>
                <w:sz w:val="20"/>
                <w:szCs w:val="20"/>
              </w:rPr>
              <w:t>-</w:t>
            </w:r>
            <w:r w:rsidRPr="00602BAF">
              <w:rPr>
                <w:sz w:val="20"/>
                <w:szCs w:val="20"/>
              </w:rPr>
              <w:t xml:space="preserve">level emissions data is used to project the emissions intensity of individual facilities. </w:t>
            </w:r>
          </w:p>
        </w:tc>
      </w:tr>
      <w:tr w:rsidR="003F24F1" w:rsidRPr="000D74FE" w14:paraId="11156B5E" w14:textId="77777777" w:rsidTr="00542595">
        <w:tc>
          <w:tcPr>
            <w:tcW w:w="2292" w:type="dxa"/>
            <w:tcBorders>
              <w:top w:val="dotted" w:sz="4" w:space="0" w:color="309CC8" w:themeColor="accent1"/>
            </w:tcBorders>
          </w:tcPr>
          <w:p w14:paraId="5C910A1A" w14:textId="77777777" w:rsidR="003F24F1" w:rsidRPr="00602BAF" w:rsidRDefault="003F24F1" w:rsidP="00602BAF">
            <w:pPr>
              <w:pStyle w:val="CCABodytext"/>
              <w:spacing w:before="60" w:after="60"/>
              <w:rPr>
                <w:sz w:val="20"/>
                <w:szCs w:val="20"/>
              </w:rPr>
            </w:pPr>
            <w:r w:rsidRPr="00602BAF">
              <w:rPr>
                <w:sz w:val="20"/>
                <w:szCs w:val="20"/>
              </w:rPr>
              <w:t>National Greenhouse Accounts Factors</w:t>
            </w:r>
          </w:p>
        </w:tc>
        <w:tc>
          <w:tcPr>
            <w:tcW w:w="3237" w:type="dxa"/>
            <w:tcBorders>
              <w:top w:val="dotted" w:sz="4" w:space="0" w:color="309CC8" w:themeColor="accent1"/>
            </w:tcBorders>
          </w:tcPr>
          <w:p w14:paraId="433D8001" w14:textId="77777777" w:rsidR="003F24F1" w:rsidRPr="00602BAF" w:rsidRDefault="003F24F1" w:rsidP="00E819D5">
            <w:pPr>
              <w:pStyle w:val="CCABodytext"/>
              <w:spacing w:before="60" w:after="60"/>
              <w:rPr>
                <w:sz w:val="20"/>
                <w:szCs w:val="20"/>
              </w:rPr>
            </w:pPr>
            <w:r w:rsidRPr="00602BAF">
              <w:rPr>
                <w:sz w:val="20"/>
                <w:szCs w:val="20"/>
              </w:rPr>
              <w:t>A workbook published by the Department to help companies and individuals compile a broad range of emissions inventories, including to support voluntary and scope 3 reporting.</w:t>
            </w:r>
          </w:p>
        </w:tc>
        <w:tc>
          <w:tcPr>
            <w:tcW w:w="4110" w:type="dxa"/>
            <w:tcBorders>
              <w:top w:val="dotted" w:sz="4" w:space="0" w:color="309CC8" w:themeColor="accent1"/>
            </w:tcBorders>
          </w:tcPr>
          <w:p w14:paraId="29648A2B" w14:textId="77777777" w:rsidR="003F24F1" w:rsidRPr="00602BAF" w:rsidRDefault="003F24F1" w:rsidP="00602BAF">
            <w:pPr>
              <w:pStyle w:val="CCABodytext"/>
              <w:spacing w:before="60" w:after="60"/>
              <w:rPr>
                <w:sz w:val="20"/>
                <w:szCs w:val="20"/>
              </w:rPr>
            </w:pPr>
            <w:r w:rsidRPr="00602BAF">
              <w:rPr>
                <w:sz w:val="20"/>
                <w:szCs w:val="20"/>
              </w:rPr>
              <w:t xml:space="preserve">Uses many emissions factors and the simplest methods (method 1) from the measurement determination. </w:t>
            </w:r>
          </w:p>
        </w:tc>
      </w:tr>
      <w:tr w:rsidR="003F24F1" w:rsidRPr="003C39A9" w14:paraId="7ACE0795" w14:textId="77777777" w:rsidTr="00542595">
        <w:tc>
          <w:tcPr>
            <w:tcW w:w="9639" w:type="dxa"/>
            <w:gridSpan w:val="3"/>
            <w:shd w:val="clear" w:color="auto" w:fill="D4EBF4" w:themeFill="text2" w:themeFillTint="33"/>
            <w:hideMark/>
          </w:tcPr>
          <w:p w14:paraId="7DC49D28" w14:textId="77777777" w:rsidR="003F24F1" w:rsidRPr="00345CCE" w:rsidRDefault="003F24F1" w:rsidP="00542595">
            <w:pPr>
              <w:spacing w:before="60" w:after="60"/>
              <w:rPr>
                <w:rFonts w:asciiTheme="minorHAnsi" w:hAnsiTheme="minorHAnsi" w:cstheme="minorHAnsi"/>
                <w:i/>
                <w:sz w:val="20"/>
                <w:szCs w:val="20"/>
              </w:rPr>
            </w:pPr>
            <w:r w:rsidRPr="00345CCE">
              <w:rPr>
                <w:rFonts w:asciiTheme="minorHAnsi" w:hAnsiTheme="minorHAnsi" w:cstheme="minorHAnsi"/>
                <w:i/>
                <w:sz w:val="20"/>
                <w:szCs w:val="20"/>
              </w:rPr>
              <w:t xml:space="preserve">Energy </w:t>
            </w:r>
          </w:p>
        </w:tc>
      </w:tr>
      <w:tr w:rsidR="003F24F1" w:rsidRPr="000D74FE" w14:paraId="21764E8A" w14:textId="77777777" w:rsidTr="00542595">
        <w:tc>
          <w:tcPr>
            <w:tcW w:w="2292" w:type="dxa"/>
            <w:tcBorders>
              <w:top w:val="dotted" w:sz="4" w:space="0" w:color="309CC8" w:themeColor="accent1"/>
              <w:bottom w:val="dotted" w:sz="4" w:space="0" w:color="309CC8" w:themeColor="accent1"/>
            </w:tcBorders>
          </w:tcPr>
          <w:p w14:paraId="4D05C94D" w14:textId="77777777" w:rsidR="003F24F1" w:rsidRPr="00345CCE" w:rsidRDefault="003F24F1" w:rsidP="00602BAF">
            <w:pPr>
              <w:pStyle w:val="CCABodytext"/>
              <w:spacing w:before="60" w:after="60"/>
              <w:rPr>
                <w:sz w:val="20"/>
                <w:szCs w:val="20"/>
              </w:rPr>
            </w:pPr>
            <w:r w:rsidRPr="00345CCE">
              <w:rPr>
                <w:sz w:val="20"/>
                <w:szCs w:val="20"/>
              </w:rPr>
              <w:t>Australian Energy Statistics</w:t>
            </w:r>
          </w:p>
        </w:tc>
        <w:tc>
          <w:tcPr>
            <w:tcW w:w="3237" w:type="dxa"/>
            <w:tcBorders>
              <w:top w:val="dotted" w:sz="4" w:space="0" w:color="309CC8" w:themeColor="accent1"/>
              <w:bottom w:val="dotted" w:sz="4" w:space="0" w:color="309CC8" w:themeColor="accent1"/>
            </w:tcBorders>
          </w:tcPr>
          <w:p w14:paraId="720877A5" w14:textId="77777777" w:rsidR="003F24F1" w:rsidRPr="00345CCE" w:rsidRDefault="003F24F1" w:rsidP="00602BAF">
            <w:pPr>
              <w:pStyle w:val="CCABodytext"/>
              <w:spacing w:before="60" w:after="60"/>
              <w:rPr>
                <w:sz w:val="20"/>
                <w:szCs w:val="20"/>
              </w:rPr>
            </w:pPr>
            <w:r w:rsidRPr="00345CCE">
              <w:rPr>
                <w:sz w:val="20"/>
                <w:szCs w:val="20"/>
              </w:rPr>
              <w:t>Official estimates of Australia’s energy production and use, used for domestic policy and analysis and international reporting.</w:t>
            </w:r>
          </w:p>
        </w:tc>
        <w:tc>
          <w:tcPr>
            <w:tcW w:w="4110" w:type="dxa"/>
            <w:tcBorders>
              <w:top w:val="dotted" w:sz="4" w:space="0" w:color="309CC8" w:themeColor="accent1"/>
              <w:bottom w:val="dotted" w:sz="4" w:space="0" w:color="309CC8" w:themeColor="accent1"/>
            </w:tcBorders>
          </w:tcPr>
          <w:p w14:paraId="49E2EBA1" w14:textId="77777777" w:rsidR="003F24F1" w:rsidRPr="00345CCE" w:rsidRDefault="003F24F1" w:rsidP="00602BAF">
            <w:pPr>
              <w:pStyle w:val="CCABodytext"/>
              <w:spacing w:before="60" w:after="60"/>
              <w:rPr>
                <w:sz w:val="20"/>
                <w:szCs w:val="20"/>
              </w:rPr>
            </w:pPr>
            <w:r w:rsidRPr="00345CCE">
              <w:rPr>
                <w:sz w:val="20"/>
                <w:szCs w:val="20"/>
              </w:rPr>
              <w:t>Reporting data (on primary and secondary energy production and consumption) is the primary data source. Other government</w:t>
            </w:r>
            <w:r w:rsidR="00012202" w:rsidRPr="008A0898">
              <w:rPr>
                <w:sz w:val="20"/>
                <w:szCs w:val="20"/>
              </w:rPr>
              <w:t>-</w:t>
            </w:r>
            <w:r w:rsidRPr="00345CCE">
              <w:rPr>
                <w:sz w:val="20"/>
                <w:szCs w:val="20"/>
              </w:rPr>
              <w:t xml:space="preserve">held data, including the Australian Petroleum Statistics and Australian Bureau of Statistics </w:t>
            </w:r>
            <w:r w:rsidR="00AF20E9">
              <w:rPr>
                <w:sz w:val="20"/>
                <w:szCs w:val="20"/>
              </w:rPr>
              <w:t>dataset</w:t>
            </w:r>
            <w:r w:rsidRPr="00345CCE">
              <w:rPr>
                <w:sz w:val="20"/>
                <w:szCs w:val="20"/>
              </w:rPr>
              <w:t>s, are also used.</w:t>
            </w:r>
          </w:p>
        </w:tc>
      </w:tr>
      <w:tr w:rsidR="003F24F1" w:rsidRPr="000D74FE" w14:paraId="09EAE325" w14:textId="77777777" w:rsidTr="00542595">
        <w:tc>
          <w:tcPr>
            <w:tcW w:w="2292" w:type="dxa"/>
            <w:tcBorders>
              <w:top w:val="dotted" w:sz="4" w:space="0" w:color="309CC8" w:themeColor="accent1"/>
              <w:bottom w:val="dotted" w:sz="4" w:space="0" w:color="309CC8" w:themeColor="accent1"/>
            </w:tcBorders>
            <w:hideMark/>
          </w:tcPr>
          <w:p w14:paraId="52AFCFCF" w14:textId="77777777" w:rsidR="003F24F1" w:rsidRPr="00602BAF" w:rsidRDefault="003F24F1" w:rsidP="00602BAF">
            <w:pPr>
              <w:pStyle w:val="CCABodytext"/>
              <w:spacing w:before="60" w:after="60"/>
              <w:rPr>
                <w:sz w:val="20"/>
                <w:szCs w:val="20"/>
              </w:rPr>
            </w:pPr>
            <w:r w:rsidRPr="00602BAF">
              <w:rPr>
                <w:sz w:val="20"/>
                <w:szCs w:val="20"/>
              </w:rPr>
              <w:t>International energy data reporting</w:t>
            </w:r>
          </w:p>
        </w:tc>
        <w:tc>
          <w:tcPr>
            <w:tcW w:w="3237" w:type="dxa"/>
            <w:tcBorders>
              <w:top w:val="dotted" w:sz="4" w:space="0" w:color="309CC8" w:themeColor="accent1"/>
              <w:bottom w:val="dotted" w:sz="4" w:space="0" w:color="309CC8" w:themeColor="accent1"/>
            </w:tcBorders>
            <w:hideMark/>
          </w:tcPr>
          <w:p w14:paraId="3DC42392" w14:textId="77777777" w:rsidR="003F24F1" w:rsidRPr="00602BAF" w:rsidRDefault="003F24F1" w:rsidP="00602BAF">
            <w:pPr>
              <w:pStyle w:val="CCABodytext"/>
              <w:spacing w:before="60" w:after="60"/>
              <w:rPr>
                <w:sz w:val="20"/>
                <w:szCs w:val="20"/>
              </w:rPr>
            </w:pPr>
            <w:r w:rsidRPr="00602BAF">
              <w:rPr>
                <w:sz w:val="20"/>
                <w:szCs w:val="20"/>
              </w:rPr>
              <w:t>Reporting of Australia’s annual energy data on supply and use to the International Energy Agency and other fora.</w:t>
            </w:r>
          </w:p>
        </w:tc>
        <w:tc>
          <w:tcPr>
            <w:tcW w:w="4110" w:type="dxa"/>
            <w:tcBorders>
              <w:top w:val="dotted" w:sz="4" w:space="0" w:color="309CC8" w:themeColor="accent1"/>
              <w:bottom w:val="dotted" w:sz="4" w:space="0" w:color="309CC8" w:themeColor="accent1"/>
            </w:tcBorders>
            <w:hideMark/>
          </w:tcPr>
          <w:p w14:paraId="28957D0B" w14:textId="77777777" w:rsidR="003F24F1" w:rsidRPr="00602BAF" w:rsidRDefault="003F24F1" w:rsidP="00602BAF">
            <w:pPr>
              <w:pStyle w:val="CCABodytext"/>
              <w:spacing w:before="60" w:after="60"/>
              <w:rPr>
                <w:sz w:val="20"/>
                <w:szCs w:val="20"/>
              </w:rPr>
            </w:pPr>
            <w:r w:rsidRPr="00602BAF">
              <w:rPr>
                <w:sz w:val="20"/>
                <w:szCs w:val="20"/>
              </w:rPr>
              <w:t>Australian Energy Statistics, which relies on the reporting data. These data are compiled used internationally agreed frameworks.</w:t>
            </w:r>
          </w:p>
        </w:tc>
      </w:tr>
      <w:tr w:rsidR="003F24F1" w:rsidRPr="000D74FE" w14:paraId="27EACE3C" w14:textId="77777777" w:rsidTr="00542595">
        <w:tc>
          <w:tcPr>
            <w:tcW w:w="2292" w:type="dxa"/>
            <w:tcBorders>
              <w:top w:val="dotted" w:sz="4" w:space="0" w:color="309CC8" w:themeColor="accent1"/>
              <w:bottom w:val="dotted" w:sz="4" w:space="0" w:color="309CC8" w:themeColor="accent1"/>
            </w:tcBorders>
            <w:hideMark/>
          </w:tcPr>
          <w:p w14:paraId="1318B53F" w14:textId="77777777" w:rsidR="003F24F1" w:rsidRPr="00602BAF" w:rsidRDefault="003F24F1" w:rsidP="00602BAF">
            <w:pPr>
              <w:pStyle w:val="CCABodytext"/>
              <w:spacing w:before="60" w:after="60"/>
              <w:rPr>
                <w:sz w:val="20"/>
                <w:szCs w:val="20"/>
              </w:rPr>
            </w:pPr>
            <w:r w:rsidRPr="00602BAF">
              <w:rPr>
                <w:sz w:val="20"/>
                <w:szCs w:val="20"/>
              </w:rPr>
              <w:t>National Energy Productivity Plan initiatives</w:t>
            </w:r>
          </w:p>
        </w:tc>
        <w:tc>
          <w:tcPr>
            <w:tcW w:w="3237" w:type="dxa"/>
            <w:tcBorders>
              <w:top w:val="dotted" w:sz="4" w:space="0" w:color="309CC8" w:themeColor="accent1"/>
              <w:bottom w:val="dotted" w:sz="4" w:space="0" w:color="309CC8" w:themeColor="accent1"/>
            </w:tcBorders>
            <w:hideMark/>
          </w:tcPr>
          <w:p w14:paraId="35EDEB35" w14:textId="77777777" w:rsidR="003F24F1" w:rsidRPr="00602BAF" w:rsidRDefault="003F24F1" w:rsidP="00A355F0">
            <w:pPr>
              <w:pStyle w:val="CCABodytext"/>
              <w:spacing w:before="60" w:after="60"/>
              <w:rPr>
                <w:sz w:val="20"/>
                <w:szCs w:val="20"/>
              </w:rPr>
            </w:pPr>
            <w:r w:rsidRPr="00602BAF">
              <w:rPr>
                <w:sz w:val="20"/>
                <w:szCs w:val="20"/>
              </w:rPr>
              <w:t xml:space="preserve">A </w:t>
            </w:r>
            <w:r w:rsidR="007725B0">
              <w:rPr>
                <w:sz w:val="20"/>
                <w:szCs w:val="20"/>
              </w:rPr>
              <w:t>Council of Australian Governments</w:t>
            </w:r>
            <w:r w:rsidRPr="00602BAF">
              <w:rPr>
                <w:sz w:val="20"/>
                <w:szCs w:val="20"/>
              </w:rPr>
              <w:t xml:space="preserve"> plan that </w:t>
            </w:r>
            <w:r w:rsidR="00A355F0">
              <w:rPr>
                <w:sz w:val="20"/>
                <w:szCs w:val="20"/>
              </w:rPr>
              <w:t>includes</w:t>
            </w:r>
            <w:r w:rsidRPr="00602BAF">
              <w:rPr>
                <w:sz w:val="20"/>
                <w:szCs w:val="20"/>
              </w:rPr>
              <w:t xml:space="preserve"> measures to improve Australia’s energy productivity by 40 per cent between 2015 and 2030.</w:t>
            </w:r>
          </w:p>
        </w:tc>
        <w:tc>
          <w:tcPr>
            <w:tcW w:w="4110" w:type="dxa"/>
            <w:tcBorders>
              <w:top w:val="dotted" w:sz="4" w:space="0" w:color="309CC8" w:themeColor="accent1"/>
              <w:bottom w:val="dotted" w:sz="4" w:space="0" w:color="309CC8" w:themeColor="accent1"/>
            </w:tcBorders>
            <w:hideMark/>
          </w:tcPr>
          <w:p w14:paraId="03652860" w14:textId="77777777" w:rsidR="003F24F1" w:rsidRPr="004D4923" w:rsidRDefault="003F24F1" w:rsidP="00602BAF">
            <w:pPr>
              <w:pStyle w:val="CCABodytext"/>
              <w:spacing w:before="60" w:after="60"/>
              <w:rPr>
                <w:sz w:val="20"/>
                <w:szCs w:val="20"/>
              </w:rPr>
            </w:pPr>
            <w:r w:rsidRPr="00602BAF">
              <w:rPr>
                <w:sz w:val="20"/>
                <w:szCs w:val="20"/>
              </w:rPr>
              <w:t>Reporting data</w:t>
            </w:r>
            <w:r w:rsidR="00B959D4">
              <w:rPr>
                <w:sz w:val="20"/>
                <w:szCs w:val="20"/>
              </w:rPr>
              <w:t>,</w:t>
            </w:r>
            <w:r w:rsidRPr="00602BAF">
              <w:rPr>
                <w:sz w:val="20"/>
                <w:szCs w:val="20"/>
              </w:rPr>
              <w:t xml:space="preserve"> including scope 1</w:t>
            </w:r>
            <w:r w:rsidR="007725B0">
              <w:rPr>
                <w:sz w:val="20"/>
                <w:szCs w:val="20"/>
              </w:rPr>
              <w:t xml:space="preserve"> and </w:t>
            </w:r>
            <w:r w:rsidRPr="00602BAF">
              <w:rPr>
                <w:sz w:val="20"/>
                <w:szCs w:val="20"/>
              </w:rPr>
              <w:t>2 emissions and energy data</w:t>
            </w:r>
            <w:r w:rsidR="00B959D4">
              <w:rPr>
                <w:sz w:val="20"/>
                <w:szCs w:val="20"/>
              </w:rPr>
              <w:t>,</w:t>
            </w:r>
            <w:r w:rsidRPr="004D4923">
              <w:rPr>
                <w:sz w:val="20"/>
                <w:szCs w:val="20"/>
              </w:rPr>
              <w:t xml:space="preserve"> is integral to</w:t>
            </w:r>
            <w:r w:rsidR="00E819D5">
              <w:rPr>
                <w:sz w:val="20"/>
                <w:szCs w:val="20"/>
              </w:rPr>
              <w:t xml:space="preserve"> the</w:t>
            </w:r>
            <w:r w:rsidRPr="004D4923">
              <w:rPr>
                <w:sz w:val="20"/>
                <w:szCs w:val="20"/>
              </w:rPr>
              <w:t xml:space="preserve"> development of initiatives</w:t>
            </w:r>
            <w:r w:rsidR="00DA60CD" w:rsidRPr="004D4923">
              <w:rPr>
                <w:sz w:val="20"/>
                <w:szCs w:val="20"/>
              </w:rPr>
              <w:t xml:space="preserve"> </w:t>
            </w:r>
            <w:r w:rsidR="001C6343">
              <w:rPr>
                <w:sz w:val="20"/>
                <w:szCs w:val="20"/>
              </w:rPr>
              <w:t>such as</w:t>
            </w:r>
            <w:r w:rsidR="001C6343" w:rsidRPr="004D4923">
              <w:rPr>
                <w:sz w:val="20"/>
                <w:szCs w:val="20"/>
              </w:rPr>
              <w:t xml:space="preserve"> </w:t>
            </w:r>
            <w:r w:rsidR="00DA60CD" w:rsidRPr="004D4923">
              <w:rPr>
                <w:sz w:val="20"/>
                <w:szCs w:val="20"/>
              </w:rPr>
              <w:t>informing research on benchmarks and energy use models</w:t>
            </w:r>
            <w:r w:rsidRPr="004D4923">
              <w:rPr>
                <w:sz w:val="20"/>
                <w:szCs w:val="20"/>
              </w:rPr>
              <w:t>.</w:t>
            </w:r>
          </w:p>
          <w:p w14:paraId="5ACA8F5D" w14:textId="77777777" w:rsidR="003F24F1" w:rsidRPr="00602BAF" w:rsidRDefault="003F24F1" w:rsidP="007725B0">
            <w:pPr>
              <w:pStyle w:val="CCABodytext"/>
              <w:spacing w:before="60" w:after="60"/>
              <w:rPr>
                <w:sz w:val="20"/>
                <w:szCs w:val="20"/>
              </w:rPr>
            </w:pPr>
            <w:r w:rsidRPr="00602BAF">
              <w:rPr>
                <w:sz w:val="20"/>
                <w:szCs w:val="20"/>
              </w:rPr>
              <w:t xml:space="preserve">A suite of metrics </w:t>
            </w:r>
            <w:r w:rsidR="00B959D4">
              <w:rPr>
                <w:sz w:val="20"/>
                <w:szCs w:val="20"/>
              </w:rPr>
              <w:t xml:space="preserve">is </w:t>
            </w:r>
            <w:r w:rsidRPr="00602BAF">
              <w:rPr>
                <w:sz w:val="20"/>
                <w:szCs w:val="20"/>
              </w:rPr>
              <w:t xml:space="preserve">being developed to track how </w:t>
            </w:r>
            <w:r w:rsidR="007725B0">
              <w:rPr>
                <w:sz w:val="20"/>
                <w:szCs w:val="20"/>
              </w:rPr>
              <w:t>National Energy Productivity Plan</w:t>
            </w:r>
            <w:r w:rsidRPr="00602BAF">
              <w:rPr>
                <w:sz w:val="20"/>
                <w:szCs w:val="20"/>
              </w:rPr>
              <w:t xml:space="preserve"> measures are impacting Australia’s energy and emissions trajectories. Certain metrics are reliant on both emissions and energy data </w:t>
            </w:r>
            <w:r w:rsidR="007725B0">
              <w:rPr>
                <w:sz w:val="20"/>
                <w:szCs w:val="20"/>
              </w:rPr>
              <w:t>from the reporting scheme</w:t>
            </w:r>
            <w:r w:rsidRPr="00602BAF">
              <w:rPr>
                <w:sz w:val="20"/>
                <w:szCs w:val="20"/>
              </w:rPr>
              <w:t xml:space="preserve">. </w:t>
            </w:r>
          </w:p>
        </w:tc>
      </w:tr>
      <w:tr w:rsidR="003F24F1" w:rsidRPr="000D74FE" w14:paraId="7ED18024" w14:textId="77777777" w:rsidTr="00542595">
        <w:tc>
          <w:tcPr>
            <w:tcW w:w="2292" w:type="dxa"/>
            <w:tcBorders>
              <w:top w:val="dotted" w:sz="4" w:space="0" w:color="309CC8" w:themeColor="accent1"/>
              <w:bottom w:val="dotted" w:sz="4" w:space="0" w:color="309CC8" w:themeColor="accent1"/>
            </w:tcBorders>
          </w:tcPr>
          <w:p w14:paraId="75F69967" w14:textId="77777777" w:rsidR="003F24F1" w:rsidRPr="00602BAF" w:rsidRDefault="003F24F1" w:rsidP="00602BAF">
            <w:pPr>
              <w:pStyle w:val="CCABodytext"/>
              <w:spacing w:before="60" w:after="60"/>
              <w:rPr>
                <w:sz w:val="20"/>
                <w:szCs w:val="20"/>
              </w:rPr>
            </w:pPr>
            <w:r w:rsidRPr="00602BAF">
              <w:rPr>
                <w:sz w:val="20"/>
                <w:szCs w:val="20"/>
              </w:rPr>
              <w:t>Carbon Dioxide Equivalent Intensity Index</w:t>
            </w:r>
          </w:p>
        </w:tc>
        <w:tc>
          <w:tcPr>
            <w:tcW w:w="3237" w:type="dxa"/>
            <w:tcBorders>
              <w:top w:val="dotted" w:sz="4" w:space="0" w:color="309CC8" w:themeColor="accent1"/>
              <w:bottom w:val="dotted" w:sz="4" w:space="0" w:color="309CC8" w:themeColor="accent1"/>
            </w:tcBorders>
          </w:tcPr>
          <w:p w14:paraId="1067FACF" w14:textId="77777777" w:rsidR="003F24F1" w:rsidRPr="00602BAF" w:rsidRDefault="003F24F1" w:rsidP="00E76D71">
            <w:pPr>
              <w:pStyle w:val="CCABodytext"/>
              <w:spacing w:before="60" w:after="60"/>
              <w:rPr>
                <w:sz w:val="20"/>
                <w:szCs w:val="20"/>
              </w:rPr>
            </w:pPr>
            <w:r w:rsidRPr="00602BAF">
              <w:rPr>
                <w:sz w:val="20"/>
                <w:szCs w:val="20"/>
              </w:rPr>
              <w:t>This is an important operational index used for the settlement of over-the-counter hedge contracts between electricity market participants. It provides a formal, independent measure of the average</w:t>
            </w:r>
            <w:r w:rsidR="00E76D71">
              <w:rPr>
                <w:sz w:val="20"/>
                <w:szCs w:val="20"/>
              </w:rPr>
              <w:t xml:space="preserve"> emissions</w:t>
            </w:r>
            <w:r w:rsidRPr="00602BAF">
              <w:rPr>
                <w:sz w:val="20"/>
                <w:szCs w:val="20"/>
              </w:rPr>
              <w:t xml:space="preserve"> intensity </w:t>
            </w:r>
            <w:r w:rsidRPr="00602BAF" w:rsidDel="00E76D71">
              <w:rPr>
                <w:sz w:val="20"/>
                <w:szCs w:val="20"/>
              </w:rPr>
              <w:t xml:space="preserve">of </w:t>
            </w:r>
            <w:r w:rsidR="005C08A1" w:rsidRPr="00602BAF">
              <w:rPr>
                <w:sz w:val="20"/>
                <w:szCs w:val="20"/>
              </w:rPr>
              <w:t xml:space="preserve">National Electricity Market </w:t>
            </w:r>
            <w:r w:rsidRPr="00602BAF">
              <w:rPr>
                <w:sz w:val="20"/>
                <w:szCs w:val="20"/>
              </w:rPr>
              <w:t>generator</w:t>
            </w:r>
            <w:r w:rsidR="005C08A1">
              <w:rPr>
                <w:sz w:val="20"/>
                <w:szCs w:val="20"/>
              </w:rPr>
              <w:t>s</w:t>
            </w:r>
            <w:r w:rsidRPr="00602BAF" w:rsidDel="00E76D71">
              <w:rPr>
                <w:sz w:val="20"/>
                <w:szCs w:val="20"/>
              </w:rPr>
              <w:t xml:space="preserve"> </w:t>
            </w:r>
            <w:r w:rsidRPr="00602BAF">
              <w:rPr>
                <w:sz w:val="20"/>
                <w:szCs w:val="20"/>
              </w:rPr>
              <w:t>and is published regularly by the Australian Energy Market Operator.</w:t>
            </w:r>
          </w:p>
        </w:tc>
        <w:tc>
          <w:tcPr>
            <w:tcW w:w="4110" w:type="dxa"/>
            <w:tcBorders>
              <w:top w:val="dotted" w:sz="4" w:space="0" w:color="309CC8" w:themeColor="accent1"/>
              <w:bottom w:val="dotted" w:sz="4" w:space="0" w:color="309CC8" w:themeColor="accent1"/>
            </w:tcBorders>
          </w:tcPr>
          <w:p w14:paraId="000D8A61" w14:textId="77777777" w:rsidR="003F24F1" w:rsidRPr="00C17FC3" w:rsidRDefault="003F24F1" w:rsidP="00602BAF">
            <w:pPr>
              <w:pStyle w:val="CCABodytext"/>
              <w:spacing w:before="60" w:after="60"/>
              <w:rPr>
                <w:sz w:val="20"/>
                <w:szCs w:val="20"/>
              </w:rPr>
            </w:pPr>
            <w:r w:rsidRPr="00602BAF">
              <w:rPr>
                <w:sz w:val="20"/>
                <w:szCs w:val="20"/>
              </w:rPr>
              <w:t xml:space="preserve">Reporting data </w:t>
            </w:r>
            <w:r w:rsidR="00C97F04" w:rsidRPr="00C17FC3">
              <w:rPr>
                <w:sz w:val="20"/>
                <w:szCs w:val="20"/>
              </w:rPr>
              <w:t xml:space="preserve">is </w:t>
            </w:r>
            <w:r w:rsidRPr="00C17FC3">
              <w:rPr>
                <w:sz w:val="20"/>
                <w:szCs w:val="20"/>
              </w:rPr>
              <w:t>used</w:t>
            </w:r>
            <w:r w:rsidR="00C97F04" w:rsidRPr="00C17FC3">
              <w:rPr>
                <w:sz w:val="20"/>
                <w:szCs w:val="20"/>
              </w:rPr>
              <w:t xml:space="preserve"> as an input to the calculation of the index.</w:t>
            </w:r>
          </w:p>
          <w:p w14:paraId="2282610A" w14:textId="77777777" w:rsidR="003F24F1" w:rsidRPr="00602BAF" w:rsidRDefault="003F24F1" w:rsidP="00602BAF">
            <w:pPr>
              <w:pStyle w:val="CCABodytext"/>
              <w:spacing w:before="60" w:after="60"/>
              <w:rPr>
                <w:sz w:val="20"/>
                <w:szCs w:val="20"/>
              </w:rPr>
            </w:pPr>
          </w:p>
        </w:tc>
      </w:tr>
      <w:tr w:rsidR="003F24F1" w:rsidRPr="000D74FE" w14:paraId="5E2DFB35" w14:textId="77777777" w:rsidTr="00542595">
        <w:tc>
          <w:tcPr>
            <w:tcW w:w="2292" w:type="dxa"/>
            <w:tcBorders>
              <w:top w:val="dotted" w:sz="4" w:space="0" w:color="309CC8" w:themeColor="accent1"/>
              <w:bottom w:val="dotted" w:sz="4" w:space="0" w:color="309CC8" w:themeColor="accent1"/>
            </w:tcBorders>
          </w:tcPr>
          <w:p w14:paraId="462DE5CE" w14:textId="77777777" w:rsidR="003F24F1" w:rsidRPr="00602BAF" w:rsidRDefault="003F24F1" w:rsidP="00E819D5">
            <w:pPr>
              <w:pStyle w:val="CCABodytext"/>
              <w:spacing w:before="60" w:after="60"/>
              <w:rPr>
                <w:sz w:val="20"/>
                <w:szCs w:val="20"/>
              </w:rPr>
            </w:pPr>
            <w:r w:rsidRPr="00602BAF">
              <w:rPr>
                <w:sz w:val="20"/>
                <w:szCs w:val="20"/>
              </w:rPr>
              <w:t>Energy, Water and Environment Survey</w:t>
            </w:r>
            <w:r w:rsidR="00A355F0">
              <w:rPr>
                <w:sz w:val="20"/>
                <w:szCs w:val="20"/>
              </w:rPr>
              <w:t xml:space="preserve"> (</w:t>
            </w:r>
            <w:r w:rsidR="00A355F0" w:rsidRPr="00602BAF">
              <w:rPr>
                <w:sz w:val="20"/>
                <w:szCs w:val="20"/>
              </w:rPr>
              <w:t>A</w:t>
            </w:r>
            <w:r w:rsidR="00A355F0">
              <w:rPr>
                <w:sz w:val="20"/>
                <w:szCs w:val="20"/>
              </w:rPr>
              <w:t>ustralian Bureau of Statistics)</w:t>
            </w:r>
          </w:p>
        </w:tc>
        <w:tc>
          <w:tcPr>
            <w:tcW w:w="3237" w:type="dxa"/>
            <w:tcBorders>
              <w:top w:val="dotted" w:sz="4" w:space="0" w:color="309CC8" w:themeColor="accent1"/>
              <w:bottom w:val="dotted" w:sz="4" w:space="0" w:color="309CC8" w:themeColor="accent1"/>
            </w:tcBorders>
          </w:tcPr>
          <w:p w14:paraId="69D5EC12" w14:textId="77777777" w:rsidR="003F24F1" w:rsidRPr="00602BAF" w:rsidRDefault="003F24F1" w:rsidP="00602BAF">
            <w:pPr>
              <w:pStyle w:val="CCABodytext"/>
              <w:spacing w:before="60" w:after="60"/>
              <w:rPr>
                <w:sz w:val="20"/>
                <w:szCs w:val="20"/>
              </w:rPr>
            </w:pPr>
            <w:r w:rsidRPr="00602BAF">
              <w:rPr>
                <w:sz w:val="20"/>
                <w:szCs w:val="20"/>
              </w:rPr>
              <w:t xml:space="preserve">Provides statistics </w:t>
            </w:r>
            <w:r w:rsidR="005C08A1">
              <w:rPr>
                <w:sz w:val="20"/>
                <w:szCs w:val="20"/>
              </w:rPr>
              <w:t>on</w:t>
            </w:r>
            <w:r w:rsidRPr="00602BAF">
              <w:rPr>
                <w:sz w:val="20"/>
                <w:szCs w:val="20"/>
              </w:rPr>
              <w:t xml:space="preserve"> industry energy and water use. </w:t>
            </w:r>
          </w:p>
        </w:tc>
        <w:tc>
          <w:tcPr>
            <w:tcW w:w="4110" w:type="dxa"/>
            <w:tcBorders>
              <w:top w:val="dotted" w:sz="4" w:space="0" w:color="309CC8" w:themeColor="accent1"/>
              <w:bottom w:val="dotted" w:sz="4" w:space="0" w:color="309CC8" w:themeColor="accent1"/>
            </w:tcBorders>
          </w:tcPr>
          <w:p w14:paraId="4ECE5F61" w14:textId="77777777" w:rsidR="003F24F1" w:rsidRPr="00602BAF" w:rsidRDefault="00827C7E" w:rsidP="00A355F0">
            <w:pPr>
              <w:pStyle w:val="CCABodytext"/>
              <w:spacing w:before="60" w:after="60"/>
              <w:rPr>
                <w:sz w:val="20"/>
                <w:szCs w:val="20"/>
              </w:rPr>
            </w:pPr>
            <w:r w:rsidRPr="00602BAF">
              <w:rPr>
                <w:sz w:val="20"/>
                <w:szCs w:val="20"/>
              </w:rPr>
              <w:t>E</w:t>
            </w:r>
            <w:r w:rsidR="003F24F1" w:rsidRPr="00602BAF">
              <w:rPr>
                <w:sz w:val="20"/>
                <w:szCs w:val="20"/>
              </w:rPr>
              <w:t xml:space="preserve">nergy </w:t>
            </w:r>
            <w:r w:rsidRPr="00602BAF">
              <w:rPr>
                <w:sz w:val="20"/>
                <w:szCs w:val="20"/>
              </w:rPr>
              <w:t>reporting</w:t>
            </w:r>
            <w:r w:rsidR="003F24F1" w:rsidRPr="00602BAF">
              <w:rPr>
                <w:sz w:val="20"/>
                <w:szCs w:val="20"/>
              </w:rPr>
              <w:t xml:space="preserve"> data (including grid electricity</w:t>
            </w:r>
            <w:r w:rsidR="00A355F0">
              <w:rPr>
                <w:sz w:val="20"/>
                <w:szCs w:val="20"/>
              </w:rPr>
              <w:t xml:space="preserve"> and</w:t>
            </w:r>
            <w:r w:rsidR="003F24F1" w:rsidRPr="00602BAF">
              <w:rPr>
                <w:sz w:val="20"/>
                <w:szCs w:val="20"/>
              </w:rPr>
              <w:t xml:space="preserve"> fuel use) used to quality-check and corroborate survey-based estimates</w:t>
            </w:r>
            <w:r w:rsidRPr="00602BAF">
              <w:rPr>
                <w:sz w:val="20"/>
                <w:szCs w:val="20"/>
              </w:rPr>
              <w:t>.</w:t>
            </w:r>
          </w:p>
        </w:tc>
      </w:tr>
      <w:tr w:rsidR="003F24F1" w:rsidRPr="000D74FE" w14:paraId="790E5922" w14:textId="77777777" w:rsidTr="00542595">
        <w:tc>
          <w:tcPr>
            <w:tcW w:w="2292" w:type="dxa"/>
            <w:tcBorders>
              <w:top w:val="dotted" w:sz="4" w:space="0" w:color="309CC8" w:themeColor="accent1"/>
              <w:bottom w:val="dotted" w:sz="4" w:space="0" w:color="309CC8" w:themeColor="accent1"/>
            </w:tcBorders>
          </w:tcPr>
          <w:p w14:paraId="250AFA78" w14:textId="77777777" w:rsidR="003F24F1" w:rsidRPr="00602BAF" w:rsidRDefault="003F24F1" w:rsidP="00E819D5">
            <w:pPr>
              <w:pStyle w:val="CCABodytext"/>
              <w:spacing w:before="60" w:after="60"/>
              <w:rPr>
                <w:sz w:val="20"/>
                <w:szCs w:val="20"/>
              </w:rPr>
            </w:pPr>
            <w:r w:rsidRPr="00602BAF">
              <w:rPr>
                <w:sz w:val="20"/>
                <w:szCs w:val="20"/>
              </w:rPr>
              <w:t>Energy Account Australia</w:t>
            </w:r>
            <w:r w:rsidR="00A355F0">
              <w:rPr>
                <w:sz w:val="20"/>
                <w:szCs w:val="20"/>
              </w:rPr>
              <w:t xml:space="preserve"> (</w:t>
            </w:r>
            <w:r w:rsidR="00A355F0" w:rsidRPr="00602BAF">
              <w:rPr>
                <w:sz w:val="20"/>
                <w:szCs w:val="20"/>
              </w:rPr>
              <w:t>A</w:t>
            </w:r>
            <w:r w:rsidR="00A355F0">
              <w:rPr>
                <w:sz w:val="20"/>
                <w:szCs w:val="20"/>
              </w:rPr>
              <w:t>ustralian Bureau of Statistics)</w:t>
            </w:r>
          </w:p>
        </w:tc>
        <w:tc>
          <w:tcPr>
            <w:tcW w:w="3237" w:type="dxa"/>
            <w:tcBorders>
              <w:top w:val="dotted" w:sz="4" w:space="0" w:color="309CC8" w:themeColor="accent1"/>
              <w:bottom w:val="dotted" w:sz="4" w:space="0" w:color="309CC8" w:themeColor="accent1"/>
            </w:tcBorders>
          </w:tcPr>
          <w:p w14:paraId="31379BBF" w14:textId="77777777" w:rsidR="003F24F1" w:rsidRPr="00602BAF" w:rsidRDefault="003F24F1" w:rsidP="00602BAF">
            <w:pPr>
              <w:pStyle w:val="CCABodytext"/>
              <w:spacing w:before="60" w:after="60"/>
              <w:rPr>
                <w:sz w:val="20"/>
                <w:szCs w:val="20"/>
              </w:rPr>
            </w:pPr>
            <w:r w:rsidRPr="00602BAF">
              <w:rPr>
                <w:sz w:val="20"/>
                <w:szCs w:val="20"/>
              </w:rPr>
              <w:t>Provides statistics for changes in supply and use of energy, consistent with a national accounts framework</w:t>
            </w:r>
            <w:r w:rsidR="00D96E6D">
              <w:rPr>
                <w:sz w:val="20"/>
                <w:szCs w:val="20"/>
              </w:rPr>
              <w:t>.</w:t>
            </w:r>
          </w:p>
        </w:tc>
        <w:tc>
          <w:tcPr>
            <w:tcW w:w="4110" w:type="dxa"/>
            <w:tcBorders>
              <w:top w:val="dotted" w:sz="4" w:space="0" w:color="309CC8" w:themeColor="accent1"/>
              <w:bottom w:val="dotted" w:sz="4" w:space="0" w:color="309CC8" w:themeColor="accent1"/>
            </w:tcBorders>
          </w:tcPr>
          <w:p w14:paraId="3D5EB32C" w14:textId="77777777" w:rsidR="003F24F1" w:rsidRPr="00D96E6D" w:rsidRDefault="003F24F1" w:rsidP="00602BAF">
            <w:pPr>
              <w:pStyle w:val="CCABodytext"/>
              <w:spacing w:before="60" w:after="60"/>
              <w:rPr>
                <w:sz w:val="20"/>
                <w:szCs w:val="20"/>
              </w:rPr>
            </w:pPr>
            <w:r w:rsidRPr="00602BAF">
              <w:rPr>
                <w:sz w:val="20"/>
                <w:szCs w:val="20"/>
              </w:rPr>
              <w:t>Energy r</w:t>
            </w:r>
            <w:r w:rsidRPr="00D96E6D">
              <w:rPr>
                <w:sz w:val="20"/>
                <w:szCs w:val="20"/>
              </w:rPr>
              <w:t>eporting data used (both production and use).</w:t>
            </w:r>
          </w:p>
          <w:p w14:paraId="750C6F14" w14:textId="77777777" w:rsidR="003F24F1" w:rsidRPr="00602BAF" w:rsidRDefault="003F24F1" w:rsidP="00602BAF">
            <w:pPr>
              <w:pStyle w:val="CCABodytext"/>
              <w:spacing w:before="60" w:after="60"/>
              <w:rPr>
                <w:sz w:val="20"/>
                <w:szCs w:val="20"/>
              </w:rPr>
            </w:pPr>
          </w:p>
        </w:tc>
      </w:tr>
      <w:tr w:rsidR="003F24F1" w:rsidRPr="000D74FE" w14:paraId="289800FA" w14:textId="77777777" w:rsidTr="00542595">
        <w:tc>
          <w:tcPr>
            <w:tcW w:w="2292" w:type="dxa"/>
            <w:tcBorders>
              <w:top w:val="dotted" w:sz="4" w:space="0" w:color="309CC8" w:themeColor="accent1"/>
              <w:bottom w:val="dotted" w:sz="4" w:space="0" w:color="309CC8" w:themeColor="accent1"/>
            </w:tcBorders>
          </w:tcPr>
          <w:p w14:paraId="367E6BC2" w14:textId="77777777" w:rsidR="003F24F1" w:rsidRPr="00345CCE" w:rsidRDefault="00D96E6D" w:rsidP="00602BAF">
            <w:pPr>
              <w:pStyle w:val="CCABodytext"/>
              <w:spacing w:before="60" w:after="60"/>
              <w:rPr>
                <w:sz w:val="20"/>
                <w:szCs w:val="20"/>
              </w:rPr>
            </w:pPr>
            <w:r w:rsidRPr="00345CCE">
              <w:rPr>
                <w:sz w:val="20"/>
                <w:szCs w:val="20"/>
              </w:rPr>
              <w:t>Australian Energy Market Operator Electricity Forecasting</w:t>
            </w:r>
          </w:p>
        </w:tc>
        <w:tc>
          <w:tcPr>
            <w:tcW w:w="3237" w:type="dxa"/>
            <w:tcBorders>
              <w:top w:val="dotted" w:sz="4" w:space="0" w:color="309CC8" w:themeColor="accent1"/>
              <w:bottom w:val="dotted" w:sz="4" w:space="0" w:color="309CC8" w:themeColor="accent1"/>
            </w:tcBorders>
          </w:tcPr>
          <w:p w14:paraId="2AF8B570" w14:textId="77777777" w:rsidR="003F24F1" w:rsidRPr="00345CCE" w:rsidRDefault="00C97F04" w:rsidP="00602BAF">
            <w:pPr>
              <w:pStyle w:val="CCABodytext"/>
              <w:spacing w:before="60" w:after="60"/>
              <w:rPr>
                <w:sz w:val="20"/>
                <w:szCs w:val="20"/>
              </w:rPr>
            </w:pPr>
            <w:r w:rsidRPr="00345CCE">
              <w:rPr>
                <w:sz w:val="20"/>
                <w:szCs w:val="20"/>
              </w:rPr>
              <w:t>Independent forecasts of electricity consumption, maximum and minimum demand over a 20</w:t>
            </w:r>
            <w:r w:rsidR="00B959D4" w:rsidRPr="00345CCE">
              <w:rPr>
                <w:sz w:val="20"/>
                <w:szCs w:val="20"/>
              </w:rPr>
              <w:noBreakHyphen/>
            </w:r>
            <w:r w:rsidRPr="00345CCE">
              <w:rPr>
                <w:sz w:val="20"/>
                <w:szCs w:val="20"/>
              </w:rPr>
              <w:t>year period for the National Electricity Market and for each National Electricity Market region.</w:t>
            </w:r>
          </w:p>
        </w:tc>
        <w:tc>
          <w:tcPr>
            <w:tcW w:w="4110" w:type="dxa"/>
            <w:tcBorders>
              <w:top w:val="dotted" w:sz="4" w:space="0" w:color="309CC8" w:themeColor="accent1"/>
              <w:bottom w:val="dotted" w:sz="4" w:space="0" w:color="309CC8" w:themeColor="accent1"/>
            </w:tcBorders>
          </w:tcPr>
          <w:p w14:paraId="225559DD" w14:textId="77777777" w:rsidR="00C97F04" w:rsidRPr="00345CCE" w:rsidRDefault="00C97F04" w:rsidP="00602BAF">
            <w:pPr>
              <w:pStyle w:val="CCABodytext"/>
              <w:spacing w:before="60" w:after="60"/>
              <w:rPr>
                <w:sz w:val="20"/>
                <w:szCs w:val="20"/>
              </w:rPr>
            </w:pPr>
            <w:r w:rsidRPr="00345CCE">
              <w:rPr>
                <w:sz w:val="20"/>
                <w:szCs w:val="20"/>
              </w:rPr>
              <w:t>Emissions and energy reporting data is an input for sector-disaggregated consumption forecasts. In addition, Australian Energy Statistics (which uses reporting data) is used for developing sector-based long-term econometric models for energy consumption forecasting.</w:t>
            </w:r>
          </w:p>
          <w:p w14:paraId="3F653466" w14:textId="77777777" w:rsidR="003F24F1" w:rsidRPr="00345CCE" w:rsidRDefault="00C97F04" w:rsidP="00602BAF">
            <w:pPr>
              <w:pStyle w:val="CCABodytext"/>
              <w:spacing w:before="60" w:after="60"/>
              <w:rPr>
                <w:sz w:val="20"/>
                <w:szCs w:val="20"/>
              </w:rPr>
            </w:pPr>
            <w:r w:rsidRPr="00345CCE">
              <w:rPr>
                <w:sz w:val="20"/>
                <w:szCs w:val="20"/>
              </w:rPr>
              <w:t>The Australian Energy Market Operator also conducts their own in-depth surveys of large energy users.</w:t>
            </w:r>
          </w:p>
        </w:tc>
      </w:tr>
      <w:tr w:rsidR="003F24F1" w:rsidRPr="000D74FE" w14:paraId="2AB59C81" w14:textId="77777777" w:rsidTr="00542595">
        <w:tc>
          <w:tcPr>
            <w:tcW w:w="2292" w:type="dxa"/>
            <w:tcBorders>
              <w:top w:val="dotted" w:sz="4" w:space="0" w:color="309CC8" w:themeColor="accent1"/>
              <w:bottom w:val="dotted" w:sz="4" w:space="0" w:color="309CC8" w:themeColor="accent1"/>
            </w:tcBorders>
          </w:tcPr>
          <w:p w14:paraId="6A6A3B14" w14:textId="77777777" w:rsidR="003F24F1" w:rsidRPr="00602BAF" w:rsidRDefault="00E819D5" w:rsidP="00E819D5">
            <w:pPr>
              <w:pStyle w:val="CCABodytext"/>
              <w:spacing w:before="60" w:after="60"/>
              <w:rPr>
                <w:sz w:val="20"/>
                <w:szCs w:val="20"/>
              </w:rPr>
            </w:pPr>
            <w:r>
              <w:rPr>
                <w:sz w:val="20"/>
                <w:szCs w:val="20"/>
              </w:rPr>
              <w:t>Australian Renewable Energy Agency</w:t>
            </w:r>
            <w:r w:rsidR="003F24F1" w:rsidRPr="00602BAF">
              <w:rPr>
                <w:sz w:val="20"/>
                <w:szCs w:val="20"/>
              </w:rPr>
              <w:t xml:space="preserve"> funding of projects to accelerate renewable energy </w:t>
            </w:r>
          </w:p>
        </w:tc>
        <w:tc>
          <w:tcPr>
            <w:tcW w:w="3237" w:type="dxa"/>
            <w:tcBorders>
              <w:top w:val="dotted" w:sz="4" w:space="0" w:color="309CC8" w:themeColor="accent1"/>
              <w:bottom w:val="dotted" w:sz="4" w:space="0" w:color="309CC8" w:themeColor="accent1"/>
            </w:tcBorders>
          </w:tcPr>
          <w:p w14:paraId="08695A51" w14:textId="77777777" w:rsidR="003F24F1" w:rsidRPr="00602BAF" w:rsidRDefault="003F24F1" w:rsidP="00602BAF">
            <w:pPr>
              <w:pStyle w:val="CCABodytext"/>
              <w:spacing w:before="60" w:after="60"/>
              <w:rPr>
                <w:sz w:val="20"/>
                <w:szCs w:val="20"/>
              </w:rPr>
            </w:pPr>
            <w:r w:rsidRPr="00602BAF">
              <w:rPr>
                <w:sz w:val="20"/>
                <w:szCs w:val="20"/>
              </w:rPr>
              <w:t xml:space="preserve">Financial support to projects that map or scope renewable energy opportunities including improved energy productivity, network constraints and barrier analysis. </w:t>
            </w:r>
          </w:p>
        </w:tc>
        <w:tc>
          <w:tcPr>
            <w:tcW w:w="4110" w:type="dxa"/>
            <w:tcBorders>
              <w:top w:val="dotted" w:sz="4" w:space="0" w:color="309CC8" w:themeColor="accent1"/>
              <w:bottom w:val="dotted" w:sz="4" w:space="0" w:color="309CC8" w:themeColor="accent1"/>
            </w:tcBorders>
          </w:tcPr>
          <w:p w14:paraId="4CBA860E" w14:textId="77777777" w:rsidR="003F24F1" w:rsidRPr="00602BAF" w:rsidRDefault="003F24F1" w:rsidP="00602BAF">
            <w:pPr>
              <w:pStyle w:val="CCABodytext"/>
              <w:spacing w:before="60" w:after="60"/>
              <w:rPr>
                <w:sz w:val="20"/>
                <w:szCs w:val="20"/>
              </w:rPr>
            </w:pPr>
            <w:r w:rsidRPr="00602BAF">
              <w:rPr>
                <w:sz w:val="20"/>
                <w:szCs w:val="20"/>
              </w:rPr>
              <w:t>Reporting data (electricity use and fuel source use by location) is used.</w:t>
            </w:r>
          </w:p>
        </w:tc>
      </w:tr>
      <w:tr w:rsidR="003F24F1" w:rsidRPr="000D74FE" w14:paraId="283490F0" w14:textId="77777777" w:rsidTr="0061528E">
        <w:tc>
          <w:tcPr>
            <w:tcW w:w="2292" w:type="dxa"/>
            <w:tcBorders>
              <w:top w:val="dotted" w:sz="4" w:space="0" w:color="309CC8" w:themeColor="accent1"/>
            </w:tcBorders>
          </w:tcPr>
          <w:p w14:paraId="1441DD67" w14:textId="77777777" w:rsidR="003F24F1" w:rsidRPr="00602BAF" w:rsidRDefault="003F24F1" w:rsidP="00602BAF">
            <w:pPr>
              <w:pStyle w:val="CCABodytext"/>
              <w:spacing w:before="60" w:after="60"/>
              <w:rPr>
                <w:sz w:val="20"/>
                <w:szCs w:val="20"/>
              </w:rPr>
            </w:pPr>
            <w:r w:rsidRPr="00602BAF">
              <w:rPr>
                <w:sz w:val="20"/>
                <w:szCs w:val="20"/>
              </w:rPr>
              <w:t>National Energy Security Assessments</w:t>
            </w:r>
            <w:r w:rsidR="00DD57C6">
              <w:rPr>
                <w:sz w:val="20"/>
                <w:szCs w:val="20"/>
              </w:rPr>
              <w:t xml:space="preserve"> (Department of the Environment and Energy)</w:t>
            </w:r>
          </w:p>
        </w:tc>
        <w:tc>
          <w:tcPr>
            <w:tcW w:w="3237" w:type="dxa"/>
            <w:tcBorders>
              <w:top w:val="dotted" w:sz="4" w:space="0" w:color="309CC8" w:themeColor="accent1"/>
            </w:tcBorders>
          </w:tcPr>
          <w:p w14:paraId="3DD77868" w14:textId="77777777" w:rsidR="003F24F1" w:rsidRPr="00602BAF" w:rsidRDefault="00647156" w:rsidP="00602BAF">
            <w:pPr>
              <w:pStyle w:val="CCABodytext"/>
              <w:spacing w:before="60" w:after="60"/>
              <w:rPr>
                <w:sz w:val="20"/>
                <w:szCs w:val="20"/>
              </w:rPr>
            </w:pPr>
            <w:r>
              <w:rPr>
                <w:sz w:val="20"/>
                <w:szCs w:val="20"/>
              </w:rPr>
              <w:t xml:space="preserve">Assessments </w:t>
            </w:r>
            <w:r w:rsidRPr="00647156">
              <w:rPr>
                <w:sz w:val="20"/>
                <w:szCs w:val="20"/>
              </w:rPr>
              <w:t>used by governments, market institutions and businesses to identify where change may be needed to address challenges affecting delivery of electricity, gas and liquid fuels to consumers and mitigate risks</w:t>
            </w:r>
            <w:r>
              <w:rPr>
                <w:sz w:val="20"/>
                <w:szCs w:val="20"/>
              </w:rPr>
              <w:t>.</w:t>
            </w:r>
          </w:p>
        </w:tc>
        <w:tc>
          <w:tcPr>
            <w:tcW w:w="4110" w:type="dxa"/>
            <w:tcBorders>
              <w:top w:val="dotted" w:sz="4" w:space="0" w:color="309CC8" w:themeColor="accent1"/>
            </w:tcBorders>
          </w:tcPr>
          <w:p w14:paraId="0E330C45" w14:textId="77777777" w:rsidR="003F24F1" w:rsidRPr="00D96E6D" w:rsidRDefault="003F24F1" w:rsidP="00602BAF">
            <w:pPr>
              <w:pStyle w:val="CCABodytext"/>
              <w:spacing w:before="60" w:after="60"/>
              <w:rPr>
                <w:sz w:val="20"/>
                <w:szCs w:val="20"/>
              </w:rPr>
            </w:pPr>
            <w:r w:rsidRPr="00602BAF">
              <w:rPr>
                <w:sz w:val="20"/>
                <w:szCs w:val="20"/>
              </w:rPr>
              <w:t>Reporting data is being used to support the development of a model of the liquid fuel supply system in Australia</w:t>
            </w:r>
            <w:r w:rsidR="00B959D4">
              <w:rPr>
                <w:sz w:val="20"/>
                <w:szCs w:val="20"/>
              </w:rPr>
              <w:t>,</w:t>
            </w:r>
            <w:r w:rsidRPr="00602BAF">
              <w:rPr>
                <w:sz w:val="20"/>
                <w:szCs w:val="20"/>
              </w:rPr>
              <w:t xml:space="preserve"> which will be used</w:t>
            </w:r>
            <w:r w:rsidR="009A564D">
              <w:rPr>
                <w:sz w:val="20"/>
                <w:szCs w:val="20"/>
              </w:rPr>
              <w:t xml:space="preserve"> for</w:t>
            </w:r>
            <w:r w:rsidRPr="00602BAF">
              <w:rPr>
                <w:sz w:val="20"/>
                <w:szCs w:val="20"/>
              </w:rPr>
              <w:t xml:space="preserve"> the 2019 </w:t>
            </w:r>
            <w:r w:rsidRPr="00D96E6D">
              <w:rPr>
                <w:sz w:val="20"/>
                <w:szCs w:val="20"/>
              </w:rPr>
              <w:t xml:space="preserve">assessment as well as future assessments. </w:t>
            </w:r>
          </w:p>
          <w:p w14:paraId="576A686A" w14:textId="77777777" w:rsidR="003F24F1" w:rsidRPr="00602BAF" w:rsidRDefault="003F24F1" w:rsidP="00602BAF">
            <w:pPr>
              <w:pStyle w:val="CCABodytext"/>
              <w:spacing w:before="60" w:after="60"/>
              <w:rPr>
                <w:sz w:val="20"/>
                <w:szCs w:val="20"/>
              </w:rPr>
            </w:pPr>
            <w:r w:rsidRPr="00602BAF">
              <w:rPr>
                <w:sz w:val="20"/>
                <w:szCs w:val="20"/>
              </w:rPr>
              <w:t>Reporting data is being used to develop an understanding of the regional aspects of liquid fuel supply and consumption.</w:t>
            </w:r>
          </w:p>
        </w:tc>
      </w:tr>
    </w:tbl>
    <w:p w14:paraId="03A90648" w14:textId="77777777" w:rsidR="00DA58FC" w:rsidRDefault="003F24F1" w:rsidP="003F24F1">
      <w:pPr>
        <w:pStyle w:val="CCANotesource"/>
      </w:pPr>
      <w:r w:rsidRPr="00C01B87">
        <w:rPr>
          <w:b/>
        </w:rPr>
        <w:t>Source:</w:t>
      </w:r>
      <w:r>
        <w:t xml:space="preserve"> </w:t>
      </w:r>
      <w:r w:rsidR="008E685E">
        <w:t xml:space="preserve">Based on consultation with relevant agencies, </w:t>
      </w:r>
      <w:r w:rsidR="004B384D">
        <w:t>AEMO 2014</w:t>
      </w:r>
      <w:r w:rsidR="00C01B87">
        <w:t>;</w:t>
      </w:r>
      <w:r w:rsidR="00C01B87" w:rsidRPr="00C01B87">
        <w:t xml:space="preserve"> CER 2017c; </w:t>
      </w:r>
      <w:r w:rsidR="00C01B87">
        <w:t>CER 2015</w:t>
      </w:r>
      <w:r w:rsidR="00C01B87" w:rsidRPr="00C01B87">
        <w:t>;</w:t>
      </w:r>
      <w:r w:rsidR="00C01B87">
        <w:t xml:space="preserve"> </w:t>
      </w:r>
      <w:r w:rsidR="00C01B87" w:rsidRPr="00C01B87">
        <w:t>Commonwealth of Australia 2018a; Commonwealth of Australia 2018b; Commonwealth of Australia 2017a; Commonwealth of Australia 2015; DoEE 2017; DoEE n.d.d; DoEE n.d.e; DoEE n.d.f; DoEE n.d.g</w:t>
      </w:r>
    </w:p>
    <w:p w14:paraId="0662A963" w14:textId="77777777" w:rsidR="00C5424A" w:rsidRDefault="00C5424A" w:rsidP="00C5424A">
      <w:pPr>
        <w:pStyle w:val="CCABodytext"/>
        <w:rPr>
          <w:color w:val="159DCE"/>
        </w:rPr>
      </w:pPr>
      <w:bookmarkStart w:id="1000" w:name="_Ref529390849"/>
      <w:bookmarkStart w:id="1001" w:name="_Toc531095542"/>
      <w:bookmarkStart w:id="1002" w:name="_Toc531099308"/>
      <w:bookmarkStart w:id="1003" w:name="_Toc531101717"/>
      <w:bookmarkStart w:id="1004" w:name="_Toc531341086"/>
      <w:r>
        <w:br w:type="page"/>
      </w:r>
    </w:p>
    <w:p w14:paraId="1208FB68" w14:textId="77777777" w:rsidR="003F24F1" w:rsidRDefault="003F24F1" w:rsidP="00532BE2">
      <w:pPr>
        <w:pStyle w:val="CCATableheader"/>
      </w:pPr>
      <w:bookmarkStart w:id="1005" w:name="_Toc531764054"/>
      <w:bookmarkStart w:id="1006" w:name="_Ref532381536"/>
      <w:bookmarkStart w:id="1007" w:name="_Toc532912077"/>
      <w:bookmarkStart w:id="1008" w:name="_Toc532914021"/>
      <w:r>
        <w:t>Examples of data informing state and territory government programs, activities and policy</w:t>
      </w:r>
      <w:bookmarkEnd w:id="1000"/>
      <w:bookmarkEnd w:id="1001"/>
      <w:bookmarkEnd w:id="1002"/>
      <w:bookmarkEnd w:id="1003"/>
      <w:bookmarkEnd w:id="1004"/>
      <w:bookmarkEnd w:id="1005"/>
      <w:bookmarkEnd w:id="1006"/>
      <w:bookmarkEnd w:id="1007"/>
      <w:bookmarkEnd w:id="100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2891"/>
        <w:gridCol w:w="2892"/>
        <w:gridCol w:w="2892"/>
      </w:tblGrid>
      <w:tr w:rsidR="003F24F1" w:rsidRPr="00E8184C" w14:paraId="2A31BA37" w14:textId="77777777" w:rsidTr="002555FE">
        <w:tc>
          <w:tcPr>
            <w:tcW w:w="964" w:type="dxa"/>
            <w:shd w:val="clear" w:color="auto" w:fill="159DCE"/>
          </w:tcPr>
          <w:p w14:paraId="7DA18059" w14:textId="77777777" w:rsidR="003F24F1" w:rsidRPr="00225547" w:rsidRDefault="003F24F1" w:rsidP="00542595">
            <w:pPr>
              <w:pStyle w:val="CCABodytext"/>
              <w:spacing w:before="60" w:after="60"/>
              <w:rPr>
                <w:b/>
                <w:color w:val="FFFFFF" w:themeColor="background1"/>
                <w:sz w:val="20"/>
                <w:szCs w:val="20"/>
              </w:rPr>
            </w:pPr>
            <w:r w:rsidRPr="00225547">
              <w:rPr>
                <w:b/>
                <w:color w:val="FFFFFF" w:themeColor="background1"/>
                <w:sz w:val="20"/>
                <w:szCs w:val="20"/>
              </w:rPr>
              <w:t>State</w:t>
            </w:r>
          </w:p>
        </w:tc>
        <w:tc>
          <w:tcPr>
            <w:tcW w:w="2891" w:type="dxa"/>
            <w:shd w:val="clear" w:color="auto" w:fill="159DCE"/>
          </w:tcPr>
          <w:p w14:paraId="37C5BFAF" w14:textId="77777777" w:rsidR="003F24F1" w:rsidRPr="00225547" w:rsidRDefault="003F24F1" w:rsidP="00542595">
            <w:pPr>
              <w:pStyle w:val="CCABodytext"/>
              <w:tabs>
                <w:tab w:val="right" w:pos="3814"/>
              </w:tabs>
              <w:spacing w:before="60" w:after="60"/>
              <w:rPr>
                <w:b/>
                <w:color w:val="FFFFFF" w:themeColor="background1"/>
                <w:sz w:val="20"/>
                <w:szCs w:val="20"/>
              </w:rPr>
            </w:pPr>
            <w:r w:rsidRPr="00225547">
              <w:rPr>
                <w:b/>
                <w:color w:val="FFFFFF" w:themeColor="background1"/>
                <w:sz w:val="20"/>
                <w:szCs w:val="20"/>
              </w:rPr>
              <w:t>Program, activity or policy</w:t>
            </w:r>
          </w:p>
        </w:tc>
        <w:tc>
          <w:tcPr>
            <w:tcW w:w="2892" w:type="dxa"/>
            <w:shd w:val="clear" w:color="auto" w:fill="159DCE"/>
          </w:tcPr>
          <w:p w14:paraId="38575F09" w14:textId="77777777" w:rsidR="003F24F1" w:rsidRPr="00225547" w:rsidRDefault="003F24F1" w:rsidP="00542595">
            <w:pPr>
              <w:pStyle w:val="CCABodytext"/>
              <w:spacing w:before="60" w:after="60"/>
              <w:rPr>
                <w:b/>
                <w:color w:val="FFFFFF" w:themeColor="background1"/>
                <w:sz w:val="20"/>
                <w:szCs w:val="20"/>
              </w:rPr>
            </w:pPr>
            <w:r>
              <w:rPr>
                <w:b/>
                <w:color w:val="FFFFFF" w:themeColor="background1"/>
                <w:sz w:val="20"/>
                <w:szCs w:val="20"/>
              </w:rPr>
              <w:t>Description</w:t>
            </w:r>
          </w:p>
        </w:tc>
        <w:tc>
          <w:tcPr>
            <w:tcW w:w="2892" w:type="dxa"/>
            <w:shd w:val="clear" w:color="auto" w:fill="159DCE"/>
          </w:tcPr>
          <w:p w14:paraId="0AE5BA88" w14:textId="77777777" w:rsidR="003F24F1" w:rsidRPr="00225547" w:rsidRDefault="003F24F1" w:rsidP="00542595">
            <w:pPr>
              <w:pStyle w:val="CCABodytext"/>
              <w:spacing w:before="60" w:after="60"/>
              <w:rPr>
                <w:b/>
                <w:color w:val="FFFFFF" w:themeColor="background1"/>
                <w:sz w:val="20"/>
                <w:szCs w:val="20"/>
              </w:rPr>
            </w:pPr>
            <w:r>
              <w:rPr>
                <w:b/>
                <w:color w:val="FFFFFF" w:themeColor="background1"/>
                <w:sz w:val="20"/>
                <w:szCs w:val="20"/>
              </w:rPr>
              <w:t>I</w:t>
            </w:r>
            <w:r w:rsidRPr="00225547">
              <w:rPr>
                <w:b/>
                <w:color w:val="FFFFFF" w:themeColor="background1"/>
                <w:sz w:val="20"/>
                <w:szCs w:val="20"/>
              </w:rPr>
              <w:t>nformation used</w:t>
            </w:r>
          </w:p>
        </w:tc>
      </w:tr>
      <w:tr w:rsidR="003F24F1" w:rsidRPr="00E8184C" w14:paraId="2A8CDA18" w14:textId="77777777" w:rsidTr="002555FE">
        <w:tc>
          <w:tcPr>
            <w:tcW w:w="964" w:type="dxa"/>
            <w:tcBorders>
              <w:bottom w:val="dotted" w:sz="4" w:space="0" w:color="309CC8" w:themeColor="accent2"/>
            </w:tcBorders>
          </w:tcPr>
          <w:p w14:paraId="50C19C68" w14:textId="77777777" w:rsidR="003F24F1" w:rsidRPr="00225547" w:rsidRDefault="003F24F1" w:rsidP="00542595">
            <w:pPr>
              <w:pStyle w:val="CCABodytext"/>
              <w:spacing w:before="60" w:after="60"/>
              <w:rPr>
                <w:sz w:val="20"/>
                <w:szCs w:val="20"/>
              </w:rPr>
            </w:pPr>
            <w:r w:rsidRPr="00225547">
              <w:rPr>
                <w:sz w:val="20"/>
                <w:szCs w:val="20"/>
              </w:rPr>
              <w:t>ACT</w:t>
            </w:r>
          </w:p>
        </w:tc>
        <w:tc>
          <w:tcPr>
            <w:tcW w:w="2891" w:type="dxa"/>
            <w:tcBorders>
              <w:bottom w:val="dotted" w:sz="4" w:space="0" w:color="309CC8" w:themeColor="accent2"/>
            </w:tcBorders>
          </w:tcPr>
          <w:p w14:paraId="2E9A261D" w14:textId="77777777" w:rsidR="003F24F1" w:rsidRPr="00225547" w:rsidRDefault="003F24F1" w:rsidP="00542595">
            <w:pPr>
              <w:pStyle w:val="CCABodytext"/>
              <w:spacing w:before="60" w:after="60"/>
              <w:rPr>
                <w:sz w:val="20"/>
                <w:szCs w:val="20"/>
              </w:rPr>
            </w:pPr>
            <w:r w:rsidRPr="00225547">
              <w:rPr>
                <w:sz w:val="20"/>
                <w:szCs w:val="20"/>
              </w:rPr>
              <w:t>ACT Greenhouse Gas Inventory</w:t>
            </w:r>
          </w:p>
        </w:tc>
        <w:tc>
          <w:tcPr>
            <w:tcW w:w="2892" w:type="dxa"/>
            <w:tcBorders>
              <w:bottom w:val="dotted" w:sz="4" w:space="0" w:color="309CC8" w:themeColor="accent2"/>
            </w:tcBorders>
          </w:tcPr>
          <w:p w14:paraId="6AB4E253" w14:textId="77777777" w:rsidR="003F24F1" w:rsidRPr="00345CCE" w:rsidRDefault="003F24F1" w:rsidP="00AB494B">
            <w:pPr>
              <w:pStyle w:val="CCABodytext"/>
              <w:spacing w:before="60" w:after="60"/>
              <w:rPr>
                <w:sz w:val="20"/>
                <w:szCs w:val="20"/>
              </w:rPr>
            </w:pPr>
            <w:r w:rsidRPr="00345CCE">
              <w:rPr>
                <w:sz w:val="20"/>
                <w:szCs w:val="20"/>
              </w:rPr>
              <w:t>Estimates of ACT</w:t>
            </w:r>
            <w:r w:rsidR="00AB494B" w:rsidRPr="00345CCE">
              <w:rPr>
                <w:sz w:val="20"/>
                <w:szCs w:val="20"/>
              </w:rPr>
              <w:t xml:space="preserve"> </w:t>
            </w:r>
            <w:r w:rsidRPr="00345CCE">
              <w:rPr>
                <w:sz w:val="20"/>
                <w:szCs w:val="20"/>
              </w:rPr>
              <w:t>emissions</w:t>
            </w:r>
          </w:p>
        </w:tc>
        <w:tc>
          <w:tcPr>
            <w:tcW w:w="2892" w:type="dxa"/>
            <w:tcBorders>
              <w:bottom w:val="dotted" w:sz="4" w:space="0" w:color="309CC8" w:themeColor="accent2"/>
            </w:tcBorders>
          </w:tcPr>
          <w:p w14:paraId="385B8868" w14:textId="77777777" w:rsidR="003F24F1" w:rsidRPr="00345CCE" w:rsidRDefault="003F24F1" w:rsidP="00542595">
            <w:pPr>
              <w:pStyle w:val="CCABodytext"/>
              <w:spacing w:before="60" w:after="60"/>
              <w:rPr>
                <w:sz w:val="20"/>
                <w:szCs w:val="20"/>
              </w:rPr>
            </w:pPr>
            <w:r w:rsidRPr="00345CCE">
              <w:rPr>
                <w:sz w:val="20"/>
                <w:szCs w:val="20"/>
              </w:rPr>
              <w:t>Emissions data (also relies on some data collected individually from large emitters)</w:t>
            </w:r>
          </w:p>
        </w:tc>
      </w:tr>
      <w:tr w:rsidR="003F24F1" w:rsidRPr="00E8184C" w14:paraId="4EE8AAC5" w14:textId="77777777" w:rsidTr="002555FE">
        <w:tc>
          <w:tcPr>
            <w:tcW w:w="964" w:type="dxa"/>
            <w:tcBorders>
              <w:top w:val="dotted" w:sz="4" w:space="0" w:color="309CC8" w:themeColor="accent2"/>
              <w:bottom w:val="dotted" w:sz="4" w:space="0" w:color="309CC8" w:themeColor="accent2"/>
            </w:tcBorders>
          </w:tcPr>
          <w:p w14:paraId="78979C2A" w14:textId="77777777" w:rsidR="003F24F1" w:rsidRPr="00225547" w:rsidRDefault="003F24F1" w:rsidP="00542595">
            <w:pPr>
              <w:pStyle w:val="CCABodytext"/>
              <w:spacing w:before="60" w:after="60"/>
              <w:rPr>
                <w:sz w:val="20"/>
                <w:szCs w:val="20"/>
              </w:rPr>
            </w:pPr>
            <w:r w:rsidRPr="00225547">
              <w:rPr>
                <w:sz w:val="20"/>
                <w:szCs w:val="20"/>
              </w:rPr>
              <w:t>ACT</w:t>
            </w:r>
          </w:p>
        </w:tc>
        <w:tc>
          <w:tcPr>
            <w:tcW w:w="2891" w:type="dxa"/>
            <w:tcBorders>
              <w:top w:val="dotted" w:sz="4" w:space="0" w:color="309CC8" w:themeColor="accent2"/>
              <w:bottom w:val="dotted" w:sz="4" w:space="0" w:color="309CC8" w:themeColor="accent2"/>
            </w:tcBorders>
          </w:tcPr>
          <w:p w14:paraId="6B4EE21A" w14:textId="77777777" w:rsidR="003F24F1" w:rsidRPr="00225547" w:rsidRDefault="003F24F1" w:rsidP="00542595">
            <w:pPr>
              <w:pStyle w:val="CCABodytext"/>
              <w:spacing w:before="60" w:after="60"/>
              <w:rPr>
                <w:sz w:val="20"/>
                <w:szCs w:val="20"/>
              </w:rPr>
            </w:pPr>
            <w:r>
              <w:rPr>
                <w:sz w:val="20"/>
                <w:szCs w:val="20"/>
              </w:rPr>
              <w:t>ACT emissions reduction targets</w:t>
            </w:r>
          </w:p>
        </w:tc>
        <w:tc>
          <w:tcPr>
            <w:tcW w:w="2892" w:type="dxa"/>
            <w:tcBorders>
              <w:top w:val="dotted" w:sz="4" w:space="0" w:color="309CC8" w:themeColor="accent2"/>
              <w:bottom w:val="dotted" w:sz="4" w:space="0" w:color="309CC8" w:themeColor="accent2"/>
            </w:tcBorders>
          </w:tcPr>
          <w:p w14:paraId="4C45008C" w14:textId="77777777" w:rsidR="003F24F1" w:rsidRPr="00225547" w:rsidRDefault="003F24F1" w:rsidP="00542595">
            <w:pPr>
              <w:pStyle w:val="CCABodytext"/>
              <w:spacing w:before="60" w:after="60"/>
              <w:rPr>
                <w:sz w:val="20"/>
                <w:szCs w:val="20"/>
              </w:rPr>
            </w:pPr>
            <w:r>
              <w:rPr>
                <w:sz w:val="20"/>
                <w:szCs w:val="20"/>
              </w:rPr>
              <w:t>The ACT has legislated emissions reduction targets to 2045</w:t>
            </w:r>
          </w:p>
        </w:tc>
        <w:tc>
          <w:tcPr>
            <w:tcW w:w="2892" w:type="dxa"/>
            <w:tcBorders>
              <w:top w:val="dotted" w:sz="4" w:space="0" w:color="309CC8" w:themeColor="accent2"/>
              <w:bottom w:val="dotted" w:sz="4" w:space="0" w:color="309CC8" w:themeColor="accent2"/>
            </w:tcBorders>
          </w:tcPr>
          <w:p w14:paraId="0E32D381" w14:textId="77777777" w:rsidR="003F24F1" w:rsidRPr="00225547" w:rsidRDefault="00670203" w:rsidP="00542595">
            <w:pPr>
              <w:pStyle w:val="CCABodytext"/>
              <w:spacing w:before="60" w:after="60"/>
              <w:rPr>
                <w:sz w:val="20"/>
                <w:szCs w:val="20"/>
              </w:rPr>
            </w:pPr>
            <w:r>
              <w:rPr>
                <w:sz w:val="20"/>
                <w:szCs w:val="20"/>
              </w:rPr>
              <w:t>Energy and e</w:t>
            </w:r>
            <w:r w:rsidR="003F24F1" w:rsidRPr="00225547">
              <w:rPr>
                <w:sz w:val="20"/>
                <w:szCs w:val="20"/>
              </w:rPr>
              <w:t xml:space="preserve">missions data </w:t>
            </w:r>
          </w:p>
        </w:tc>
      </w:tr>
      <w:tr w:rsidR="003F24F1" w:rsidRPr="00E8184C" w14:paraId="4F4E3B67" w14:textId="77777777" w:rsidTr="002555FE">
        <w:tc>
          <w:tcPr>
            <w:tcW w:w="964" w:type="dxa"/>
            <w:tcBorders>
              <w:top w:val="dotted" w:sz="4" w:space="0" w:color="309CC8" w:themeColor="accent2"/>
              <w:bottom w:val="dotted" w:sz="4" w:space="0" w:color="309CC8" w:themeColor="accent2"/>
            </w:tcBorders>
          </w:tcPr>
          <w:p w14:paraId="4EEC162A" w14:textId="77777777" w:rsidR="003F24F1" w:rsidRPr="00225547" w:rsidRDefault="003F24F1" w:rsidP="00542595">
            <w:pPr>
              <w:pStyle w:val="CCABodytext"/>
              <w:spacing w:before="60" w:after="60"/>
              <w:rPr>
                <w:sz w:val="20"/>
                <w:szCs w:val="20"/>
              </w:rPr>
            </w:pPr>
            <w:r w:rsidRPr="00225547">
              <w:rPr>
                <w:sz w:val="20"/>
                <w:szCs w:val="20"/>
              </w:rPr>
              <w:t>ACT</w:t>
            </w:r>
          </w:p>
        </w:tc>
        <w:tc>
          <w:tcPr>
            <w:tcW w:w="2891" w:type="dxa"/>
            <w:tcBorders>
              <w:top w:val="dotted" w:sz="4" w:space="0" w:color="309CC8" w:themeColor="accent2"/>
              <w:bottom w:val="dotted" w:sz="4" w:space="0" w:color="309CC8" w:themeColor="accent2"/>
            </w:tcBorders>
          </w:tcPr>
          <w:p w14:paraId="521B37DA" w14:textId="77777777" w:rsidR="003F24F1" w:rsidRPr="00225547" w:rsidRDefault="003F24F1" w:rsidP="00542595">
            <w:pPr>
              <w:pStyle w:val="CCABodytext"/>
              <w:spacing w:before="60" w:after="60"/>
              <w:rPr>
                <w:sz w:val="20"/>
                <w:szCs w:val="20"/>
              </w:rPr>
            </w:pPr>
            <w:r w:rsidRPr="00225547">
              <w:rPr>
                <w:sz w:val="20"/>
                <w:szCs w:val="20"/>
              </w:rPr>
              <w:t>Carbon Neutral Government</w:t>
            </w:r>
          </w:p>
        </w:tc>
        <w:tc>
          <w:tcPr>
            <w:tcW w:w="2892" w:type="dxa"/>
            <w:tcBorders>
              <w:top w:val="dotted" w:sz="4" w:space="0" w:color="309CC8" w:themeColor="accent2"/>
              <w:bottom w:val="dotted" w:sz="4" w:space="0" w:color="309CC8" w:themeColor="accent2"/>
            </w:tcBorders>
          </w:tcPr>
          <w:p w14:paraId="793A83ED" w14:textId="77777777" w:rsidR="003F24F1" w:rsidRDefault="003F24F1" w:rsidP="00542595">
            <w:pPr>
              <w:pStyle w:val="CCABodytext"/>
              <w:spacing w:before="60" w:after="60"/>
              <w:rPr>
                <w:sz w:val="20"/>
                <w:szCs w:val="20"/>
              </w:rPr>
            </w:pPr>
            <w:r>
              <w:rPr>
                <w:sz w:val="20"/>
                <w:szCs w:val="20"/>
              </w:rPr>
              <w:t>The ACT has set a target of carbon neutral government operations by 2020</w:t>
            </w:r>
          </w:p>
        </w:tc>
        <w:tc>
          <w:tcPr>
            <w:tcW w:w="2892" w:type="dxa"/>
            <w:tcBorders>
              <w:top w:val="dotted" w:sz="4" w:space="0" w:color="309CC8" w:themeColor="accent2"/>
              <w:bottom w:val="dotted" w:sz="4" w:space="0" w:color="309CC8" w:themeColor="accent2"/>
            </w:tcBorders>
          </w:tcPr>
          <w:p w14:paraId="54E42437" w14:textId="77777777" w:rsidR="003F24F1" w:rsidRPr="00225547" w:rsidRDefault="003F24F1" w:rsidP="00542595">
            <w:pPr>
              <w:pStyle w:val="CCABodytext"/>
              <w:spacing w:before="60" w:after="60"/>
              <w:rPr>
                <w:sz w:val="20"/>
                <w:szCs w:val="20"/>
              </w:rPr>
            </w:pPr>
            <w:r>
              <w:rPr>
                <w:sz w:val="20"/>
                <w:szCs w:val="20"/>
              </w:rPr>
              <w:t>E</w:t>
            </w:r>
            <w:r w:rsidRPr="00225547">
              <w:rPr>
                <w:sz w:val="20"/>
                <w:szCs w:val="20"/>
              </w:rPr>
              <w:t>missions factors</w:t>
            </w:r>
            <w:r>
              <w:rPr>
                <w:sz w:val="20"/>
                <w:szCs w:val="20"/>
              </w:rPr>
              <w:t xml:space="preserve"> from the measurement determination</w:t>
            </w:r>
            <w:r w:rsidRPr="00225547">
              <w:rPr>
                <w:sz w:val="20"/>
                <w:szCs w:val="20"/>
              </w:rPr>
              <w:t xml:space="preserve"> are used to calculate </w:t>
            </w:r>
            <w:r w:rsidR="00E819D5">
              <w:rPr>
                <w:sz w:val="20"/>
                <w:szCs w:val="20"/>
              </w:rPr>
              <w:t xml:space="preserve">the </w:t>
            </w:r>
            <w:r w:rsidRPr="00225547">
              <w:rPr>
                <w:sz w:val="20"/>
                <w:szCs w:val="20"/>
              </w:rPr>
              <w:t>ACT Government’s scope 1 and 2 emissions</w:t>
            </w:r>
          </w:p>
        </w:tc>
      </w:tr>
      <w:tr w:rsidR="003F24F1" w:rsidRPr="00E8184C" w14:paraId="1EBB1AF6" w14:textId="77777777" w:rsidTr="002555FE">
        <w:tc>
          <w:tcPr>
            <w:tcW w:w="964" w:type="dxa"/>
            <w:tcBorders>
              <w:top w:val="dotted" w:sz="4" w:space="0" w:color="309CC8" w:themeColor="accent2"/>
              <w:bottom w:val="dotted" w:sz="4" w:space="0" w:color="309CC8" w:themeColor="accent2"/>
            </w:tcBorders>
          </w:tcPr>
          <w:p w14:paraId="0749CE11" w14:textId="77777777" w:rsidR="003F24F1" w:rsidRPr="00225547" w:rsidRDefault="003F24F1" w:rsidP="00542595">
            <w:pPr>
              <w:pStyle w:val="CCABodytext"/>
              <w:spacing w:before="60" w:after="60"/>
              <w:rPr>
                <w:sz w:val="20"/>
                <w:szCs w:val="20"/>
              </w:rPr>
            </w:pPr>
            <w:r w:rsidRPr="00225547">
              <w:rPr>
                <w:sz w:val="20"/>
                <w:szCs w:val="20"/>
              </w:rPr>
              <w:t>NSW</w:t>
            </w:r>
          </w:p>
        </w:tc>
        <w:tc>
          <w:tcPr>
            <w:tcW w:w="2891" w:type="dxa"/>
            <w:tcBorders>
              <w:top w:val="dotted" w:sz="4" w:space="0" w:color="309CC8" w:themeColor="accent2"/>
              <w:bottom w:val="dotted" w:sz="4" w:space="0" w:color="309CC8" w:themeColor="accent2"/>
            </w:tcBorders>
          </w:tcPr>
          <w:p w14:paraId="35730804" w14:textId="77777777" w:rsidR="003F24F1" w:rsidRPr="00225547" w:rsidRDefault="003F24F1" w:rsidP="00670203">
            <w:pPr>
              <w:pStyle w:val="CCABodytext"/>
              <w:spacing w:before="60" w:after="60"/>
              <w:rPr>
                <w:sz w:val="20"/>
                <w:szCs w:val="20"/>
              </w:rPr>
            </w:pPr>
            <w:r w:rsidRPr="00225547">
              <w:rPr>
                <w:sz w:val="20"/>
                <w:szCs w:val="20"/>
              </w:rPr>
              <w:t>Energy Savings Scheme</w:t>
            </w:r>
          </w:p>
        </w:tc>
        <w:tc>
          <w:tcPr>
            <w:tcW w:w="2892" w:type="dxa"/>
            <w:tcBorders>
              <w:top w:val="dotted" w:sz="4" w:space="0" w:color="309CC8" w:themeColor="accent2"/>
              <w:bottom w:val="dotted" w:sz="4" w:space="0" w:color="309CC8" w:themeColor="accent2"/>
            </w:tcBorders>
          </w:tcPr>
          <w:p w14:paraId="190750E1" w14:textId="77777777" w:rsidR="003F24F1" w:rsidRPr="00225547" w:rsidRDefault="003F24F1" w:rsidP="00542595">
            <w:pPr>
              <w:pStyle w:val="CCABodytext"/>
              <w:spacing w:before="60" w:after="60"/>
              <w:rPr>
                <w:sz w:val="20"/>
                <w:szCs w:val="20"/>
              </w:rPr>
            </w:pPr>
            <w:r>
              <w:rPr>
                <w:sz w:val="20"/>
                <w:szCs w:val="20"/>
              </w:rPr>
              <w:t>Creates financial incentives for organisations to invest in energy savings projects</w:t>
            </w:r>
          </w:p>
        </w:tc>
        <w:tc>
          <w:tcPr>
            <w:tcW w:w="2892" w:type="dxa"/>
            <w:tcBorders>
              <w:top w:val="dotted" w:sz="4" w:space="0" w:color="309CC8" w:themeColor="accent2"/>
              <w:bottom w:val="dotted" w:sz="4" w:space="0" w:color="309CC8" w:themeColor="accent2"/>
            </w:tcBorders>
          </w:tcPr>
          <w:p w14:paraId="48B68FE5" w14:textId="77777777" w:rsidR="003F24F1" w:rsidRPr="00225547" w:rsidRDefault="003F24F1" w:rsidP="00542595">
            <w:pPr>
              <w:pStyle w:val="CCABodytext"/>
              <w:spacing w:before="60" w:after="60"/>
              <w:rPr>
                <w:sz w:val="20"/>
                <w:szCs w:val="20"/>
              </w:rPr>
            </w:pPr>
            <w:r w:rsidRPr="00225547">
              <w:rPr>
                <w:sz w:val="20"/>
                <w:szCs w:val="20"/>
              </w:rPr>
              <w:t xml:space="preserve">Energy data </w:t>
            </w:r>
          </w:p>
        </w:tc>
      </w:tr>
      <w:tr w:rsidR="003F24F1" w:rsidRPr="00E8184C" w14:paraId="13B40241" w14:textId="77777777" w:rsidTr="002555FE">
        <w:tc>
          <w:tcPr>
            <w:tcW w:w="964" w:type="dxa"/>
            <w:tcBorders>
              <w:top w:val="dotted" w:sz="4" w:space="0" w:color="309CC8" w:themeColor="accent2"/>
              <w:bottom w:val="dotted" w:sz="4" w:space="0" w:color="309CC8" w:themeColor="accent2"/>
            </w:tcBorders>
          </w:tcPr>
          <w:p w14:paraId="0B060FE2" w14:textId="77777777" w:rsidR="003F24F1" w:rsidRPr="00225547" w:rsidRDefault="003F24F1" w:rsidP="00542595">
            <w:pPr>
              <w:pStyle w:val="CCABodytext"/>
              <w:spacing w:before="60" w:after="60"/>
              <w:rPr>
                <w:sz w:val="20"/>
                <w:szCs w:val="20"/>
              </w:rPr>
            </w:pPr>
            <w:r>
              <w:rPr>
                <w:sz w:val="20"/>
                <w:szCs w:val="20"/>
              </w:rPr>
              <w:t>NSW</w:t>
            </w:r>
          </w:p>
        </w:tc>
        <w:tc>
          <w:tcPr>
            <w:tcW w:w="2891" w:type="dxa"/>
            <w:tcBorders>
              <w:top w:val="dotted" w:sz="4" w:space="0" w:color="309CC8" w:themeColor="accent2"/>
              <w:bottom w:val="dotted" w:sz="4" w:space="0" w:color="309CC8" w:themeColor="accent2"/>
            </w:tcBorders>
          </w:tcPr>
          <w:p w14:paraId="029C13A4" w14:textId="77777777" w:rsidR="003F24F1" w:rsidRPr="00225547" w:rsidRDefault="003F24F1" w:rsidP="00670203">
            <w:pPr>
              <w:pStyle w:val="CCABodytext"/>
              <w:spacing w:before="60" w:after="60"/>
              <w:rPr>
                <w:sz w:val="20"/>
                <w:szCs w:val="20"/>
              </w:rPr>
            </w:pPr>
            <w:r>
              <w:rPr>
                <w:sz w:val="20"/>
                <w:szCs w:val="20"/>
              </w:rPr>
              <w:t xml:space="preserve">Gas Efficiency Improvement Program </w:t>
            </w:r>
          </w:p>
        </w:tc>
        <w:tc>
          <w:tcPr>
            <w:tcW w:w="2892" w:type="dxa"/>
            <w:tcBorders>
              <w:top w:val="dotted" w:sz="4" w:space="0" w:color="309CC8" w:themeColor="accent2"/>
              <w:bottom w:val="dotted" w:sz="4" w:space="0" w:color="309CC8" w:themeColor="accent2"/>
            </w:tcBorders>
          </w:tcPr>
          <w:p w14:paraId="38AA3972" w14:textId="77777777" w:rsidR="003F24F1" w:rsidRDefault="003F24F1" w:rsidP="00542595">
            <w:pPr>
              <w:pStyle w:val="CCABodytext"/>
              <w:spacing w:before="60" w:after="60"/>
              <w:rPr>
                <w:sz w:val="20"/>
                <w:szCs w:val="20"/>
              </w:rPr>
            </w:pPr>
            <w:r>
              <w:rPr>
                <w:sz w:val="20"/>
                <w:szCs w:val="20"/>
              </w:rPr>
              <w:t>Involve</w:t>
            </w:r>
            <w:r w:rsidR="00670203">
              <w:rPr>
                <w:sz w:val="20"/>
                <w:szCs w:val="20"/>
              </w:rPr>
              <w:t>d</w:t>
            </w:r>
            <w:r>
              <w:rPr>
                <w:sz w:val="20"/>
                <w:szCs w:val="20"/>
              </w:rPr>
              <w:t xml:space="preserve"> market-based activities to improve gas efficiency</w:t>
            </w:r>
          </w:p>
        </w:tc>
        <w:tc>
          <w:tcPr>
            <w:tcW w:w="2892" w:type="dxa"/>
            <w:tcBorders>
              <w:top w:val="dotted" w:sz="4" w:space="0" w:color="309CC8" w:themeColor="accent2"/>
              <w:bottom w:val="dotted" w:sz="4" w:space="0" w:color="309CC8" w:themeColor="accent2"/>
            </w:tcBorders>
          </w:tcPr>
          <w:p w14:paraId="756A8D1A" w14:textId="77777777" w:rsidR="003F24F1" w:rsidRPr="00225547" w:rsidRDefault="003F24F1" w:rsidP="00542595">
            <w:pPr>
              <w:pStyle w:val="CCABodytext"/>
              <w:spacing w:before="60" w:after="60"/>
              <w:rPr>
                <w:sz w:val="20"/>
                <w:szCs w:val="20"/>
              </w:rPr>
            </w:pPr>
            <w:r>
              <w:rPr>
                <w:sz w:val="20"/>
                <w:szCs w:val="20"/>
              </w:rPr>
              <w:t>Energy data</w:t>
            </w:r>
          </w:p>
        </w:tc>
      </w:tr>
      <w:tr w:rsidR="003F24F1" w:rsidRPr="00E8184C" w14:paraId="099A02EE" w14:textId="77777777" w:rsidTr="002555FE">
        <w:tc>
          <w:tcPr>
            <w:tcW w:w="964" w:type="dxa"/>
            <w:tcBorders>
              <w:top w:val="dotted" w:sz="4" w:space="0" w:color="309CC8" w:themeColor="accent2"/>
              <w:bottom w:val="dotted" w:sz="4" w:space="0" w:color="309CC8" w:themeColor="accent2"/>
            </w:tcBorders>
          </w:tcPr>
          <w:p w14:paraId="7BC728FD" w14:textId="77777777" w:rsidR="003F24F1" w:rsidRPr="00225547" w:rsidRDefault="003F24F1" w:rsidP="00542595">
            <w:pPr>
              <w:pStyle w:val="CCABodytext"/>
              <w:spacing w:before="60" w:after="60"/>
              <w:rPr>
                <w:sz w:val="20"/>
                <w:szCs w:val="20"/>
              </w:rPr>
            </w:pPr>
            <w:r w:rsidRPr="00225547">
              <w:rPr>
                <w:sz w:val="20"/>
                <w:szCs w:val="20"/>
              </w:rPr>
              <w:t>SA</w:t>
            </w:r>
          </w:p>
        </w:tc>
        <w:tc>
          <w:tcPr>
            <w:tcW w:w="2891" w:type="dxa"/>
            <w:tcBorders>
              <w:top w:val="dotted" w:sz="4" w:space="0" w:color="309CC8" w:themeColor="accent2"/>
              <w:bottom w:val="dotted" w:sz="4" w:space="0" w:color="309CC8" w:themeColor="accent2"/>
            </w:tcBorders>
          </w:tcPr>
          <w:p w14:paraId="227C66A7" w14:textId="77777777" w:rsidR="003F24F1" w:rsidRPr="00225547" w:rsidRDefault="003F24F1" w:rsidP="009F44A1">
            <w:pPr>
              <w:pStyle w:val="CCABodytext"/>
              <w:spacing w:before="60" w:after="60"/>
              <w:rPr>
                <w:sz w:val="20"/>
                <w:szCs w:val="20"/>
              </w:rPr>
            </w:pPr>
            <w:r>
              <w:rPr>
                <w:sz w:val="20"/>
                <w:szCs w:val="20"/>
              </w:rPr>
              <w:t>Climate Change Strateg</w:t>
            </w:r>
            <w:r w:rsidR="009F44A1">
              <w:rPr>
                <w:sz w:val="20"/>
                <w:szCs w:val="20"/>
              </w:rPr>
              <w:t>ies</w:t>
            </w:r>
          </w:p>
        </w:tc>
        <w:tc>
          <w:tcPr>
            <w:tcW w:w="2892" w:type="dxa"/>
            <w:tcBorders>
              <w:top w:val="dotted" w:sz="4" w:space="0" w:color="309CC8" w:themeColor="accent2"/>
              <w:bottom w:val="dotted" w:sz="4" w:space="0" w:color="309CC8" w:themeColor="accent2"/>
            </w:tcBorders>
          </w:tcPr>
          <w:p w14:paraId="197AC825" w14:textId="77777777" w:rsidR="003F24F1" w:rsidRPr="00225547" w:rsidRDefault="003F24F1" w:rsidP="009F44A1">
            <w:pPr>
              <w:pStyle w:val="CCABodytext"/>
              <w:spacing w:before="60" w:after="60"/>
              <w:rPr>
                <w:sz w:val="20"/>
                <w:szCs w:val="20"/>
              </w:rPr>
            </w:pPr>
            <w:r>
              <w:rPr>
                <w:sz w:val="20"/>
                <w:szCs w:val="20"/>
              </w:rPr>
              <w:t>Set framework</w:t>
            </w:r>
            <w:r w:rsidR="009F44A1">
              <w:rPr>
                <w:sz w:val="20"/>
                <w:szCs w:val="20"/>
              </w:rPr>
              <w:t>s</w:t>
            </w:r>
            <w:r>
              <w:rPr>
                <w:sz w:val="20"/>
                <w:szCs w:val="20"/>
              </w:rPr>
              <w:t xml:space="preserve"> for reducing emissions in South Australia while maximising economic opportunities</w:t>
            </w:r>
          </w:p>
        </w:tc>
        <w:tc>
          <w:tcPr>
            <w:tcW w:w="2892" w:type="dxa"/>
            <w:tcBorders>
              <w:top w:val="dotted" w:sz="4" w:space="0" w:color="309CC8" w:themeColor="accent2"/>
              <w:bottom w:val="dotted" w:sz="4" w:space="0" w:color="309CC8" w:themeColor="accent2"/>
            </w:tcBorders>
          </w:tcPr>
          <w:p w14:paraId="165D051E" w14:textId="77777777" w:rsidR="003F24F1" w:rsidRPr="00225547" w:rsidRDefault="003F24F1" w:rsidP="00542595">
            <w:pPr>
              <w:pStyle w:val="CCABodytext"/>
              <w:spacing w:before="60" w:after="60"/>
              <w:rPr>
                <w:sz w:val="20"/>
                <w:szCs w:val="20"/>
              </w:rPr>
            </w:pPr>
            <w:r w:rsidRPr="00225547">
              <w:rPr>
                <w:sz w:val="20"/>
                <w:szCs w:val="20"/>
              </w:rPr>
              <w:t>Emissions data</w:t>
            </w:r>
          </w:p>
        </w:tc>
      </w:tr>
      <w:tr w:rsidR="003F24F1" w:rsidRPr="00E8184C" w14:paraId="428C6D55" w14:textId="77777777" w:rsidTr="002555FE">
        <w:tc>
          <w:tcPr>
            <w:tcW w:w="964" w:type="dxa"/>
            <w:tcBorders>
              <w:top w:val="dotted" w:sz="4" w:space="0" w:color="309CC8" w:themeColor="accent2"/>
              <w:bottom w:val="dotted" w:sz="4" w:space="0" w:color="309CC8" w:themeColor="accent2"/>
            </w:tcBorders>
          </w:tcPr>
          <w:p w14:paraId="746F0C52" w14:textId="77777777" w:rsidR="003F24F1" w:rsidRPr="00225547" w:rsidRDefault="003F24F1" w:rsidP="00542595">
            <w:pPr>
              <w:pStyle w:val="CCABodytext"/>
              <w:spacing w:before="60" w:after="60"/>
              <w:rPr>
                <w:sz w:val="20"/>
                <w:szCs w:val="20"/>
              </w:rPr>
            </w:pPr>
            <w:r w:rsidRPr="00225547">
              <w:rPr>
                <w:sz w:val="20"/>
                <w:szCs w:val="20"/>
              </w:rPr>
              <w:t>TAS</w:t>
            </w:r>
          </w:p>
        </w:tc>
        <w:tc>
          <w:tcPr>
            <w:tcW w:w="2891" w:type="dxa"/>
            <w:tcBorders>
              <w:top w:val="dotted" w:sz="4" w:space="0" w:color="309CC8" w:themeColor="accent2"/>
              <w:bottom w:val="dotted" w:sz="4" w:space="0" w:color="309CC8" w:themeColor="accent2"/>
            </w:tcBorders>
            <w:shd w:val="clear" w:color="auto" w:fill="auto"/>
          </w:tcPr>
          <w:p w14:paraId="633897E7" w14:textId="77777777" w:rsidR="003F24F1" w:rsidRPr="00225547" w:rsidRDefault="003F24F1" w:rsidP="00542595">
            <w:pPr>
              <w:pStyle w:val="CCABodytext"/>
              <w:spacing w:before="60" w:after="60"/>
              <w:rPr>
                <w:sz w:val="20"/>
                <w:szCs w:val="20"/>
              </w:rPr>
            </w:pPr>
            <w:r>
              <w:rPr>
                <w:sz w:val="20"/>
                <w:szCs w:val="20"/>
              </w:rPr>
              <w:t>Tasmanian emissions reduction targets</w:t>
            </w:r>
          </w:p>
        </w:tc>
        <w:tc>
          <w:tcPr>
            <w:tcW w:w="2892" w:type="dxa"/>
            <w:tcBorders>
              <w:top w:val="dotted" w:sz="4" w:space="0" w:color="309CC8" w:themeColor="accent2"/>
              <w:bottom w:val="dotted" w:sz="4" w:space="0" w:color="309CC8" w:themeColor="accent2"/>
            </w:tcBorders>
          </w:tcPr>
          <w:p w14:paraId="0D286B56" w14:textId="77777777" w:rsidR="003F24F1" w:rsidRPr="00225547" w:rsidRDefault="003F24F1" w:rsidP="00542595">
            <w:pPr>
              <w:pStyle w:val="CCABodytext"/>
              <w:spacing w:before="60" w:after="60"/>
              <w:rPr>
                <w:sz w:val="20"/>
                <w:szCs w:val="20"/>
              </w:rPr>
            </w:pPr>
            <w:r>
              <w:rPr>
                <w:sz w:val="20"/>
                <w:szCs w:val="20"/>
              </w:rPr>
              <w:t xml:space="preserve">Tasmania has legislated emissions reduction targets to 2050 </w:t>
            </w:r>
          </w:p>
        </w:tc>
        <w:tc>
          <w:tcPr>
            <w:tcW w:w="2892" w:type="dxa"/>
            <w:tcBorders>
              <w:top w:val="dotted" w:sz="4" w:space="0" w:color="309CC8" w:themeColor="accent2"/>
              <w:bottom w:val="dotted" w:sz="4" w:space="0" w:color="309CC8" w:themeColor="accent2"/>
            </w:tcBorders>
            <w:shd w:val="clear" w:color="auto" w:fill="auto"/>
          </w:tcPr>
          <w:p w14:paraId="62AA83BA" w14:textId="77777777" w:rsidR="003F24F1" w:rsidRPr="00225547" w:rsidRDefault="003F24F1" w:rsidP="00542595">
            <w:pPr>
              <w:pStyle w:val="CCABodytext"/>
              <w:spacing w:before="60" w:after="60"/>
              <w:rPr>
                <w:sz w:val="20"/>
                <w:szCs w:val="20"/>
              </w:rPr>
            </w:pPr>
            <w:r w:rsidRPr="00225547">
              <w:rPr>
                <w:sz w:val="20"/>
                <w:szCs w:val="20"/>
              </w:rPr>
              <w:t>Emissions data. Supplemented by state inventory data</w:t>
            </w:r>
          </w:p>
        </w:tc>
      </w:tr>
      <w:tr w:rsidR="003F24F1" w:rsidRPr="00E8184C" w14:paraId="7EE423E9" w14:textId="77777777" w:rsidTr="002555FE">
        <w:tc>
          <w:tcPr>
            <w:tcW w:w="964" w:type="dxa"/>
            <w:tcBorders>
              <w:top w:val="dotted" w:sz="4" w:space="0" w:color="309CC8" w:themeColor="accent2"/>
              <w:bottom w:val="dotted" w:sz="4" w:space="0" w:color="309CC8" w:themeColor="accent2"/>
            </w:tcBorders>
          </w:tcPr>
          <w:p w14:paraId="204B2BE6" w14:textId="77777777" w:rsidR="003F24F1" w:rsidRPr="00225547" w:rsidRDefault="00E819D5" w:rsidP="00542595">
            <w:pPr>
              <w:pStyle w:val="CCABodytext"/>
              <w:spacing w:before="60" w:after="60"/>
              <w:rPr>
                <w:sz w:val="20"/>
                <w:szCs w:val="20"/>
              </w:rPr>
            </w:pPr>
            <w:r w:rsidRPr="00225547">
              <w:rPr>
                <w:sz w:val="20"/>
                <w:szCs w:val="20"/>
              </w:rPr>
              <w:t>VIC</w:t>
            </w:r>
          </w:p>
        </w:tc>
        <w:tc>
          <w:tcPr>
            <w:tcW w:w="2891" w:type="dxa"/>
            <w:tcBorders>
              <w:top w:val="dotted" w:sz="4" w:space="0" w:color="309CC8" w:themeColor="accent2"/>
              <w:bottom w:val="dotted" w:sz="4" w:space="0" w:color="309CC8" w:themeColor="accent2"/>
            </w:tcBorders>
          </w:tcPr>
          <w:p w14:paraId="7EDFDE1C" w14:textId="77777777" w:rsidR="003F24F1" w:rsidRPr="00225547" w:rsidRDefault="003F24F1" w:rsidP="00542595">
            <w:pPr>
              <w:pStyle w:val="CCABodytext"/>
              <w:spacing w:before="60" w:after="60"/>
              <w:rPr>
                <w:sz w:val="20"/>
                <w:szCs w:val="20"/>
              </w:rPr>
            </w:pPr>
            <w:r>
              <w:rPr>
                <w:sz w:val="20"/>
                <w:szCs w:val="20"/>
              </w:rPr>
              <w:t xml:space="preserve">Climate change policy development and analysis </w:t>
            </w:r>
          </w:p>
        </w:tc>
        <w:tc>
          <w:tcPr>
            <w:tcW w:w="2892" w:type="dxa"/>
            <w:tcBorders>
              <w:top w:val="dotted" w:sz="4" w:space="0" w:color="309CC8" w:themeColor="accent2"/>
              <w:bottom w:val="dotted" w:sz="4" w:space="0" w:color="309CC8" w:themeColor="accent2"/>
            </w:tcBorders>
          </w:tcPr>
          <w:p w14:paraId="6D58C3EB" w14:textId="77777777" w:rsidR="003F24F1" w:rsidRDefault="00D21C43" w:rsidP="00542595">
            <w:pPr>
              <w:pStyle w:val="CCABodytext"/>
              <w:spacing w:before="60" w:after="60"/>
              <w:rPr>
                <w:sz w:val="20"/>
                <w:szCs w:val="20"/>
              </w:rPr>
            </w:pPr>
            <w:r>
              <w:rPr>
                <w:sz w:val="20"/>
                <w:szCs w:val="20"/>
              </w:rPr>
              <w:t>For example assessing</w:t>
            </w:r>
            <w:r w:rsidR="003F24F1">
              <w:rPr>
                <w:sz w:val="20"/>
                <w:szCs w:val="20"/>
              </w:rPr>
              <w:t xml:space="preserve"> impacts of policies on </w:t>
            </w:r>
            <w:r w:rsidR="005E31AA">
              <w:rPr>
                <w:sz w:val="20"/>
                <w:szCs w:val="20"/>
              </w:rPr>
              <w:t>e</w:t>
            </w:r>
            <w:r w:rsidR="003F24F1" w:rsidRPr="00225547">
              <w:rPr>
                <w:sz w:val="20"/>
                <w:szCs w:val="20"/>
              </w:rPr>
              <w:t>missions</w:t>
            </w:r>
            <w:r w:rsidR="005E31AA">
              <w:rPr>
                <w:sz w:val="20"/>
                <w:szCs w:val="20"/>
              </w:rPr>
              <w:t>-i</w:t>
            </w:r>
            <w:r w:rsidR="003F24F1" w:rsidRPr="00225547">
              <w:rPr>
                <w:sz w:val="20"/>
                <w:szCs w:val="20"/>
              </w:rPr>
              <w:t xml:space="preserve">ntensive </w:t>
            </w:r>
            <w:r w:rsidR="005E31AA">
              <w:rPr>
                <w:sz w:val="20"/>
                <w:szCs w:val="20"/>
              </w:rPr>
              <w:t>t</w:t>
            </w:r>
            <w:r w:rsidR="003F24F1" w:rsidRPr="00225547">
              <w:rPr>
                <w:sz w:val="20"/>
                <w:szCs w:val="20"/>
              </w:rPr>
              <w:t>rade</w:t>
            </w:r>
            <w:r w:rsidR="005E31AA">
              <w:rPr>
                <w:sz w:val="20"/>
                <w:szCs w:val="20"/>
              </w:rPr>
              <w:noBreakHyphen/>
              <w:t>e</w:t>
            </w:r>
            <w:r w:rsidR="003F24F1" w:rsidRPr="00225547">
              <w:rPr>
                <w:sz w:val="20"/>
                <w:szCs w:val="20"/>
              </w:rPr>
              <w:t>xposed producers</w:t>
            </w:r>
          </w:p>
        </w:tc>
        <w:tc>
          <w:tcPr>
            <w:tcW w:w="2892" w:type="dxa"/>
            <w:tcBorders>
              <w:top w:val="dotted" w:sz="4" w:space="0" w:color="309CC8" w:themeColor="accent2"/>
              <w:bottom w:val="dotted" w:sz="4" w:space="0" w:color="309CC8" w:themeColor="accent2"/>
            </w:tcBorders>
          </w:tcPr>
          <w:p w14:paraId="0160F002" w14:textId="77777777" w:rsidR="003F24F1" w:rsidRPr="00225547" w:rsidRDefault="003F24F1" w:rsidP="00DD57C6">
            <w:pPr>
              <w:pStyle w:val="CCABodytext"/>
              <w:spacing w:before="60" w:after="60"/>
              <w:rPr>
                <w:sz w:val="20"/>
                <w:szCs w:val="20"/>
              </w:rPr>
            </w:pPr>
            <w:r>
              <w:rPr>
                <w:sz w:val="20"/>
                <w:szCs w:val="20"/>
              </w:rPr>
              <w:t xml:space="preserve">Scope 1 and 2 emissions </w:t>
            </w:r>
            <w:r w:rsidRPr="00225547">
              <w:rPr>
                <w:sz w:val="20"/>
                <w:szCs w:val="20"/>
              </w:rPr>
              <w:t xml:space="preserve">data. Data from other sources </w:t>
            </w:r>
            <w:r>
              <w:rPr>
                <w:sz w:val="20"/>
                <w:szCs w:val="20"/>
              </w:rPr>
              <w:t xml:space="preserve">are also </w:t>
            </w:r>
            <w:r w:rsidRPr="00225547">
              <w:rPr>
                <w:sz w:val="20"/>
                <w:szCs w:val="20"/>
              </w:rPr>
              <w:t>used</w:t>
            </w:r>
            <w:r w:rsidR="00DD57C6">
              <w:rPr>
                <w:sz w:val="20"/>
                <w:szCs w:val="20"/>
              </w:rPr>
              <w:t>, for example from the</w:t>
            </w:r>
            <w:r w:rsidRPr="00225547">
              <w:rPr>
                <w:sz w:val="20"/>
                <w:szCs w:val="20"/>
              </w:rPr>
              <w:t xml:space="preserve"> Australian Energy Market Operator</w:t>
            </w:r>
          </w:p>
        </w:tc>
      </w:tr>
      <w:tr w:rsidR="003F24F1" w:rsidRPr="00E8184C" w14:paraId="7BC027B6" w14:textId="77777777" w:rsidTr="002555FE">
        <w:tc>
          <w:tcPr>
            <w:tcW w:w="964" w:type="dxa"/>
            <w:tcBorders>
              <w:top w:val="dotted" w:sz="4" w:space="0" w:color="309CC8" w:themeColor="accent2"/>
              <w:bottom w:val="dotted" w:sz="4" w:space="0" w:color="309CC8" w:themeColor="accent2"/>
            </w:tcBorders>
          </w:tcPr>
          <w:p w14:paraId="1142A1C7" w14:textId="77777777" w:rsidR="003F24F1" w:rsidRPr="00225547" w:rsidRDefault="003F24F1" w:rsidP="00542595">
            <w:pPr>
              <w:pStyle w:val="CCABodytext"/>
              <w:spacing w:before="60" w:after="60"/>
              <w:rPr>
                <w:sz w:val="20"/>
                <w:szCs w:val="20"/>
              </w:rPr>
            </w:pPr>
            <w:r w:rsidRPr="00225547">
              <w:rPr>
                <w:sz w:val="20"/>
                <w:szCs w:val="20"/>
              </w:rPr>
              <w:t>WA</w:t>
            </w:r>
          </w:p>
        </w:tc>
        <w:tc>
          <w:tcPr>
            <w:tcW w:w="2891" w:type="dxa"/>
            <w:tcBorders>
              <w:top w:val="dotted" w:sz="4" w:space="0" w:color="309CC8" w:themeColor="accent2"/>
              <w:bottom w:val="dotted" w:sz="4" w:space="0" w:color="309CC8" w:themeColor="accent2"/>
            </w:tcBorders>
          </w:tcPr>
          <w:p w14:paraId="4444FF2C" w14:textId="77777777" w:rsidR="003F24F1" w:rsidRPr="00225547" w:rsidRDefault="003F24F1" w:rsidP="00542595">
            <w:pPr>
              <w:pStyle w:val="CCABodytext"/>
              <w:spacing w:before="60" w:after="60"/>
              <w:rPr>
                <w:sz w:val="20"/>
                <w:szCs w:val="20"/>
              </w:rPr>
            </w:pPr>
            <w:r>
              <w:rPr>
                <w:sz w:val="20"/>
                <w:szCs w:val="20"/>
              </w:rPr>
              <w:t>Forming state p</w:t>
            </w:r>
            <w:r w:rsidRPr="00225547">
              <w:rPr>
                <w:sz w:val="20"/>
                <w:szCs w:val="20"/>
              </w:rPr>
              <w:t xml:space="preserve">ositions on national policies </w:t>
            </w:r>
          </w:p>
        </w:tc>
        <w:tc>
          <w:tcPr>
            <w:tcW w:w="2892" w:type="dxa"/>
            <w:tcBorders>
              <w:top w:val="dotted" w:sz="4" w:space="0" w:color="309CC8" w:themeColor="accent2"/>
              <w:bottom w:val="dotted" w:sz="4" w:space="0" w:color="309CC8" w:themeColor="accent2"/>
            </w:tcBorders>
          </w:tcPr>
          <w:p w14:paraId="25FE1773" w14:textId="77777777" w:rsidR="003F24F1" w:rsidRPr="00225547" w:rsidRDefault="00D21C43" w:rsidP="00542595">
            <w:pPr>
              <w:pStyle w:val="CCABodytext"/>
              <w:spacing w:before="60" w:after="60"/>
              <w:rPr>
                <w:sz w:val="20"/>
                <w:szCs w:val="20"/>
              </w:rPr>
            </w:pPr>
            <w:r>
              <w:rPr>
                <w:sz w:val="20"/>
                <w:szCs w:val="20"/>
              </w:rPr>
              <w:t>For example developing positions</w:t>
            </w:r>
            <w:r w:rsidR="003F24F1" w:rsidRPr="00225547">
              <w:rPr>
                <w:sz w:val="20"/>
                <w:szCs w:val="20"/>
              </w:rPr>
              <w:t xml:space="preserve"> </w:t>
            </w:r>
            <w:r w:rsidR="003F24F1">
              <w:rPr>
                <w:sz w:val="20"/>
                <w:szCs w:val="20"/>
              </w:rPr>
              <w:t xml:space="preserve">on the </w:t>
            </w:r>
            <w:r w:rsidR="003F24F1" w:rsidRPr="00225547">
              <w:rPr>
                <w:sz w:val="20"/>
                <w:szCs w:val="20"/>
              </w:rPr>
              <w:t>safeguard</w:t>
            </w:r>
            <w:r w:rsidR="003F24F1">
              <w:rPr>
                <w:sz w:val="20"/>
                <w:szCs w:val="20"/>
              </w:rPr>
              <w:t xml:space="preserve"> and</w:t>
            </w:r>
            <w:r w:rsidR="003F24F1" w:rsidRPr="00225547">
              <w:rPr>
                <w:sz w:val="20"/>
                <w:szCs w:val="20"/>
              </w:rPr>
              <w:t xml:space="preserve"> National Energy Guarantee</w:t>
            </w:r>
          </w:p>
        </w:tc>
        <w:tc>
          <w:tcPr>
            <w:tcW w:w="2892" w:type="dxa"/>
            <w:tcBorders>
              <w:top w:val="dotted" w:sz="4" w:space="0" w:color="309CC8" w:themeColor="accent2"/>
              <w:bottom w:val="dotted" w:sz="4" w:space="0" w:color="309CC8" w:themeColor="accent2"/>
            </w:tcBorders>
          </w:tcPr>
          <w:p w14:paraId="1FD64FCD" w14:textId="77777777" w:rsidR="003F24F1" w:rsidRPr="00225547" w:rsidRDefault="003F24F1" w:rsidP="00542595">
            <w:pPr>
              <w:pStyle w:val="CCABodytext"/>
              <w:spacing w:before="60" w:after="60"/>
              <w:rPr>
                <w:sz w:val="20"/>
                <w:szCs w:val="20"/>
              </w:rPr>
            </w:pPr>
            <w:r w:rsidRPr="00225547">
              <w:rPr>
                <w:sz w:val="20"/>
                <w:szCs w:val="20"/>
              </w:rPr>
              <w:t xml:space="preserve">Emissions and energy data </w:t>
            </w:r>
          </w:p>
        </w:tc>
      </w:tr>
      <w:tr w:rsidR="003F24F1" w:rsidRPr="00E8184C" w14:paraId="5B25F439" w14:textId="77777777" w:rsidTr="002555FE">
        <w:tc>
          <w:tcPr>
            <w:tcW w:w="964" w:type="dxa"/>
            <w:tcBorders>
              <w:top w:val="dotted" w:sz="4" w:space="0" w:color="309CC8" w:themeColor="accent2"/>
            </w:tcBorders>
          </w:tcPr>
          <w:p w14:paraId="15C072D2" w14:textId="71F20609" w:rsidR="003F24F1" w:rsidRPr="00225547" w:rsidRDefault="00A6452F" w:rsidP="00542595">
            <w:pPr>
              <w:pStyle w:val="CCABodytext"/>
              <w:spacing w:before="60" w:after="60"/>
              <w:rPr>
                <w:sz w:val="20"/>
                <w:szCs w:val="20"/>
              </w:rPr>
            </w:pPr>
            <w:r w:rsidRPr="00225547">
              <w:rPr>
                <w:sz w:val="20"/>
                <w:szCs w:val="20"/>
              </w:rPr>
              <w:t>QLD</w:t>
            </w:r>
          </w:p>
        </w:tc>
        <w:tc>
          <w:tcPr>
            <w:tcW w:w="2891" w:type="dxa"/>
            <w:tcBorders>
              <w:top w:val="dotted" w:sz="4" w:space="0" w:color="309CC8" w:themeColor="accent2"/>
            </w:tcBorders>
          </w:tcPr>
          <w:p w14:paraId="1301A5F4" w14:textId="77777777" w:rsidR="003F24F1" w:rsidRPr="00225547" w:rsidRDefault="003F24F1" w:rsidP="00542595">
            <w:pPr>
              <w:pStyle w:val="CCABodytext"/>
              <w:spacing w:before="60" w:after="60"/>
              <w:rPr>
                <w:sz w:val="20"/>
                <w:szCs w:val="20"/>
              </w:rPr>
            </w:pPr>
            <w:r>
              <w:rPr>
                <w:sz w:val="20"/>
                <w:szCs w:val="20"/>
              </w:rPr>
              <w:t>Biofuels mandate</w:t>
            </w:r>
          </w:p>
        </w:tc>
        <w:tc>
          <w:tcPr>
            <w:tcW w:w="2892" w:type="dxa"/>
            <w:tcBorders>
              <w:top w:val="dotted" w:sz="4" w:space="0" w:color="309CC8" w:themeColor="accent2"/>
            </w:tcBorders>
          </w:tcPr>
          <w:p w14:paraId="414835F1" w14:textId="77777777" w:rsidR="003F24F1" w:rsidRDefault="003F24F1" w:rsidP="00542595">
            <w:pPr>
              <w:pStyle w:val="CCABodytext"/>
              <w:spacing w:before="60" w:after="60"/>
              <w:rPr>
                <w:sz w:val="20"/>
                <w:szCs w:val="20"/>
              </w:rPr>
            </w:pPr>
            <w:r>
              <w:rPr>
                <w:sz w:val="20"/>
                <w:szCs w:val="20"/>
              </w:rPr>
              <w:t>Requires fuel sellers to sell minimum amounts of sustainable bio</w:t>
            </w:r>
            <w:r w:rsidR="00B959D4">
              <w:rPr>
                <w:sz w:val="20"/>
                <w:szCs w:val="20"/>
              </w:rPr>
              <w:t>-</w:t>
            </w:r>
            <w:r>
              <w:rPr>
                <w:sz w:val="20"/>
                <w:szCs w:val="20"/>
              </w:rPr>
              <w:t>based fuel</w:t>
            </w:r>
          </w:p>
        </w:tc>
        <w:tc>
          <w:tcPr>
            <w:tcW w:w="2892" w:type="dxa"/>
            <w:tcBorders>
              <w:top w:val="dotted" w:sz="4" w:space="0" w:color="309CC8" w:themeColor="accent2"/>
            </w:tcBorders>
          </w:tcPr>
          <w:p w14:paraId="0A4A3027" w14:textId="77777777" w:rsidR="003F24F1" w:rsidRPr="00225547" w:rsidRDefault="003F24F1" w:rsidP="00542595">
            <w:pPr>
              <w:pStyle w:val="CCABodytext"/>
              <w:spacing w:before="60" w:after="60"/>
              <w:rPr>
                <w:sz w:val="20"/>
                <w:szCs w:val="20"/>
              </w:rPr>
            </w:pPr>
            <w:r>
              <w:rPr>
                <w:sz w:val="20"/>
                <w:szCs w:val="20"/>
              </w:rPr>
              <w:t>Emissions and energy data</w:t>
            </w:r>
          </w:p>
        </w:tc>
      </w:tr>
    </w:tbl>
    <w:p w14:paraId="5A17276A" w14:textId="77777777" w:rsidR="00612FD1" w:rsidRPr="00643E92" w:rsidRDefault="003F24F1" w:rsidP="00612FD1">
      <w:pPr>
        <w:pStyle w:val="CCANotesource"/>
      </w:pPr>
      <w:r w:rsidRPr="00D96433">
        <w:rPr>
          <w:b/>
        </w:rPr>
        <w:t>Notes:</w:t>
      </w:r>
      <w:r>
        <w:t xml:space="preserve"> This table is not exhaustive. It includes examples of state and territory data use identified through research and consultations. </w:t>
      </w:r>
      <w:r w:rsidR="00612FD1">
        <w:br/>
      </w:r>
      <w:r w:rsidR="00612FD1" w:rsidRPr="00612FD1">
        <w:rPr>
          <w:b/>
        </w:rPr>
        <w:t>Sources:</w:t>
      </w:r>
      <w:r w:rsidR="00612FD1" w:rsidRPr="0065703D">
        <w:t xml:space="preserve"> </w:t>
      </w:r>
      <w:r w:rsidR="004B0036" w:rsidRPr="0065703D">
        <w:t>B</w:t>
      </w:r>
      <w:r w:rsidR="007D3E4E" w:rsidRPr="0065703D">
        <w:t>ased</w:t>
      </w:r>
      <w:r w:rsidR="007D3E4E">
        <w:t xml:space="preserve"> on consultations with state and territory government officials during the review.</w:t>
      </w:r>
    </w:p>
    <w:p w14:paraId="454FFF40" w14:textId="77777777" w:rsidR="00A74ECA" w:rsidRDefault="00A74ECA" w:rsidP="007161D3">
      <w:pPr>
        <w:spacing w:after="200" w:line="276" w:lineRule="auto"/>
        <w:rPr>
          <w:rFonts w:eastAsia="Calibri" w:cs="Times New Roman"/>
          <w:color w:val="auto"/>
        </w:rPr>
      </w:pPr>
    </w:p>
    <w:p w14:paraId="290009C0" w14:textId="55118158" w:rsidR="00F06A61" w:rsidRPr="008D3E6E" w:rsidRDefault="00F06A61" w:rsidP="00C813C5">
      <w:pPr>
        <w:pStyle w:val="CCAAppendixHeading"/>
      </w:pPr>
      <w:bookmarkStart w:id="1009" w:name="_Toc531095601"/>
      <w:bookmarkStart w:id="1010" w:name="_Toc531099367"/>
      <w:bookmarkStart w:id="1011" w:name="_Toc531101776"/>
      <w:bookmarkStart w:id="1012" w:name="_Ref531616408"/>
      <w:bookmarkStart w:id="1013" w:name="_Toc531764040"/>
      <w:bookmarkStart w:id="1014" w:name="_Toc532912134"/>
      <w:bookmarkStart w:id="1015" w:name="_Toc532914976"/>
      <w:r w:rsidRPr="008D3E6E">
        <w:t>Stakeholder issues with measurement of emissions and energy</w:t>
      </w:r>
      <w:bookmarkEnd w:id="1009"/>
      <w:bookmarkEnd w:id="1010"/>
      <w:bookmarkEnd w:id="1011"/>
      <w:bookmarkEnd w:id="1012"/>
      <w:bookmarkEnd w:id="1013"/>
      <w:bookmarkEnd w:id="1014"/>
      <w:bookmarkEnd w:id="1015"/>
    </w:p>
    <w:p w14:paraId="0182D9E1" w14:textId="35D47259" w:rsidR="00F06A61" w:rsidRPr="008D3E6E" w:rsidRDefault="00DD57C6" w:rsidP="00F06A61">
      <w:pPr>
        <w:spacing w:after="200" w:line="276" w:lineRule="auto"/>
        <w:rPr>
          <w:rFonts w:eastAsia="Calibri" w:cs="Times New Roman"/>
          <w:color w:val="auto"/>
        </w:rPr>
      </w:pPr>
      <w:r>
        <w:rPr>
          <w:rFonts w:eastAsia="Calibri" w:cs="Times New Roman"/>
          <w:color w:val="auto"/>
        </w:rPr>
        <w:t>During this review, s</w:t>
      </w:r>
      <w:r w:rsidR="00F06A61" w:rsidRPr="008D3E6E">
        <w:rPr>
          <w:rFonts w:eastAsia="Calibri" w:cs="Times New Roman"/>
          <w:color w:val="auto"/>
        </w:rPr>
        <w:t>takeholder</w:t>
      </w:r>
      <w:r w:rsidR="00F06A61">
        <w:rPr>
          <w:rFonts w:eastAsia="Calibri" w:cs="Times New Roman"/>
          <w:color w:val="auto"/>
        </w:rPr>
        <w:t xml:space="preserve">s </w:t>
      </w:r>
      <w:r w:rsidR="00F06A61" w:rsidRPr="008D3E6E">
        <w:rPr>
          <w:rFonts w:eastAsia="Calibri" w:cs="Times New Roman"/>
          <w:color w:val="auto"/>
        </w:rPr>
        <w:t xml:space="preserve">raised </w:t>
      </w:r>
      <w:r w:rsidR="00F06A61">
        <w:rPr>
          <w:rFonts w:eastAsia="Calibri" w:cs="Times New Roman"/>
          <w:color w:val="auto"/>
        </w:rPr>
        <w:t>a number of</w:t>
      </w:r>
      <w:r w:rsidR="00F06A61" w:rsidRPr="008D3E6E">
        <w:rPr>
          <w:rFonts w:eastAsia="Calibri" w:cs="Times New Roman"/>
          <w:color w:val="auto"/>
        </w:rPr>
        <w:t xml:space="preserve"> issues </w:t>
      </w:r>
      <w:r w:rsidR="00F06A61">
        <w:rPr>
          <w:rFonts w:eastAsia="Calibri" w:cs="Times New Roman"/>
          <w:color w:val="auto"/>
        </w:rPr>
        <w:t xml:space="preserve">with the </w:t>
      </w:r>
      <w:r>
        <w:rPr>
          <w:rFonts w:eastAsia="Calibri" w:cs="Times New Roman"/>
          <w:color w:val="auto"/>
        </w:rPr>
        <w:t xml:space="preserve">methods for </w:t>
      </w:r>
      <w:r w:rsidR="00F06A61">
        <w:rPr>
          <w:rFonts w:eastAsia="Calibri" w:cs="Times New Roman"/>
          <w:color w:val="auto"/>
        </w:rPr>
        <w:t xml:space="preserve">measurement of emissions and energy in </w:t>
      </w:r>
      <w:r w:rsidR="00F06A61" w:rsidRPr="008D3E6E">
        <w:rPr>
          <w:rFonts w:eastAsia="Calibri" w:cs="Times New Roman"/>
          <w:color w:val="auto"/>
        </w:rPr>
        <w:t xml:space="preserve">the </w:t>
      </w:r>
      <w:r w:rsidR="00F06A61" w:rsidRPr="00AF1274">
        <w:rPr>
          <w:rFonts w:eastAsia="Calibri" w:cs="Times New Roman"/>
          <w:i/>
          <w:color w:val="auto"/>
        </w:rPr>
        <w:t xml:space="preserve">National Greenhouse and Energy Reporting </w:t>
      </w:r>
      <w:r w:rsidR="00014028" w:rsidRPr="0057026C">
        <w:rPr>
          <w:rFonts w:eastAsia="Calibri" w:cs="Times New Roman"/>
          <w:i/>
          <w:color w:val="auto"/>
        </w:rPr>
        <w:t>R</w:t>
      </w:r>
      <w:r w:rsidR="00F06A61" w:rsidRPr="0057026C">
        <w:rPr>
          <w:rFonts w:eastAsia="Calibri" w:cs="Times New Roman"/>
          <w:i/>
          <w:color w:val="auto"/>
        </w:rPr>
        <w:t>egulations</w:t>
      </w:r>
      <w:r w:rsidR="00F06A61" w:rsidRPr="00AF1274">
        <w:rPr>
          <w:rFonts w:eastAsia="Calibri" w:cs="Times New Roman"/>
          <w:i/>
          <w:color w:val="auto"/>
        </w:rPr>
        <w:t xml:space="preserve"> </w:t>
      </w:r>
      <w:r w:rsidR="00014028" w:rsidRPr="00014028">
        <w:rPr>
          <w:rFonts w:eastAsia="Calibri" w:cs="Times New Roman"/>
          <w:i/>
          <w:color w:val="auto"/>
        </w:rPr>
        <w:t>2008</w:t>
      </w:r>
      <w:r w:rsidR="00014028">
        <w:rPr>
          <w:rFonts w:eastAsia="Calibri" w:cs="Times New Roman"/>
          <w:color w:val="auto"/>
        </w:rPr>
        <w:t xml:space="preserve"> (Cth)</w:t>
      </w:r>
      <w:r w:rsidR="00F06A61" w:rsidRPr="008D3E6E">
        <w:rPr>
          <w:rFonts w:eastAsia="Calibri" w:cs="Times New Roman"/>
          <w:color w:val="auto"/>
        </w:rPr>
        <w:t xml:space="preserve"> and </w:t>
      </w:r>
      <w:r w:rsidR="00014028" w:rsidRPr="00AF1274">
        <w:rPr>
          <w:rFonts w:eastAsia="Calibri" w:cs="Times New Roman"/>
          <w:i/>
          <w:color w:val="auto"/>
        </w:rPr>
        <w:t>National Greenhouse and Energy Reporting (</w:t>
      </w:r>
      <w:r w:rsidR="00014028" w:rsidRPr="0057026C">
        <w:rPr>
          <w:rFonts w:eastAsia="Calibri" w:cs="Times New Roman"/>
          <w:i/>
          <w:color w:val="auto"/>
        </w:rPr>
        <w:t>M</w:t>
      </w:r>
      <w:r w:rsidR="00F06A61" w:rsidRPr="0057026C">
        <w:rPr>
          <w:rFonts w:eastAsia="Calibri" w:cs="Times New Roman"/>
          <w:i/>
          <w:color w:val="auto"/>
        </w:rPr>
        <w:t>easurement</w:t>
      </w:r>
      <w:r w:rsidR="00014028" w:rsidRPr="0057026C">
        <w:rPr>
          <w:rFonts w:eastAsia="Calibri" w:cs="Times New Roman"/>
          <w:i/>
          <w:color w:val="auto"/>
        </w:rPr>
        <w:t>)</w:t>
      </w:r>
      <w:r w:rsidR="00F06A61" w:rsidRPr="0057026C">
        <w:rPr>
          <w:rFonts w:eastAsia="Calibri" w:cs="Times New Roman"/>
          <w:i/>
          <w:color w:val="auto"/>
        </w:rPr>
        <w:t xml:space="preserve"> </w:t>
      </w:r>
      <w:r w:rsidR="00014028" w:rsidRPr="0057026C">
        <w:rPr>
          <w:rFonts w:eastAsia="Calibri" w:cs="Times New Roman"/>
          <w:i/>
          <w:color w:val="auto"/>
        </w:rPr>
        <w:t>D</w:t>
      </w:r>
      <w:r w:rsidR="00F06A61" w:rsidRPr="0057026C">
        <w:rPr>
          <w:rFonts w:eastAsia="Calibri" w:cs="Times New Roman"/>
          <w:i/>
          <w:color w:val="auto"/>
        </w:rPr>
        <w:t>etermination</w:t>
      </w:r>
      <w:r w:rsidR="00014028" w:rsidRPr="00AF1274">
        <w:rPr>
          <w:rFonts w:eastAsia="Calibri" w:cs="Times New Roman"/>
          <w:i/>
          <w:color w:val="auto"/>
        </w:rPr>
        <w:t xml:space="preserve"> 2008 </w:t>
      </w:r>
      <w:r w:rsidR="00014028">
        <w:rPr>
          <w:rFonts w:eastAsia="Calibri" w:cs="Times New Roman"/>
          <w:color w:val="auto"/>
        </w:rPr>
        <w:t>(Cth)</w:t>
      </w:r>
      <w:r w:rsidR="00F06A61">
        <w:rPr>
          <w:rFonts w:eastAsia="Calibri" w:cs="Times New Roman"/>
          <w:color w:val="auto"/>
        </w:rPr>
        <w:t xml:space="preserve"> </w:t>
      </w:r>
      <w:r w:rsidR="001400B5">
        <w:rPr>
          <w:rFonts w:eastAsia="Calibri" w:cs="Times New Roman"/>
          <w:color w:val="auto"/>
        </w:rPr>
        <w:t>(</w:t>
      </w:r>
      <w:r w:rsidR="001400B5">
        <w:rPr>
          <w:rFonts w:eastAsia="Calibri" w:cs="Times New Roman"/>
          <w:color w:val="auto"/>
        </w:rPr>
        <w:fldChar w:fldCharType="begin"/>
      </w:r>
      <w:r w:rsidR="001400B5">
        <w:rPr>
          <w:rFonts w:eastAsia="Calibri" w:cs="Times New Roman"/>
          <w:color w:val="auto"/>
        </w:rPr>
        <w:instrText xml:space="preserve"> REF _Ref531627422 \r \h </w:instrText>
      </w:r>
      <w:r w:rsidR="001400B5">
        <w:rPr>
          <w:rFonts w:eastAsia="Calibri" w:cs="Times New Roman"/>
          <w:color w:val="auto"/>
        </w:rPr>
      </w:r>
      <w:r w:rsidR="001400B5">
        <w:rPr>
          <w:rFonts w:eastAsia="Calibri" w:cs="Times New Roman"/>
          <w:color w:val="auto"/>
        </w:rPr>
        <w:fldChar w:fldCharType="separate"/>
      </w:r>
      <w:r w:rsidR="009A203A">
        <w:rPr>
          <w:rFonts w:eastAsia="Calibri" w:cs="Times New Roman"/>
          <w:color w:val="auto"/>
        </w:rPr>
        <w:t>Table 13</w:t>
      </w:r>
      <w:r w:rsidR="001400B5">
        <w:rPr>
          <w:rFonts w:eastAsia="Calibri" w:cs="Times New Roman"/>
          <w:color w:val="auto"/>
        </w:rPr>
        <w:fldChar w:fldCharType="end"/>
      </w:r>
      <w:r w:rsidR="00014028">
        <w:rPr>
          <w:rFonts w:eastAsia="Calibri" w:cs="Times New Roman"/>
          <w:color w:val="auto"/>
        </w:rPr>
        <w:t>)</w:t>
      </w:r>
      <w:r w:rsidR="00F06A61" w:rsidRPr="008D3E6E">
        <w:rPr>
          <w:rFonts w:eastAsia="Calibri" w:cs="Times New Roman"/>
          <w:color w:val="auto"/>
        </w:rPr>
        <w:t>.</w:t>
      </w:r>
      <w:r w:rsidR="001400B5">
        <w:rPr>
          <w:rFonts w:eastAsia="Calibri" w:cs="Times New Roman"/>
          <w:color w:val="auto"/>
        </w:rPr>
        <w:t xml:space="preserve"> </w:t>
      </w:r>
      <w:r w:rsidR="00F06A61">
        <w:rPr>
          <w:rFonts w:eastAsia="Calibri" w:cs="Times New Roman"/>
          <w:color w:val="auto"/>
        </w:rPr>
        <w:t xml:space="preserve">These issues have been grouped into themes </w:t>
      </w:r>
      <w:r>
        <w:rPr>
          <w:rFonts w:eastAsia="Calibri" w:cs="Times New Roman"/>
          <w:color w:val="auto"/>
        </w:rPr>
        <w:t xml:space="preserve">in </w:t>
      </w:r>
      <w:r>
        <w:rPr>
          <w:rFonts w:eastAsia="Calibri" w:cs="Times New Roman"/>
          <w:color w:val="auto"/>
        </w:rPr>
        <w:fldChar w:fldCharType="begin"/>
      </w:r>
      <w:r>
        <w:rPr>
          <w:rFonts w:eastAsia="Calibri" w:cs="Times New Roman"/>
          <w:color w:val="auto"/>
        </w:rPr>
        <w:instrText xml:space="preserve"> REF _Ref531627422 \r \h </w:instrText>
      </w:r>
      <w:r>
        <w:rPr>
          <w:rFonts w:eastAsia="Calibri" w:cs="Times New Roman"/>
          <w:color w:val="auto"/>
        </w:rPr>
      </w:r>
      <w:r>
        <w:rPr>
          <w:rFonts w:eastAsia="Calibri" w:cs="Times New Roman"/>
          <w:color w:val="auto"/>
        </w:rPr>
        <w:fldChar w:fldCharType="separate"/>
      </w:r>
      <w:r w:rsidR="009A203A">
        <w:rPr>
          <w:rFonts w:eastAsia="Calibri" w:cs="Times New Roman"/>
          <w:color w:val="auto"/>
        </w:rPr>
        <w:t>Table 13</w:t>
      </w:r>
      <w:r>
        <w:rPr>
          <w:rFonts w:eastAsia="Calibri" w:cs="Times New Roman"/>
          <w:color w:val="auto"/>
        </w:rPr>
        <w:fldChar w:fldCharType="end"/>
      </w:r>
      <w:r>
        <w:rPr>
          <w:rFonts w:eastAsia="Calibri" w:cs="Times New Roman"/>
          <w:color w:val="auto"/>
        </w:rPr>
        <w:t xml:space="preserve"> </w:t>
      </w:r>
      <w:r w:rsidR="00F06A61">
        <w:rPr>
          <w:rFonts w:eastAsia="Calibri" w:cs="Times New Roman"/>
          <w:color w:val="auto"/>
        </w:rPr>
        <w:t xml:space="preserve">and the </w:t>
      </w:r>
      <w:r w:rsidR="00D15A37">
        <w:rPr>
          <w:rFonts w:eastAsia="Calibri" w:cs="Times New Roman"/>
          <w:color w:val="auto"/>
        </w:rPr>
        <w:t xml:space="preserve">Climate Change </w:t>
      </w:r>
      <w:r w:rsidR="00F06A61" w:rsidRPr="008D3E6E">
        <w:rPr>
          <w:rFonts w:eastAsia="Calibri" w:cs="Times New Roman"/>
          <w:color w:val="auto"/>
        </w:rPr>
        <w:t xml:space="preserve">Authority encourages the Department </w:t>
      </w:r>
      <w:r w:rsidR="00D15A37">
        <w:rPr>
          <w:rFonts w:eastAsia="Calibri" w:cs="Times New Roman"/>
          <w:color w:val="auto"/>
        </w:rPr>
        <w:t xml:space="preserve">of the Environment and Energy </w:t>
      </w:r>
      <w:r w:rsidR="00F06A61" w:rsidRPr="008D3E6E">
        <w:rPr>
          <w:rFonts w:eastAsia="Calibri" w:cs="Times New Roman"/>
          <w:color w:val="auto"/>
        </w:rPr>
        <w:t xml:space="preserve">to consider these issues as part of the enhanced annual </w:t>
      </w:r>
      <w:r w:rsidR="00A6452F">
        <w:rPr>
          <w:rFonts w:eastAsia="Calibri" w:cs="Times New Roman"/>
          <w:color w:val="auto"/>
        </w:rPr>
        <w:t>measurement determination update</w:t>
      </w:r>
      <w:r w:rsidR="00F06A61" w:rsidRPr="008D3E6E">
        <w:rPr>
          <w:rFonts w:eastAsia="Calibri" w:cs="Times New Roman"/>
          <w:color w:val="auto"/>
        </w:rPr>
        <w:t xml:space="preserve"> process (</w:t>
      </w:r>
      <w:r w:rsidR="00014028">
        <w:rPr>
          <w:rFonts w:eastAsia="Calibri" w:cs="Times New Roman"/>
          <w:color w:val="auto"/>
        </w:rPr>
        <w:t>R</w:t>
      </w:r>
      <w:r w:rsidR="00F06A61" w:rsidRPr="008D3E6E">
        <w:rPr>
          <w:rFonts w:eastAsia="Calibri" w:cs="Times New Roman"/>
          <w:color w:val="auto"/>
        </w:rPr>
        <w:t xml:space="preserve">ecommendation </w:t>
      </w:r>
      <w:r w:rsidR="00B25E59">
        <w:rPr>
          <w:rFonts w:eastAsia="Calibri" w:cs="Times New Roman"/>
          <w:color w:val="auto"/>
        </w:rPr>
        <w:fldChar w:fldCharType="begin"/>
      </w:r>
      <w:r w:rsidR="00B25E59">
        <w:rPr>
          <w:rFonts w:eastAsia="Calibri" w:cs="Times New Roman"/>
          <w:color w:val="auto"/>
        </w:rPr>
        <w:instrText xml:space="preserve"> REF _Ref532894157 \r \h </w:instrText>
      </w:r>
      <w:r w:rsidR="00B25E59">
        <w:rPr>
          <w:rFonts w:eastAsia="Calibri" w:cs="Times New Roman"/>
          <w:color w:val="auto"/>
        </w:rPr>
      </w:r>
      <w:r w:rsidR="00B25E59">
        <w:rPr>
          <w:rFonts w:eastAsia="Calibri" w:cs="Times New Roman"/>
          <w:color w:val="auto"/>
        </w:rPr>
        <w:fldChar w:fldCharType="separate"/>
      </w:r>
      <w:r w:rsidR="009A203A">
        <w:rPr>
          <w:rFonts w:eastAsia="Calibri" w:cs="Times New Roman"/>
          <w:color w:val="auto"/>
        </w:rPr>
        <w:t>R.7</w:t>
      </w:r>
      <w:r w:rsidR="00B25E59">
        <w:rPr>
          <w:rFonts w:eastAsia="Calibri" w:cs="Times New Roman"/>
          <w:color w:val="auto"/>
        </w:rPr>
        <w:fldChar w:fldCharType="end"/>
      </w:r>
      <w:r w:rsidR="00F06A61" w:rsidRPr="008D3E6E">
        <w:rPr>
          <w:rFonts w:eastAsia="Calibri" w:cs="Times New Roman"/>
          <w:color w:val="auto"/>
        </w:rPr>
        <w:t>).</w:t>
      </w:r>
    </w:p>
    <w:p w14:paraId="13ED3906" w14:textId="77777777" w:rsidR="00014028" w:rsidRDefault="00F06A61" w:rsidP="00F06A61">
      <w:pPr>
        <w:spacing w:after="200" w:line="276" w:lineRule="auto"/>
        <w:rPr>
          <w:rFonts w:eastAsia="Calibri" w:cs="Times New Roman"/>
          <w:color w:val="auto"/>
        </w:rPr>
      </w:pPr>
      <w:r>
        <w:rPr>
          <w:rFonts w:eastAsia="Calibri" w:cs="Times New Roman"/>
          <w:color w:val="auto"/>
        </w:rPr>
        <w:t>Further information on these issues can be found in the submissions listed below. The</w:t>
      </w:r>
      <w:r w:rsidR="0057026C">
        <w:rPr>
          <w:rFonts w:eastAsia="Calibri" w:cs="Times New Roman"/>
          <w:color w:val="auto"/>
        </w:rPr>
        <w:t xml:space="preserve"> submissions</w:t>
      </w:r>
      <w:r>
        <w:rPr>
          <w:rFonts w:eastAsia="Calibri" w:cs="Times New Roman"/>
          <w:color w:val="auto"/>
        </w:rPr>
        <w:t xml:space="preserve"> can be found on the Authority’s website at </w:t>
      </w:r>
      <w:hyperlink r:id="rId51" w:history="1">
        <w:r w:rsidR="00014028" w:rsidRPr="00906B5E">
          <w:rPr>
            <w:rStyle w:val="Hyperlink"/>
            <w:rFonts w:eastAsia="Calibri" w:cs="Times New Roman"/>
          </w:rPr>
          <w:t>www.climatechangeauthority.gov.au/summary-submissions-review-national-greenhouse-and-energy-reporting-legislation</w:t>
        </w:r>
      </w:hyperlink>
      <w:r>
        <w:rPr>
          <w:rFonts w:eastAsia="Calibri" w:cs="Times New Roman"/>
          <w:color w:val="auto"/>
        </w:rPr>
        <w:t>.</w:t>
      </w:r>
    </w:p>
    <w:p w14:paraId="0EB15C12" w14:textId="77777777" w:rsidR="00014028" w:rsidRPr="00931A83" w:rsidDel="00014028" w:rsidRDefault="00E54002" w:rsidP="00532BE2">
      <w:pPr>
        <w:pStyle w:val="CCATableheader"/>
      </w:pPr>
      <w:bookmarkStart w:id="1016" w:name="_Ref531627422"/>
      <w:bookmarkStart w:id="1017" w:name="_Toc531764055"/>
      <w:bookmarkStart w:id="1018" w:name="_Toc532912078"/>
      <w:bookmarkStart w:id="1019" w:name="_Toc532914022"/>
      <w:r w:rsidRPr="00931A83">
        <w:t>Issues with measurement of emissions and energy in submissions</w:t>
      </w:r>
      <w:bookmarkEnd w:id="1016"/>
      <w:bookmarkEnd w:id="1017"/>
      <w:bookmarkEnd w:id="1018"/>
      <w:bookmarkEnd w:id="1019"/>
    </w:p>
    <w:tbl>
      <w:tblPr>
        <w:tblStyle w:val="ListTable3-Accent21"/>
        <w:tblW w:w="0" w:type="auto"/>
        <w:tblBorders>
          <w:top w:val="none" w:sz="0" w:space="0" w:color="auto"/>
          <w:left w:val="none" w:sz="0" w:space="0" w:color="auto"/>
          <w:bottom w:val="none" w:sz="0" w:space="0" w:color="auto"/>
          <w:right w:val="none" w:sz="0" w:space="0" w:color="auto"/>
          <w:insideH w:val="dotted" w:sz="4" w:space="0" w:color="309CC8" w:themeColor="accent3"/>
        </w:tblBorders>
        <w:tblLook w:val="04A0" w:firstRow="1" w:lastRow="0" w:firstColumn="1" w:lastColumn="0" w:noHBand="0" w:noVBand="1"/>
      </w:tblPr>
      <w:tblGrid>
        <w:gridCol w:w="4278"/>
        <w:gridCol w:w="4924"/>
      </w:tblGrid>
      <w:tr w:rsidR="00F06A61" w:rsidRPr="00641779" w14:paraId="4723975B" w14:textId="77777777" w:rsidTr="00D80295">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4278" w:type="dxa"/>
            <w:vAlign w:val="center"/>
          </w:tcPr>
          <w:p w14:paraId="4525E90E" w14:textId="77777777" w:rsidR="00F06A61" w:rsidRPr="00B94E56" w:rsidRDefault="00F06A61" w:rsidP="006C0ABD">
            <w:pPr>
              <w:spacing w:after="0"/>
              <w:rPr>
                <w:rFonts w:asciiTheme="minorHAnsi" w:eastAsia="Times New Roman" w:hAnsiTheme="minorHAnsi" w:cstheme="minorHAnsi"/>
                <w:color w:val="FFFFFF"/>
                <w:sz w:val="20"/>
                <w:szCs w:val="20"/>
                <w:lang w:eastAsia="en-GB"/>
              </w:rPr>
            </w:pPr>
            <w:r w:rsidRPr="00B94E56">
              <w:rPr>
                <w:rFonts w:asciiTheme="minorHAnsi" w:eastAsia="Times New Roman" w:hAnsiTheme="minorHAnsi" w:cstheme="minorHAnsi"/>
                <w:color w:val="FFFFFF"/>
                <w:sz w:val="20"/>
                <w:szCs w:val="20"/>
                <w:lang w:eastAsia="en-GB"/>
              </w:rPr>
              <w:t>Issue</w:t>
            </w:r>
          </w:p>
        </w:tc>
        <w:tc>
          <w:tcPr>
            <w:tcW w:w="4924" w:type="dxa"/>
            <w:tcBorders>
              <w:bottom w:val="nil"/>
            </w:tcBorders>
            <w:vAlign w:val="center"/>
          </w:tcPr>
          <w:p w14:paraId="5A6A9D5B" w14:textId="77777777" w:rsidR="00F06A61" w:rsidRPr="00B94E56" w:rsidRDefault="00F06A61" w:rsidP="006E75C1">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GB"/>
              </w:rPr>
            </w:pPr>
            <w:r w:rsidRPr="00B94E56">
              <w:rPr>
                <w:rFonts w:asciiTheme="minorHAnsi" w:eastAsia="Times New Roman" w:hAnsiTheme="minorHAnsi" w:cstheme="minorHAnsi"/>
                <w:color w:val="FFFFFF"/>
                <w:sz w:val="20"/>
                <w:szCs w:val="20"/>
                <w:lang w:eastAsia="en-GB"/>
              </w:rPr>
              <w:t>Stakeholder submission</w:t>
            </w:r>
          </w:p>
        </w:tc>
      </w:tr>
      <w:tr w:rsidR="00F06A61" w:rsidRPr="00641779" w14:paraId="1F818857"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val="restart"/>
            <w:tcBorders>
              <w:top w:val="nil"/>
              <w:bottom w:val="dotted" w:sz="4" w:space="0" w:color="309CC8" w:themeColor="accent1"/>
            </w:tcBorders>
            <w:vAlign w:val="center"/>
          </w:tcPr>
          <w:p w14:paraId="3B725C18" w14:textId="77777777" w:rsidR="00F06A61" w:rsidRPr="00B94E56" w:rsidRDefault="00F06A61" w:rsidP="006C0ABD">
            <w:pPr>
              <w:spacing w:after="0"/>
              <w:rPr>
                <w:rFonts w:asciiTheme="minorHAnsi" w:hAnsiTheme="minorHAnsi" w:cstheme="minorHAnsi"/>
                <w:b w:val="0"/>
                <w:color w:val="000000" w:themeColor="text1"/>
                <w:sz w:val="20"/>
                <w:szCs w:val="20"/>
              </w:rPr>
            </w:pPr>
            <w:r w:rsidRPr="00B94E56">
              <w:rPr>
                <w:rFonts w:asciiTheme="minorHAnsi" w:hAnsiTheme="minorHAnsi" w:cstheme="minorHAnsi"/>
                <w:b w:val="0"/>
                <w:color w:val="000000" w:themeColor="text1"/>
                <w:sz w:val="20"/>
                <w:szCs w:val="20"/>
              </w:rPr>
              <w:t xml:space="preserve">Burden of reporting </w:t>
            </w:r>
            <w:r w:rsidR="0065703D" w:rsidRPr="00B94E56">
              <w:rPr>
                <w:rFonts w:asciiTheme="minorHAnsi" w:hAnsiTheme="minorHAnsi" w:cstheme="minorHAnsi"/>
                <w:b w:val="0"/>
                <w:color w:val="000000" w:themeColor="text1"/>
                <w:sz w:val="20"/>
                <w:szCs w:val="20"/>
              </w:rPr>
              <w:t>–</w:t>
            </w:r>
            <w:r w:rsidRPr="00B94E56">
              <w:rPr>
                <w:rFonts w:asciiTheme="minorHAnsi" w:hAnsiTheme="minorHAnsi" w:cstheme="minorHAnsi"/>
                <w:b w:val="0"/>
                <w:color w:val="000000" w:themeColor="text1"/>
                <w:sz w:val="20"/>
                <w:szCs w:val="20"/>
              </w:rPr>
              <w:t xml:space="preserve"> general</w:t>
            </w:r>
          </w:p>
        </w:tc>
        <w:tc>
          <w:tcPr>
            <w:tcW w:w="4924" w:type="dxa"/>
            <w:tcBorders>
              <w:top w:val="nil"/>
              <w:bottom w:val="dotted" w:sz="4" w:space="0" w:color="309CC8" w:themeColor="accent1"/>
            </w:tcBorders>
            <w:vAlign w:val="center"/>
          </w:tcPr>
          <w:p w14:paraId="2D43DCFC" w14:textId="77777777" w:rsidR="00F06A61" w:rsidRPr="00B94E56" w:rsidRDefault="00F06A61" w:rsidP="006E75C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AGL</w:t>
            </w:r>
          </w:p>
        </w:tc>
      </w:tr>
      <w:tr w:rsidR="00F06A61" w:rsidRPr="00641779" w14:paraId="5976DFB2"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47582E72"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1CFAB823"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Australian Pork Limited</w:t>
            </w:r>
          </w:p>
        </w:tc>
      </w:tr>
      <w:tr w:rsidR="00F06A61" w:rsidRPr="00641779" w14:paraId="086660C1"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4070865B"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37DF30F8"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UnitingCare</w:t>
            </w:r>
          </w:p>
        </w:tc>
      </w:tr>
      <w:tr w:rsidR="00F06A61" w:rsidRPr="00641779" w14:paraId="006D035D"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val="restart"/>
            <w:tcBorders>
              <w:top w:val="dotted" w:sz="4" w:space="0" w:color="309CC8" w:themeColor="accent1"/>
              <w:bottom w:val="dotted" w:sz="4" w:space="0" w:color="309CC8" w:themeColor="accent1"/>
            </w:tcBorders>
            <w:vAlign w:val="center"/>
          </w:tcPr>
          <w:p w14:paraId="5A9A8A9A" w14:textId="77777777" w:rsidR="00F06A61" w:rsidRPr="00B94E56" w:rsidRDefault="00F06A61" w:rsidP="006C0ABD">
            <w:pPr>
              <w:spacing w:after="0"/>
              <w:rPr>
                <w:rFonts w:asciiTheme="minorHAnsi" w:hAnsiTheme="minorHAnsi" w:cstheme="minorHAnsi"/>
                <w:b w:val="0"/>
                <w:color w:val="000000" w:themeColor="text1"/>
                <w:sz w:val="20"/>
                <w:szCs w:val="20"/>
              </w:rPr>
            </w:pPr>
            <w:r w:rsidRPr="00B94E56">
              <w:rPr>
                <w:rFonts w:asciiTheme="minorHAnsi" w:hAnsiTheme="minorHAnsi" w:cstheme="minorHAnsi"/>
                <w:b w:val="0"/>
                <w:color w:val="000000" w:themeColor="text1"/>
                <w:sz w:val="20"/>
                <w:szCs w:val="20"/>
              </w:rPr>
              <w:t>Burden of reporting on non-material emissions and energy</w:t>
            </w:r>
          </w:p>
        </w:tc>
        <w:tc>
          <w:tcPr>
            <w:tcW w:w="4924" w:type="dxa"/>
            <w:tcBorders>
              <w:top w:val="dotted" w:sz="4" w:space="0" w:color="309CC8" w:themeColor="accent1"/>
              <w:bottom w:val="dotted" w:sz="4" w:space="0" w:color="309CC8" w:themeColor="accent1"/>
            </w:tcBorders>
            <w:vAlign w:val="center"/>
          </w:tcPr>
          <w:p w14:paraId="75C42283" w14:textId="77777777" w:rsidR="00F06A61" w:rsidRPr="00B94E56" w:rsidRDefault="00F06A61" w:rsidP="006E75C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Australian Aluminium Council</w:t>
            </w:r>
          </w:p>
        </w:tc>
      </w:tr>
      <w:tr w:rsidR="00F06A61" w:rsidRPr="00641779" w14:paraId="56716E95"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7126BF5A"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7687E537"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 xml:space="preserve">Australian Industry Greenhouse Network </w:t>
            </w:r>
          </w:p>
        </w:tc>
      </w:tr>
      <w:tr w:rsidR="00F06A61" w:rsidRPr="00641779" w14:paraId="50E207C9"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58AC30DB"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60DB1C85"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 xml:space="preserve">Australian Petroleum Production &amp; Exploration Association </w:t>
            </w:r>
          </w:p>
        </w:tc>
      </w:tr>
      <w:tr w:rsidR="00F06A61" w:rsidRPr="00641779" w14:paraId="6E685581"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0A519253"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766727A1"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Australian Sugar Milling Council</w:t>
            </w:r>
          </w:p>
        </w:tc>
      </w:tr>
      <w:tr w:rsidR="00F06A61" w:rsidRPr="00641779" w14:paraId="34D8BC46"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33A5262F"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61B69757"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Chamber of Minerals and Energy WA</w:t>
            </w:r>
          </w:p>
        </w:tc>
      </w:tr>
      <w:tr w:rsidR="00F06A61" w:rsidRPr="00641779" w14:paraId="2382EDF3"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79BB90D5"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2BB03F8E"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Chevron</w:t>
            </w:r>
          </w:p>
        </w:tc>
      </w:tr>
      <w:tr w:rsidR="00F06A61" w:rsidRPr="00641779" w14:paraId="479A7CF9"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70EF4211"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25C66842"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Origin</w:t>
            </w:r>
          </w:p>
        </w:tc>
      </w:tr>
      <w:tr w:rsidR="00F06A61" w:rsidRPr="00641779" w14:paraId="06D328C2"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0CB943DD"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3A6D1BE0"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Rio Tinto</w:t>
            </w:r>
          </w:p>
        </w:tc>
      </w:tr>
      <w:tr w:rsidR="00F06A61" w:rsidRPr="00641779" w14:paraId="0CA8576F"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6DCF5FC8"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479A7C88"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Woodside</w:t>
            </w:r>
            <w:r w:rsidR="003B3035" w:rsidRPr="00B94E56">
              <w:rPr>
                <w:rFonts w:asciiTheme="minorHAnsi" w:hAnsiTheme="minorHAnsi" w:cstheme="minorHAnsi"/>
                <w:color w:val="000000" w:themeColor="text1"/>
                <w:sz w:val="20"/>
                <w:szCs w:val="20"/>
              </w:rPr>
              <w:t xml:space="preserve"> Energy</w:t>
            </w:r>
          </w:p>
        </w:tc>
      </w:tr>
      <w:tr w:rsidR="00F06A61" w:rsidRPr="00641779" w14:paraId="027083A2"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val="restart"/>
            <w:tcBorders>
              <w:top w:val="dotted" w:sz="4" w:space="0" w:color="309CC8" w:themeColor="accent1"/>
              <w:bottom w:val="dotted" w:sz="4" w:space="0" w:color="309CC8" w:themeColor="accent1"/>
            </w:tcBorders>
            <w:vAlign w:val="center"/>
          </w:tcPr>
          <w:p w14:paraId="312EF1A0" w14:textId="77777777" w:rsidR="00F06A61" w:rsidRPr="00B94E56" w:rsidRDefault="00F06A61" w:rsidP="006C0ABD">
            <w:pPr>
              <w:spacing w:after="0"/>
              <w:rPr>
                <w:rFonts w:asciiTheme="minorHAnsi" w:hAnsiTheme="minorHAnsi" w:cstheme="minorHAnsi"/>
                <w:b w:val="0"/>
                <w:color w:val="000000" w:themeColor="text1"/>
                <w:sz w:val="20"/>
                <w:szCs w:val="20"/>
              </w:rPr>
            </w:pPr>
            <w:r w:rsidRPr="00B94E56">
              <w:rPr>
                <w:rFonts w:asciiTheme="minorHAnsi" w:hAnsiTheme="minorHAnsi" w:cstheme="minorHAnsi"/>
                <w:b w:val="0"/>
                <w:color w:val="000000" w:themeColor="text1"/>
                <w:sz w:val="20"/>
                <w:szCs w:val="20"/>
              </w:rPr>
              <w:t>Reported emissions from purchased electricity (scope 2) do not reflect business efforts to source low-emissions energy</w:t>
            </w:r>
          </w:p>
        </w:tc>
        <w:tc>
          <w:tcPr>
            <w:tcW w:w="4924" w:type="dxa"/>
            <w:tcBorders>
              <w:top w:val="dotted" w:sz="4" w:space="0" w:color="309CC8" w:themeColor="accent1"/>
              <w:bottom w:val="dotted" w:sz="4" w:space="0" w:color="309CC8" w:themeColor="accent1"/>
            </w:tcBorders>
            <w:vAlign w:val="center"/>
          </w:tcPr>
          <w:p w14:paraId="70F858B8" w14:textId="77777777" w:rsidR="00F06A61" w:rsidRPr="00B94E56" w:rsidRDefault="00F06A61" w:rsidP="006E75C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Centre for Energy and Environmental Markets</w:t>
            </w:r>
            <w:r w:rsidR="001400B5" w:rsidRPr="00B94E56">
              <w:rPr>
                <w:rFonts w:asciiTheme="minorHAnsi" w:hAnsiTheme="minorHAnsi" w:cstheme="minorHAnsi"/>
                <w:color w:val="000000" w:themeColor="text1"/>
                <w:sz w:val="20"/>
                <w:szCs w:val="20"/>
              </w:rPr>
              <w:t>, University of New South Wales</w:t>
            </w:r>
          </w:p>
        </w:tc>
      </w:tr>
      <w:tr w:rsidR="00F06A61" w:rsidRPr="00641779" w14:paraId="336265C4"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317689D6"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2B92A220"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Tim Kelly</w:t>
            </w:r>
          </w:p>
        </w:tc>
      </w:tr>
      <w:tr w:rsidR="00F06A61" w:rsidRPr="00641779" w14:paraId="02843B61"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val="restart"/>
            <w:tcBorders>
              <w:top w:val="dotted" w:sz="4" w:space="0" w:color="309CC8" w:themeColor="accent1"/>
              <w:bottom w:val="dotted" w:sz="4" w:space="0" w:color="309CC8" w:themeColor="accent1"/>
            </w:tcBorders>
            <w:vAlign w:val="center"/>
          </w:tcPr>
          <w:p w14:paraId="60E6D642" w14:textId="77777777" w:rsidR="00F06A61" w:rsidRPr="00B94E56" w:rsidRDefault="00F06A61" w:rsidP="006C0ABD">
            <w:pPr>
              <w:spacing w:after="0"/>
              <w:rPr>
                <w:rFonts w:asciiTheme="minorHAnsi" w:hAnsiTheme="minorHAnsi" w:cstheme="minorHAnsi"/>
                <w:b w:val="0"/>
                <w:color w:val="000000" w:themeColor="text1"/>
                <w:sz w:val="20"/>
                <w:szCs w:val="20"/>
              </w:rPr>
            </w:pPr>
            <w:r w:rsidRPr="00B94E56">
              <w:rPr>
                <w:rFonts w:asciiTheme="minorHAnsi" w:hAnsiTheme="minorHAnsi" w:cstheme="minorHAnsi"/>
                <w:b w:val="0"/>
                <w:color w:val="000000" w:themeColor="text1"/>
                <w:sz w:val="20"/>
                <w:szCs w:val="20"/>
              </w:rPr>
              <w:t>Overly stringent measurement requirements for higher</w:t>
            </w:r>
            <w:r w:rsidR="00B959D4" w:rsidRPr="00B94E56">
              <w:rPr>
                <w:rFonts w:asciiTheme="minorHAnsi" w:hAnsiTheme="minorHAnsi" w:cstheme="minorHAnsi"/>
                <w:b w:val="0"/>
                <w:color w:val="000000" w:themeColor="text1"/>
                <w:sz w:val="20"/>
                <w:szCs w:val="20"/>
              </w:rPr>
              <w:t>-</w:t>
            </w:r>
            <w:r w:rsidRPr="00B94E56">
              <w:rPr>
                <w:rFonts w:asciiTheme="minorHAnsi" w:hAnsiTheme="minorHAnsi" w:cstheme="minorHAnsi"/>
                <w:b w:val="0"/>
                <w:color w:val="000000" w:themeColor="text1"/>
                <w:sz w:val="20"/>
                <w:szCs w:val="20"/>
              </w:rPr>
              <w:t xml:space="preserve">order methods </w:t>
            </w:r>
          </w:p>
        </w:tc>
        <w:tc>
          <w:tcPr>
            <w:tcW w:w="4924" w:type="dxa"/>
            <w:tcBorders>
              <w:top w:val="dotted" w:sz="4" w:space="0" w:color="309CC8" w:themeColor="accent1"/>
              <w:bottom w:val="dotted" w:sz="4" w:space="0" w:color="309CC8" w:themeColor="accent1"/>
            </w:tcBorders>
            <w:vAlign w:val="center"/>
          </w:tcPr>
          <w:p w14:paraId="12B69BD0" w14:textId="77777777" w:rsidR="00F06A61" w:rsidRPr="00B94E56" w:rsidRDefault="00F06A61" w:rsidP="006E75C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Australian Aluminium Council</w:t>
            </w:r>
          </w:p>
        </w:tc>
      </w:tr>
      <w:tr w:rsidR="00F06A61" w:rsidRPr="00641779" w14:paraId="5C07CCE4"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25E6B049"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1E05B545"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Australian Pork Limited</w:t>
            </w:r>
          </w:p>
        </w:tc>
      </w:tr>
      <w:tr w:rsidR="00F06A61" w:rsidRPr="00641779" w14:paraId="3C4770F7"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324C22D7"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2DE16E0B"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Rio Tinto</w:t>
            </w:r>
          </w:p>
        </w:tc>
      </w:tr>
      <w:tr w:rsidR="00F06A61" w:rsidRPr="00641779" w14:paraId="28A35B9A"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1BC58CD3"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04B82D02"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Woodside</w:t>
            </w:r>
            <w:r w:rsidR="003B3035" w:rsidRPr="00B94E56">
              <w:rPr>
                <w:rFonts w:asciiTheme="minorHAnsi" w:hAnsiTheme="minorHAnsi" w:cstheme="minorHAnsi"/>
                <w:color w:val="000000" w:themeColor="text1"/>
                <w:sz w:val="20"/>
                <w:szCs w:val="20"/>
              </w:rPr>
              <w:t xml:space="preserve"> Energy</w:t>
            </w:r>
          </w:p>
        </w:tc>
      </w:tr>
      <w:tr w:rsidR="00F06A61" w:rsidRPr="00641779" w14:paraId="1E74A01B"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val="restart"/>
            <w:tcBorders>
              <w:top w:val="dotted" w:sz="4" w:space="0" w:color="309CC8" w:themeColor="accent1"/>
              <w:bottom w:val="dotted" w:sz="4" w:space="0" w:color="309CC8" w:themeColor="accent1"/>
            </w:tcBorders>
            <w:vAlign w:val="center"/>
          </w:tcPr>
          <w:p w14:paraId="1DFDED6D" w14:textId="77777777" w:rsidR="00F06A61" w:rsidRPr="00B94E56" w:rsidRDefault="00F06A61" w:rsidP="006C0ABD">
            <w:pPr>
              <w:spacing w:after="0"/>
              <w:rPr>
                <w:rFonts w:asciiTheme="minorHAnsi" w:hAnsiTheme="minorHAnsi" w:cstheme="minorHAnsi"/>
                <w:b w:val="0"/>
                <w:color w:val="000000" w:themeColor="text1"/>
                <w:sz w:val="20"/>
                <w:szCs w:val="20"/>
              </w:rPr>
            </w:pPr>
            <w:r w:rsidRPr="00B94E56">
              <w:rPr>
                <w:rFonts w:asciiTheme="minorHAnsi" w:hAnsiTheme="minorHAnsi" w:cstheme="minorHAnsi"/>
                <w:b w:val="0"/>
                <w:color w:val="000000" w:themeColor="text1"/>
                <w:sz w:val="20"/>
                <w:szCs w:val="20"/>
              </w:rPr>
              <w:t xml:space="preserve">Complexity or inflexibility of some aspects (e.g. energy transformation) </w:t>
            </w:r>
          </w:p>
        </w:tc>
        <w:tc>
          <w:tcPr>
            <w:tcW w:w="4924" w:type="dxa"/>
            <w:tcBorders>
              <w:top w:val="dotted" w:sz="4" w:space="0" w:color="309CC8" w:themeColor="accent1"/>
              <w:bottom w:val="dotted" w:sz="4" w:space="0" w:color="309CC8" w:themeColor="accent1"/>
            </w:tcBorders>
            <w:vAlign w:val="center"/>
          </w:tcPr>
          <w:p w14:paraId="318A3734" w14:textId="66ECA106" w:rsidR="00F06A61" w:rsidRPr="00B94E56" w:rsidRDefault="00F06A61" w:rsidP="00A6452F">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 xml:space="preserve">Australian Petroleum Production </w:t>
            </w:r>
            <w:r w:rsidR="00A6452F">
              <w:rPr>
                <w:rFonts w:asciiTheme="minorHAnsi" w:hAnsiTheme="minorHAnsi" w:cstheme="minorHAnsi"/>
                <w:color w:val="000000" w:themeColor="text1"/>
                <w:sz w:val="20"/>
                <w:szCs w:val="20"/>
              </w:rPr>
              <w:t>and</w:t>
            </w:r>
            <w:r w:rsidRPr="00B94E56">
              <w:rPr>
                <w:rFonts w:asciiTheme="minorHAnsi" w:hAnsiTheme="minorHAnsi" w:cstheme="minorHAnsi"/>
                <w:color w:val="000000" w:themeColor="text1"/>
                <w:sz w:val="20"/>
                <w:szCs w:val="20"/>
              </w:rPr>
              <w:t xml:space="preserve"> Exploration Association</w:t>
            </w:r>
          </w:p>
        </w:tc>
      </w:tr>
      <w:tr w:rsidR="00F06A61" w:rsidRPr="00641779" w14:paraId="06DD036C"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7B2EF9F5"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54381727"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Chamber of Energy and Minerals WA</w:t>
            </w:r>
          </w:p>
        </w:tc>
      </w:tr>
      <w:tr w:rsidR="00F06A61" w:rsidRPr="00641779" w14:paraId="5525F2AF"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67D8E7F3"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07474B71"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Greenbase</w:t>
            </w:r>
          </w:p>
        </w:tc>
      </w:tr>
      <w:tr w:rsidR="00F06A61" w:rsidRPr="00641779" w14:paraId="41A4D9AC"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2BDC0C1A"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33C903D5"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Woodside</w:t>
            </w:r>
            <w:r w:rsidR="00DD57C6" w:rsidRPr="00B94E56">
              <w:rPr>
                <w:rFonts w:asciiTheme="minorHAnsi" w:hAnsiTheme="minorHAnsi" w:cstheme="minorHAnsi"/>
                <w:color w:val="000000" w:themeColor="text1"/>
                <w:sz w:val="20"/>
                <w:szCs w:val="20"/>
              </w:rPr>
              <w:t xml:space="preserve"> Energy</w:t>
            </w:r>
          </w:p>
        </w:tc>
      </w:tr>
      <w:tr w:rsidR="00F06A61" w:rsidRPr="00641779" w14:paraId="1C76A1E1"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val="restart"/>
            <w:tcBorders>
              <w:top w:val="dotted" w:sz="4" w:space="0" w:color="309CC8" w:themeColor="accent1"/>
              <w:bottom w:val="dotted" w:sz="4" w:space="0" w:color="309CC8" w:themeColor="accent1"/>
            </w:tcBorders>
            <w:vAlign w:val="center"/>
          </w:tcPr>
          <w:p w14:paraId="6C3F6669" w14:textId="77777777" w:rsidR="00F06A61" w:rsidRPr="00B94E56" w:rsidRDefault="00F06A61" w:rsidP="006C0ABD">
            <w:pPr>
              <w:spacing w:after="0"/>
              <w:rPr>
                <w:rFonts w:asciiTheme="minorHAnsi" w:hAnsiTheme="minorHAnsi" w:cstheme="minorHAnsi"/>
                <w:b w:val="0"/>
                <w:color w:val="000000" w:themeColor="text1"/>
                <w:sz w:val="20"/>
                <w:szCs w:val="20"/>
              </w:rPr>
            </w:pPr>
            <w:r w:rsidRPr="00B94E56">
              <w:rPr>
                <w:rFonts w:asciiTheme="minorHAnsi" w:hAnsiTheme="minorHAnsi" w:cstheme="minorHAnsi"/>
                <w:b w:val="0"/>
                <w:color w:val="000000" w:themeColor="text1"/>
                <w:sz w:val="20"/>
                <w:szCs w:val="20"/>
              </w:rPr>
              <w:t>Sector</w:t>
            </w:r>
            <w:r w:rsidR="00B959D4" w:rsidRPr="00B94E56">
              <w:rPr>
                <w:rFonts w:asciiTheme="minorHAnsi" w:hAnsiTheme="minorHAnsi" w:cstheme="minorHAnsi"/>
                <w:b w:val="0"/>
                <w:color w:val="000000" w:themeColor="text1"/>
                <w:sz w:val="20"/>
                <w:szCs w:val="20"/>
              </w:rPr>
              <w:t>-</w:t>
            </w:r>
            <w:r w:rsidRPr="00B94E56">
              <w:rPr>
                <w:rFonts w:asciiTheme="minorHAnsi" w:hAnsiTheme="minorHAnsi" w:cstheme="minorHAnsi"/>
                <w:b w:val="0"/>
                <w:color w:val="000000" w:themeColor="text1"/>
                <w:sz w:val="20"/>
                <w:szCs w:val="20"/>
              </w:rPr>
              <w:t>specific issues</w:t>
            </w:r>
          </w:p>
        </w:tc>
        <w:tc>
          <w:tcPr>
            <w:tcW w:w="4924" w:type="dxa"/>
            <w:tcBorders>
              <w:top w:val="dotted" w:sz="4" w:space="0" w:color="309CC8" w:themeColor="accent1"/>
              <w:bottom w:val="dotted" w:sz="4" w:space="0" w:color="309CC8" w:themeColor="accent1"/>
            </w:tcBorders>
            <w:vAlign w:val="center"/>
          </w:tcPr>
          <w:p w14:paraId="5748BC8F" w14:textId="77777777" w:rsidR="00F06A61" w:rsidRPr="00B94E56" w:rsidRDefault="00F06A61" w:rsidP="006E75C1">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AGL</w:t>
            </w:r>
          </w:p>
        </w:tc>
      </w:tr>
      <w:tr w:rsidR="00F06A61" w:rsidRPr="00641779" w14:paraId="3B7CD4AB"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0E2CE5BF"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6B767BEB"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Australian Sugar Milling Council</w:t>
            </w:r>
          </w:p>
        </w:tc>
      </w:tr>
      <w:tr w:rsidR="00F06A61" w:rsidRPr="00641779" w14:paraId="6EAAB402"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3EF765FC"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3410416D"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Chartered Accountants Australia New Zealand</w:t>
            </w:r>
          </w:p>
        </w:tc>
      </w:tr>
      <w:tr w:rsidR="00F06A61" w:rsidRPr="00641779" w14:paraId="7C5C97AF"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25C8A086"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1CC2E875"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National Australia Bank</w:t>
            </w:r>
          </w:p>
        </w:tc>
      </w:tr>
      <w:tr w:rsidR="00F06A61" w:rsidRPr="00641779" w14:paraId="7A622CB3"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073403D9"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71844544"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National Waste and Recycling Industry Council</w:t>
            </w:r>
          </w:p>
        </w:tc>
      </w:tr>
      <w:tr w:rsidR="00F06A61" w:rsidRPr="00641779" w14:paraId="0A73FB9F" w14:textId="77777777" w:rsidTr="00D80295">
        <w:trPr>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2359B78E"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43E3850C" w14:textId="77777777" w:rsidR="00F06A61" w:rsidRPr="00B94E56" w:rsidRDefault="00F06A61" w:rsidP="0061528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Tim Kelly</w:t>
            </w:r>
          </w:p>
        </w:tc>
      </w:tr>
      <w:tr w:rsidR="00F06A61" w:rsidRPr="00641779" w14:paraId="09306390" w14:textId="77777777" w:rsidTr="00D8029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78" w:type="dxa"/>
            <w:vMerge/>
            <w:tcBorders>
              <w:top w:val="dotted" w:sz="4" w:space="0" w:color="309CC8" w:themeColor="accent1"/>
              <w:bottom w:val="dotted" w:sz="4" w:space="0" w:color="309CC8" w:themeColor="accent1"/>
            </w:tcBorders>
            <w:vAlign w:val="center"/>
          </w:tcPr>
          <w:p w14:paraId="1E88C992" w14:textId="77777777" w:rsidR="00F06A61" w:rsidRPr="00B94E56" w:rsidRDefault="00F06A61" w:rsidP="0061528E">
            <w:pPr>
              <w:spacing w:after="0"/>
              <w:rPr>
                <w:rFonts w:asciiTheme="minorHAnsi" w:hAnsiTheme="minorHAnsi" w:cstheme="minorHAnsi"/>
                <w:b w:val="0"/>
                <w:color w:val="000000" w:themeColor="text1"/>
                <w:sz w:val="20"/>
                <w:szCs w:val="20"/>
              </w:rPr>
            </w:pPr>
          </w:p>
        </w:tc>
        <w:tc>
          <w:tcPr>
            <w:tcW w:w="4924" w:type="dxa"/>
            <w:tcBorders>
              <w:top w:val="dotted" w:sz="4" w:space="0" w:color="309CC8" w:themeColor="accent1"/>
              <w:bottom w:val="dotted" w:sz="4" w:space="0" w:color="309CC8" w:themeColor="accent1"/>
            </w:tcBorders>
            <w:vAlign w:val="center"/>
          </w:tcPr>
          <w:p w14:paraId="00A9B278" w14:textId="77777777" w:rsidR="00F06A61" w:rsidRPr="00B94E56" w:rsidRDefault="00F06A61" w:rsidP="0061528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94E56">
              <w:rPr>
                <w:rFonts w:asciiTheme="minorHAnsi" w:hAnsiTheme="minorHAnsi" w:cstheme="minorHAnsi"/>
                <w:color w:val="000000" w:themeColor="text1"/>
                <w:sz w:val="20"/>
                <w:szCs w:val="20"/>
              </w:rPr>
              <w:t>Woodside</w:t>
            </w:r>
            <w:r w:rsidR="00DD57C6" w:rsidRPr="00B94E56">
              <w:rPr>
                <w:rFonts w:asciiTheme="minorHAnsi" w:hAnsiTheme="minorHAnsi" w:cstheme="minorHAnsi"/>
                <w:color w:val="000000" w:themeColor="text1"/>
                <w:sz w:val="20"/>
                <w:szCs w:val="20"/>
              </w:rPr>
              <w:t xml:space="preserve"> Energy</w:t>
            </w:r>
          </w:p>
        </w:tc>
      </w:tr>
    </w:tbl>
    <w:p w14:paraId="2068471C" w14:textId="77777777" w:rsidR="00F06A61" w:rsidRPr="00641779" w:rsidRDefault="00F06A61" w:rsidP="00F06A61">
      <w:pPr>
        <w:rPr>
          <w:rFonts w:eastAsia="Arial"/>
        </w:rPr>
      </w:pPr>
    </w:p>
    <w:p w14:paraId="5B7CBA33" w14:textId="77777777" w:rsidR="00F06A61" w:rsidRPr="007161D3" w:rsidRDefault="00F06A61" w:rsidP="007161D3">
      <w:pPr>
        <w:spacing w:after="200" w:line="276" w:lineRule="auto"/>
        <w:rPr>
          <w:rFonts w:eastAsia="Calibri" w:cs="Times New Roman"/>
          <w:color w:val="auto"/>
        </w:rPr>
      </w:pPr>
    </w:p>
    <w:p w14:paraId="5B00217C" w14:textId="77777777" w:rsidR="00F84F58" w:rsidRPr="007161D3" w:rsidRDefault="00F84F58">
      <w:pPr>
        <w:spacing w:after="200" w:line="276" w:lineRule="auto"/>
        <w:rPr>
          <w:rFonts w:asciiTheme="minorHAnsi" w:hAnsiTheme="minorHAnsi" w:cstheme="minorHAnsi"/>
          <w:sz w:val="21"/>
          <w:szCs w:val="21"/>
        </w:rPr>
        <w:sectPr w:rsidR="00F84F58" w:rsidRPr="007161D3" w:rsidSect="00041493">
          <w:pgSz w:w="11907" w:h="16840" w:code="9"/>
          <w:pgMar w:top="1418" w:right="1077" w:bottom="851" w:left="1077" w:header="850" w:footer="720" w:gutter="0"/>
          <w:pgNumType w:chapStyle="1" w:chapSep="emDash"/>
          <w:cols w:space="720"/>
          <w:docGrid w:linePitch="360"/>
        </w:sectPr>
      </w:pPr>
    </w:p>
    <w:p w14:paraId="5D8BF324" w14:textId="78086DBD" w:rsidR="00F06A61" w:rsidRDefault="00F06A61" w:rsidP="00F06A61">
      <w:pPr>
        <w:pStyle w:val="CCAheading1nonumber"/>
      </w:pPr>
      <w:bookmarkStart w:id="1020" w:name="_Toc531095600"/>
      <w:bookmarkStart w:id="1021" w:name="_Toc531099366"/>
      <w:bookmarkStart w:id="1022" w:name="_Toc531101775"/>
      <w:bookmarkStart w:id="1023" w:name="_Toc519166203"/>
      <w:bookmarkStart w:id="1024" w:name="_Toc519240570"/>
      <w:bookmarkStart w:id="1025" w:name="_Toc519240698"/>
      <w:bookmarkStart w:id="1026" w:name="_Toc520448602"/>
      <w:bookmarkStart w:id="1027" w:name="_Toc520455278"/>
      <w:bookmarkStart w:id="1028" w:name="_Toc520459077"/>
      <w:bookmarkStart w:id="1029" w:name="_Toc520459471"/>
      <w:bookmarkStart w:id="1030" w:name="_Toc520458599"/>
      <w:bookmarkStart w:id="1031" w:name="_Toc520459553"/>
      <w:bookmarkStart w:id="1032" w:name="_Toc520461469"/>
      <w:bookmarkStart w:id="1033" w:name="_Toc520461831"/>
      <w:bookmarkStart w:id="1034" w:name="_Toc520466859"/>
      <w:bookmarkStart w:id="1035" w:name="_Toc520469896"/>
      <w:bookmarkStart w:id="1036" w:name="_Toc520705354"/>
      <w:bookmarkStart w:id="1037" w:name="_Toc520707718"/>
      <w:bookmarkStart w:id="1038" w:name="_Toc520716734"/>
      <w:bookmarkStart w:id="1039" w:name="_Toc520720380"/>
      <w:bookmarkStart w:id="1040" w:name="_Toc520721631"/>
      <w:bookmarkStart w:id="1041" w:name="_Toc520724164"/>
      <w:bookmarkStart w:id="1042" w:name="_Toc520735269"/>
      <w:bookmarkStart w:id="1043" w:name="_Toc520736302"/>
      <w:bookmarkStart w:id="1044" w:name="_Toc520736721"/>
      <w:bookmarkStart w:id="1045" w:name="_Toc531095594"/>
      <w:bookmarkStart w:id="1046" w:name="_Toc531099360"/>
      <w:bookmarkStart w:id="1047" w:name="_Toc531101769"/>
      <w:bookmarkStart w:id="1048" w:name="_Toc531764043"/>
      <w:bookmarkStart w:id="1049" w:name="_Toc532912135"/>
      <w:bookmarkStart w:id="1050" w:name="_Toc532914977"/>
      <w:bookmarkEnd w:id="1020"/>
      <w:bookmarkEnd w:id="1021"/>
      <w:bookmarkEnd w:id="1022"/>
      <w:r>
        <w:t>Glossary of terms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tbl>
      <w:tblPr>
        <w:tblStyle w:val="ListTable3-Accent21"/>
        <w:tblW w:w="0" w:type="auto"/>
        <w:tblBorders>
          <w:top w:val="none" w:sz="0" w:space="0" w:color="auto"/>
          <w:left w:val="none" w:sz="0" w:space="0" w:color="auto"/>
          <w:bottom w:val="none" w:sz="0" w:space="0" w:color="auto"/>
          <w:right w:val="none" w:sz="0" w:space="0" w:color="auto"/>
          <w:insideH w:val="dotted" w:sz="4" w:space="0" w:color="309CC8" w:themeColor="accent3"/>
        </w:tblBorders>
        <w:tblLook w:val="04A0" w:firstRow="1" w:lastRow="0" w:firstColumn="1" w:lastColumn="0" w:noHBand="0" w:noVBand="1"/>
      </w:tblPr>
      <w:tblGrid>
        <w:gridCol w:w="2689"/>
        <w:gridCol w:w="6513"/>
      </w:tblGrid>
      <w:tr w:rsidR="00F06A61" w:rsidRPr="00257416" w14:paraId="5889A5A6" w14:textId="77777777" w:rsidTr="006E75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5CFBA3E3" w14:textId="77777777" w:rsidR="00F06A61" w:rsidRPr="00257416" w:rsidRDefault="00F06A61" w:rsidP="00CC796F">
            <w:pPr>
              <w:spacing w:before="40" w:after="40"/>
              <w:rPr>
                <w:color w:val="FFFFFF" w:themeColor="background1"/>
                <w:sz w:val="20"/>
                <w:szCs w:val="20"/>
              </w:rPr>
            </w:pPr>
            <w:r w:rsidRPr="00257416">
              <w:rPr>
                <w:color w:val="FFFFFF" w:themeColor="background1"/>
                <w:sz w:val="20"/>
                <w:szCs w:val="20"/>
              </w:rPr>
              <w:t>Term</w:t>
            </w:r>
          </w:p>
        </w:tc>
        <w:tc>
          <w:tcPr>
            <w:tcW w:w="6513" w:type="dxa"/>
          </w:tcPr>
          <w:p w14:paraId="3CCB2650" w14:textId="1AED049C" w:rsidR="00F06A61" w:rsidRPr="00257416" w:rsidRDefault="00F06A61" w:rsidP="00257416">
            <w:pPr>
              <w:spacing w:before="40" w:after="4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57416">
              <w:rPr>
                <w:color w:val="FFFFFF" w:themeColor="background1"/>
                <w:sz w:val="20"/>
                <w:szCs w:val="20"/>
              </w:rPr>
              <w:t xml:space="preserve">Definition </w:t>
            </w:r>
          </w:p>
        </w:tc>
      </w:tr>
      <w:tr w:rsidR="00F06A61" w:rsidRPr="00257416" w14:paraId="79120E23"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3A4C24C" w14:textId="77777777" w:rsidR="00F06A61" w:rsidRPr="00257416" w:rsidRDefault="00F06A61" w:rsidP="00CC796F">
            <w:pPr>
              <w:spacing w:before="40" w:after="40"/>
              <w:rPr>
                <w:b w:val="0"/>
                <w:sz w:val="20"/>
                <w:szCs w:val="20"/>
              </w:rPr>
            </w:pPr>
            <w:r w:rsidRPr="00257416">
              <w:rPr>
                <w:b w:val="0"/>
                <w:sz w:val="20"/>
                <w:szCs w:val="20"/>
              </w:rPr>
              <w:t>audit framework</w:t>
            </w:r>
          </w:p>
        </w:tc>
        <w:tc>
          <w:tcPr>
            <w:tcW w:w="6513" w:type="dxa"/>
            <w:shd w:val="clear" w:color="auto" w:fill="auto"/>
          </w:tcPr>
          <w:p w14:paraId="52BEB427"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The set of rules that govern how greenhouse and energy auditors and audits are managed, including the qualifications auditors are required to hold and maintain.</w:t>
            </w:r>
          </w:p>
        </w:tc>
      </w:tr>
      <w:tr w:rsidR="00F06A61" w:rsidRPr="00257416" w14:paraId="36153438"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44B549FA" w14:textId="77777777" w:rsidR="00F06A61" w:rsidRPr="00257416" w:rsidRDefault="00F06A61" w:rsidP="00CC796F">
            <w:pPr>
              <w:spacing w:before="40" w:after="40"/>
              <w:rPr>
                <w:b w:val="0"/>
                <w:sz w:val="20"/>
                <w:szCs w:val="20"/>
              </w:rPr>
            </w:pPr>
            <w:r w:rsidRPr="00257416">
              <w:rPr>
                <w:b w:val="0"/>
                <w:sz w:val="20"/>
                <w:szCs w:val="20"/>
              </w:rPr>
              <w:t>Australian Carbon Credit Unit (ACCU)</w:t>
            </w:r>
          </w:p>
        </w:tc>
        <w:tc>
          <w:tcPr>
            <w:tcW w:w="6513" w:type="dxa"/>
            <w:shd w:val="clear" w:color="auto" w:fill="auto"/>
          </w:tcPr>
          <w:p w14:paraId="79E3DFFF" w14:textId="77777777" w:rsidR="00F06A61" w:rsidRPr="00257416" w:rsidRDefault="00F06A61" w:rsidP="007803D8">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 xml:space="preserve">A unit issued for </w:t>
            </w:r>
            <w:r w:rsidRPr="00257416" w:rsidDel="00B97FC9">
              <w:rPr>
                <w:sz w:val="20"/>
                <w:szCs w:val="20"/>
              </w:rPr>
              <w:t xml:space="preserve">verified </w:t>
            </w:r>
            <w:r w:rsidRPr="00257416">
              <w:rPr>
                <w:sz w:val="20"/>
                <w:szCs w:val="20"/>
              </w:rPr>
              <w:t xml:space="preserve">emissions reductions under the Emissions Reduction Fund. One </w:t>
            </w:r>
            <w:r w:rsidR="007803D8" w:rsidRPr="00257416">
              <w:rPr>
                <w:sz w:val="20"/>
                <w:szCs w:val="20"/>
              </w:rPr>
              <w:t>unit</w:t>
            </w:r>
            <w:r w:rsidRPr="00257416">
              <w:rPr>
                <w:sz w:val="20"/>
                <w:szCs w:val="20"/>
              </w:rPr>
              <w:t xml:space="preserve"> is equivalent to a reduction of 1 t CO</w:t>
            </w:r>
            <w:r w:rsidRPr="00257416">
              <w:rPr>
                <w:sz w:val="20"/>
                <w:szCs w:val="20"/>
                <w:vertAlign w:val="subscript"/>
              </w:rPr>
              <w:t>2</w:t>
            </w:r>
            <w:r w:rsidRPr="00257416">
              <w:rPr>
                <w:sz w:val="20"/>
                <w:szCs w:val="20"/>
              </w:rPr>
              <w:t>-e.</w:t>
            </w:r>
          </w:p>
        </w:tc>
      </w:tr>
      <w:tr w:rsidR="00A51FE3" w:rsidRPr="00257416" w14:paraId="42A0D598"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681287A" w14:textId="77777777" w:rsidR="00A51FE3" w:rsidRPr="00257416" w:rsidRDefault="00A51FE3" w:rsidP="00A51FE3">
            <w:pPr>
              <w:spacing w:before="40" w:after="40"/>
              <w:rPr>
                <w:b w:val="0"/>
                <w:sz w:val="20"/>
                <w:szCs w:val="20"/>
              </w:rPr>
            </w:pPr>
            <w:r w:rsidRPr="00257416">
              <w:rPr>
                <w:b w:val="0"/>
                <w:sz w:val="20"/>
                <w:szCs w:val="20"/>
              </w:rPr>
              <w:t>baseline (safeguard)</w:t>
            </w:r>
          </w:p>
        </w:tc>
        <w:tc>
          <w:tcPr>
            <w:tcW w:w="6513" w:type="dxa"/>
            <w:shd w:val="clear" w:color="auto" w:fill="auto"/>
          </w:tcPr>
          <w:p w14:paraId="03FAABE3" w14:textId="77777777" w:rsidR="00A51FE3" w:rsidRPr="00257416" w:rsidRDefault="00A51FE3" w:rsidP="007803D8">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See safeguard baseline</w:t>
            </w:r>
            <w:r w:rsidR="00130217" w:rsidRPr="00257416">
              <w:rPr>
                <w:sz w:val="20"/>
                <w:szCs w:val="20"/>
              </w:rPr>
              <w:t>.</w:t>
            </w:r>
          </w:p>
        </w:tc>
      </w:tr>
      <w:tr w:rsidR="00D6360C" w:rsidRPr="00257416" w14:paraId="6A289D17"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150929A" w14:textId="75E84C07" w:rsidR="00D6360C" w:rsidRPr="00257416" w:rsidRDefault="00D6360C" w:rsidP="00D6360C">
            <w:pPr>
              <w:spacing w:before="40" w:after="40"/>
              <w:rPr>
                <w:b w:val="0"/>
                <w:sz w:val="20"/>
                <w:szCs w:val="20"/>
              </w:rPr>
            </w:pPr>
            <w:r>
              <w:rPr>
                <w:b w:val="0"/>
                <w:sz w:val="20"/>
                <w:szCs w:val="20"/>
              </w:rPr>
              <w:t>constitutional corporation</w:t>
            </w:r>
          </w:p>
        </w:tc>
        <w:tc>
          <w:tcPr>
            <w:tcW w:w="6513" w:type="dxa"/>
            <w:shd w:val="clear" w:color="auto" w:fill="auto"/>
          </w:tcPr>
          <w:p w14:paraId="7B14DB29" w14:textId="560A42EC" w:rsidR="00D6360C" w:rsidRPr="00257416" w:rsidRDefault="00A91F94" w:rsidP="007803D8">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rPr>
              <w:t>A corporation as defined in the Australian Constitution</w:t>
            </w:r>
            <w:r w:rsidR="00725754">
              <w:rPr>
                <w:sz w:val="20"/>
              </w:rPr>
              <w:t>: ‘</w:t>
            </w:r>
            <w:r w:rsidR="00725754" w:rsidRPr="007D6975">
              <w:rPr>
                <w:color w:val="000000"/>
                <w:sz w:val="20"/>
                <w:shd w:val="clear" w:color="auto" w:fill="FFFFFF"/>
              </w:rPr>
              <w:t>foreign corporations, and trading or financial corporations formed within the limits of the Commonwealth</w:t>
            </w:r>
            <w:r w:rsidR="00725754">
              <w:rPr>
                <w:color w:val="000000"/>
                <w:sz w:val="20"/>
                <w:shd w:val="clear" w:color="auto" w:fill="FFFFFF"/>
              </w:rPr>
              <w:t>’</w:t>
            </w:r>
          </w:p>
        </w:tc>
      </w:tr>
      <w:tr w:rsidR="00F06A61" w:rsidRPr="00257416" w14:paraId="048312A9"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F2EEF8D" w14:textId="77777777" w:rsidR="00F06A61" w:rsidRPr="00257416" w:rsidRDefault="00F06A61" w:rsidP="00CC796F">
            <w:pPr>
              <w:spacing w:before="40" w:after="40"/>
              <w:rPr>
                <w:b w:val="0"/>
                <w:sz w:val="20"/>
                <w:szCs w:val="20"/>
              </w:rPr>
            </w:pPr>
            <w:r w:rsidRPr="00257416">
              <w:rPr>
                <w:b w:val="0"/>
                <w:sz w:val="20"/>
                <w:szCs w:val="20"/>
              </w:rPr>
              <w:t>controlling corporation</w:t>
            </w:r>
          </w:p>
        </w:tc>
        <w:tc>
          <w:tcPr>
            <w:tcW w:w="6513" w:type="dxa"/>
            <w:shd w:val="clear" w:color="auto" w:fill="auto"/>
          </w:tcPr>
          <w:p w14:paraId="36A8CB11"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 xml:space="preserve">A </w:t>
            </w:r>
            <w:r w:rsidR="00184249" w:rsidRPr="00257416">
              <w:rPr>
                <w:sz w:val="20"/>
                <w:szCs w:val="20"/>
              </w:rPr>
              <w:t xml:space="preserve">company </w:t>
            </w:r>
            <w:r w:rsidRPr="00257416">
              <w:rPr>
                <w:sz w:val="20"/>
                <w:szCs w:val="20"/>
              </w:rPr>
              <w:t>usually at the top of the corporate hierarchy that does not have a holding company incorporated in Australia. Reporting obligations under the National Greenhouse and Energy Reporting legislation apply to controlling corporations.</w:t>
            </w:r>
          </w:p>
        </w:tc>
      </w:tr>
      <w:tr w:rsidR="00F06A61" w:rsidRPr="00257416" w14:paraId="3DDC058F"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36F9BD0" w14:textId="77777777" w:rsidR="00F06A61" w:rsidRPr="00257416" w:rsidRDefault="00F06A61" w:rsidP="00CC796F">
            <w:pPr>
              <w:spacing w:before="40" w:after="40"/>
              <w:rPr>
                <w:b w:val="0"/>
                <w:sz w:val="20"/>
                <w:szCs w:val="20"/>
              </w:rPr>
            </w:pPr>
            <w:r w:rsidRPr="00257416">
              <w:rPr>
                <w:b w:val="0"/>
                <w:sz w:val="20"/>
                <w:szCs w:val="20"/>
              </w:rPr>
              <w:t xml:space="preserve">covered emissions </w:t>
            </w:r>
          </w:p>
          <w:p w14:paraId="5BB939CD" w14:textId="77777777" w:rsidR="00F06A61" w:rsidRPr="00257416" w:rsidRDefault="00F06A61" w:rsidP="00CC796F">
            <w:pPr>
              <w:spacing w:before="40" w:after="40"/>
              <w:rPr>
                <w:b w:val="0"/>
                <w:sz w:val="20"/>
                <w:szCs w:val="20"/>
              </w:rPr>
            </w:pPr>
            <w:r w:rsidRPr="00257416">
              <w:rPr>
                <w:b w:val="0"/>
                <w:sz w:val="20"/>
                <w:szCs w:val="20"/>
              </w:rPr>
              <w:t>(safeguard)</w:t>
            </w:r>
          </w:p>
        </w:tc>
        <w:tc>
          <w:tcPr>
            <w:tcW w:w="6513" w:type="dxa"/>
            <w:shd w:val="clear" w:color="auto" w:fill="auto"/>
          </w:tcPr>
          <w:p w14:paraId="6BEB5300"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Covered emissions for the purpose of meeting the safeguard threshold are scope 1 emissions (excluding emissions from: landfill waste deposited before 1 July 2016</w:t>
            </w:r>
            <w:r w:rsidR="00130217" w:rsidRPr="00257416">
              <w:rPr>
                <w:sz w:val="20"/>
                <w:szCs w:val="20"/>
              </w:rPr>
              <w:t>;</w:t>
            </w:r>
            <w:r w:rsidRPr="00257416">
              <w:rPr>
                <w:sz w:val="20"/>
                <w:szCs w:val="20"/>
              </w:rPr>
              <w:t xml:space="preserve"> electricity generators covered by the electricity sectoral baseline; and the Greater Sunrise or Joint Petroleum Development Area).</w:t>
            </w:r>
          </w:p>
        </w:tc>
      </w:tr>
      <w:tr w:rsidR="00F06A61" w:rsidRPr="00257416" w14:paraId="5DAAC85A"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CCE21C8" w14:textId="77777777" w:rsidR="00F06A61" w:rsidRPr="00257416" w:rsidRDefault="00F06A61" w:rsidP="00CC796F">
            <w:pPr>
              <w:spacing w:before="40" w:after="40"/>
              <w:rPr>
                <w:b w:val="0"/>
                <w:sz w:val="20"/>
                <w:szCs w:val="20"/>
              </w:rPr>
            </w:pPr>
            <w:r w:rsidRPr="00257416">
              <w:rPr>
                <w:b w:val="0"/>
                <w:sz w:val="20"/>
                <w:szCs w:val="20"/>
              </w:rPr>
              <w:t>corporate group</w:t>
            </w:r>
          </w:p>
        </w:tc>
        <w:tc>
          <w:tcPr>
            <w:tcW w:w="6513" w:type="dxa"/>
            <w:shd w:val="clear" w:color="auto" w:fill="auto"/>
          </w:tcPr>
          <w:p w14:paraId="4AF2BF89"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A corporate group is a group of companies owned or operated by a single controlling corporation. It may consist of a controlling corporation only or it may include several associated subsidiary companies with National Greenhouse and Energy Reporting obligations.</w:t>
            </w:r>
          </w:p>
        </w:tc>
      </w:tr>
      <w:tr w:rsidR="000B4649" w:rsidRPr="00257416" w14:paraId="15989CDD"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7BD51FE0" w14:textId="77777777" w:rsidR="000B4649" w:rsidRPr="00257416" w:rsidRDefault="00DC0D74" w:rsidP="00CC796F">
            <w:pPr>
              <w:spacing w:before="40" w:after="40"/>
              <w:rPr>
                <w:b w:val="0"/>
                <w:sz w:val="20"/>
                <w:szCs w:val="20"/>
              </w:rPr>
            </w:pPr>
            <w:r w:rsidRPr="00257416">
              <w:rPr>
                <w:b w:val="0"/>
                <w:sz w:val="20"/>
                <w:szCs w:val="20"/>
              </w:rPr>
              <w:t>Chlorofluorocarbons (</w:t>
            </w:r>
            <w:r w:rsidR="000B4649" w:rsidRPr="00257416">
              <w:rPr>
                <w:b w:val="0"/>
                <w:sz w:val="20"/>
                <w:szCs w:val="20"/>
              </w:rPr>
              <w:t>CFC</w:t>
            </w:r>
            <w:r w:rsidRPr="00257416">
              <w:rPr>
                <w:b w:val="0"/>
                <w:sz w:val="20"/>
                <w:szCs w:val="20"/>
              </w:rPr>
              <w:t>s)</w:t>
            </w:r>
          </w:p>
        </w:tc>
        <w:tc>
          <w:tcPr>
            <w:tcW w:w="6513" w:type="dxa"/>
            <w:shd w:val="clear" w:color="auto" w:fill="auto"/>
          </w:tcPr>
          <w:p w14:paraId="3A34C5E4" w14:textId="77777777" w:rsidR="000B4649" w:rsidRPr="00257416" w:rsidRDefault="00671E44"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 xml:space="preserve">Synthetic greenhouse gases with </w:t>
            </w:r>
            <w:r w:rsidR="0017493C" w:rsidRPr="00257416">
              <w:rPr>
                <w:sz w:val="20"/>
                <w:szCs w:val="20"/>
              </w:rPr>
              <w:t xml:space="preserve">very </w:t>
            </w:r>
            <w:r w:rsidRPr="00257416">
              <w:rPr>
                <w:sz w:val="20"/>
                <w:szCs w:val="20"/>
              </w:rPr>
              <w:t>high global warming potentials.</w:t>
            </w:r>
          </w:p>
        </w:tc>
      </w:tr>
      <w:tr w:rsidR="00814927" w:rsidRPr="00257416" w14:paraId="13A4D369"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AC68661" w14:textId="77777777" w:rsidR="00814927" w:rsidRPr="00257416" w:rsidRDefault="00814927" w:rsidP="00CC796F">
            <w:pPr>
              <w:spacing w:before="40" w:after="40"/>
              <w:rPr>
                <w:b w:val="0"/>
                <w:sz w:val="20"/>
                <w:szCs w:val="20"/>
              </w:rPr>
            </w:pPr>
            <w:r w:rsidRPr="00257416">
              <w:rPr>
                <w:b w:val="0"/>
                <w:sz w:val="20"/>
                <w:szCs w:val="20"/>
              </w:rPr>
              <w:t>designated electricity</w:t>
            </w:r>
            <w:r w:rsidR="00C471ED" w:rsidRPr="00257416">
              <w:rPr>
                <w:b w:val="0"/>
                <w:sz w:val="20"/>
                <w:szCs w:val="20"/>
              </w:rPr>
              <w:t>-</w:t>
            </w:r>
            <w:r w:rsidRPr="00257416">
              <w:rPr>
                <w:b w:val="0"/>
                <w:sz w:val="20"/>
                <w:szCs w:val="20"/>
              </w:rPr>
              <w:t>generation facilities</w:t>
            </w:r>
          </w:p>
        </w:tc>
        <w:tc>
          <w:tcPr>
            <w:tcW w:w="6513" w:type="dxa"/>
            <w:shd w:val="clear" w:color="auto" w:fill="auto"/>
          </w:tcPr>
          <w:p w14:paraId="4D1E04A4" w14:textId="77777777" w:rsidR="00814927" w:rsidRPr="00257416" w:rsidRDefault="00DB31B9" w:rsidP="00DB31B9">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A facility where the princip</w:t>
            </w:r>
            <w:r w:rsidR="0023341F" w:rsidRPr="00257416">
              <w:rPr>
                <w:sz w:val="20"/>
                <w:szCs w:val="20"/>
              </w:rPr>
              <w:t>al</w:t>
            </w:r>
            <w:r w:rsidRPr="00257416">
              <w:rPr>
                <w:sz w:val="20"/>
                <w:szCs w:val="20"/>
              </w:rPr>
              <w:t xml:space="preserve"> activity is electricity production. Facilities that generate electricity for their own use or as a secondary activity are not considered a designated generation facility.</w:t>
            </w:r>
          </w:p>
        </w:tc>
      </w:tr>
      <w:tr w:rsidR="00814927" w:rsidRPr="00257416" w14:paraId="6EF3A4C5"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54F0FBA" w14:textId="77777777" w:rsidR="00814927" w:rsidRPr="00257416" w:rsidRDefault="00814927" w:rsidP="00CC796F">
            <w:pPr>
              <w:spacing w:before="40" w:after="40"/>
              <w:rPr>
                <w:b w:val="0"/>
                <w:sz w:val="20"/>
                <w:szCs w:val="20"/>
              </w:rPr>
            </w:pPr>
            <w:r w:rsidRPr="00257416">
              <w:rPr>
                <w:b w:val="0"/>
                <w:sz w:val="20"/>
                <w:szCs w:val="20"/>
              </w:rPr>
              <w:t>emissions intensit</w:t>
            </w:r>
            <w:r w:rsidR="00A51FE3" w:rsidRPr="00257416">
              <w:rPr>
                <w:b w:val="0"/>
                <w:sz w:val="20"/>
                <w:szCs w:val="20"/>
              </w:rPr>
              <w:t>y</w:t>
            </w:r>
          </w:p>
        </w:tc>
        <w:tc>
          <w:tcPr>
            <w:tcW w:w="6513" w:type="dxa"/>
            <w:shd w:val="clear" w:color="auto" w:fill="auto"/>
          </w:tcPr>
          <w:p w14:paraId="351B2F55" w14:textId="5B903EE5" w:rsidR="00814927" w:rsidRPr="00257416" w:rsidRDefault="00DB31B9" w:rsidP="00D6360C">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A measure of the amount of emissions associated with a unit of output; for example, emissions per unit of gross domestic product or production.</w:t>
            </w:r>
          </w:p>
        </w:tc>
      </w:tr>
      <w:tr w:rsidR="00DB31B9" w:rsidRPr="00257416" w14:paraId="06829ED1"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405120E" w14:textId="77777777" w:rsidR="00DB31B9" w:rsidRPr="00257416" w:rsidRDefault="00A51FE3" w:rsidP="00CC796F">
            <w:pPr>
              <w:spacing w:before="40" w:after="40"/>
              <w:rPr>
                <w:b w:val="0"/>
                <w:sz w:val="20"/>
                <w:szCs w:val="20"/>
              </w:rPr>
            </w:pPr>
            <w:r w:rsidRPr="00257416">
              <w:rPr>
                <w:b w:val="0"/>
                <w:sz w:val="20"/>
                <w:szCs w:val="20"/>
              </w:rPr>
              <w:t>e</w:t>
            </w:r>
            <w:r w:rsidR="00DB31B9" w:rsidRPr="00257416">
              <w:rPr>
                <w:b w:val="0"/>
                <w:sz w:val="20"/>
                <w:szCs w:val="20"/>
              </w:rPr>
              <w:t>missions intensity scheme</w:t>
            </w:r>
          </w:p>
        </w:tc>
        <w:tc>
          <w:tcPr>
            <w:tcW w:w="6513" w:type="dxa"/>
            <w:shd w:val="clear" w:color="auto" w:fill="auto"/>
          </w:tcPr>
          <w:p w14:paraId="21925990" w14:textId="77777777" w:rsidR="00DB31B9" w:rsidRPr="00257416" w:rsidRDefault="009B3B12" w:rsidP="00DB31B9">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A mechanism where, for the electricity sector, government sets an emissions intensity baseline in emissions per unit of electricity generated. Electricity generators below the baseline receive permits that they can sell and generators above the baseline must buy permits for excess emissions.</w:t>
            </w:r>
          </w:p>
        </w:tc>
      </w:tr>
      <w:tr w:rsidR="00F06A61" w:rsidRPr="00257416" w14:paraId="0CC29106"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C135F90" w14:textId="77777777" w:rsidR="00F06A61" w:rsidRPr="00257416" w:rsidRDefault="00F06A61" w:rsidP="00CC796F">
            <w:pPr>
              <w:spacing w:before="40" w:after="40"/>
              <w:rPr>
                <w:b w:val="0"/>
                <w:sz w:val="20"/>
                <w:szCs w:val="20"/>
              </w:rPr>
            </w:pPr>
            <w:r w:rsidRPr="00257416">
              <w:rPr>
                <w:b w:val="0"/>
                <w:sz w:val="20"/>
                <w:szCs w:val="20"/>
              </w:rPr>
              <w:t>facility</w:t>
            </w:r>
          </w:p>
        </w:tc>
        <w:tc>
          <w:tcPr>
            <w:tcW w:w="6513" w:type="dxa"/>
            <w:shd w:val="clear" w:color="auto" w:fill="auto"/>
          </w:tcPr>
          <w:p w14:paraId="6E45F485"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A single enterprise comprised of an activity or series of activities that produce emissions or involve the production or consumption of energy.</w:t>
            </w:r>
          </w:p>
        </w:tc>
      </w:tr>
      <w:tr w:rsidR="00F06A61" w:rsidRPr="00257416" w14:paraId="44612608"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F424CA7" w14:textId="77777777" w:rsidR="00F06A61" w:rsidRPr="00257416" w:rsidRDefault="00F06A61" w:rsidP="00CC796F">
            <w:pPr>
              <w:spacing w:before="40" w:after="40"/>
              <w:rPr>
                <w:b w:val="0"/>
                <w:sz w:val="20"/>
                <w:szCs w:val="20"/>
              </w:rPr>
            </w:pPr>
            <w:r w:rsidRPr="00257416">
              <w:rPr>
                <w:b w:val="0"/>
                <w:sz w:val="20"/>
                <w:szCs w:val="20"/>
              </w:rPr>
              <w:t>global warming potential</w:t>
            </w:r>
          </w:p>
        </w:tc>
        <w:tc>
          <w:tcPr>
            <w:tcW w:w="6513" w:type="dxa"/>
            <w:shd w:val="clear" w:color="auto" w:fill="auto"/>
          </w:tcPr>
          <w:p w14:paraId="4D83625B"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Global warming potentials are used to convert masses of different greenhouse gases into a single carbon dioxide</w:t>
            </w:r>
            <w:r w:rsidR="00155350" w:rsidRPr="00257416">
              <w:rPr>
                <w:sz w:val="20"/>
                <w:szCs w:val="20"/>
              </w:rPr>
              <w:t>-</w:t>
            </w:r>
            <w:r w:rsidRPr="00257416">
              <w:rPr>
                <w:sz w:val="20"/>
                <w:szCs w:val="20"/>
              </w:rPr>
              <w:t>equivalent metric that would produce the same warming effect as carbon dioxide over a 100 year period.</w:t>
            </w:r>
          </w:p>
        </w:tc>
      </w:tr>
      <w:tr w:rsidR="00F06A61" w:rsidRPr="00257416" w14:paraId="47BFA70D"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DFCED1A" w14:textId="77777777" w:rsidR="00F06A61" w:rsidRPr="00257416" w:rsidRDefault="00F06A61" w:rsidP="00CC796F">
            <w:pPr>
              <w:spacing w:before="40" w:after="40"/>
              <w:rPr>
                <w:b w:val="0"/>
                <w:sz w:val="20"/>
                <w:szCs w:val="20"/>
              </w:rPr>
            </w:pPr>
            <w:r w:rsidRPr="00257416">
              <w:rPr>
                <w:b w:val="0"/>
                <w:sz w:val="20"/>
                <w:szCs w:val="20"/>
              </w:rPr>
              <w:t>hydrofluorocarbons (HFCs)</w:t>
            </w:r>
          </w:p>
        </w:tc>
        <w:tc>
          <w:tcPr>
            <w:tcW w:w="6513" w:type="dxa"/>
            <w:shd w:val="clear" w:color="auto" w:fill="auto"/>
          </w:tcPr>
          <w:p w14:paraId="4B20E360"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 xml:space="preserve">Synthetic greenhouse gases with very high global warming potentials. </w:t>
            </w:r>
          </w:p>
        </w:tc>
      </w:tr>
      <w:tr w:rsidR="000B4649" w:rsidRPr="00257416" w14:paraId="07C6C3E9"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E787B03" w14:textId="77777777" w:rsidR="000B4649" w:rsidRPr="00257416" w:rsidRDefault="00DC0D74" w:rsidP="00CC796F">
            <w:pPr>
              <w:spacing w:before="40" w:after="40"/>
              <w:rPr>
                <w:b w:val="0"/>
                <w:sz w:val="20"/>
                <w:szCs w:val="20"/>
              </w:rPr>
            </w:pPr>
            <w:r w:rsidRPr="00257416">
              <w:rPr>
                <w:b w:val="0"/>
                <w:sz w:val="20"/>
                <w:szCs w:val="20"/>
              </w:rPr>
              <w:t>hydrochlorofluorocarbon</w:t>
            </w:r>
            <w:r w:rsidR="00671E44" w:rsidRPr="00257416">
              <w:rPr>
                <w:b w:val="0"/>
                <w:sz w:val="20"/>
                <w:szCs w:val="20"/>
              </w:rPr>
              <w:t>s</w:t>
            </w:r>
            <w:r w:rsidRPr="00257416">
              <w:rPr>
                <w:b w:val="0"/>
                <w:sz w:val="20"/>
                <w:szCs w:val="20"/>
              </w:rPr>
              <w:t xml:space="preserve"> (HCFCs)</w:t>
            </w:r>
          </w:p>
        </w:tc>
        <w:tc>
          <w:tcPr>
            <w:tcW w:w="6513" w:type="dxa"/>
            <w:shd w:val="clear" w:color="auto" w:fill="auto"/>
          </w:tcPr>
          <w:p w14:paraId="0F13DB0A" w14:textId="77777777" w:rsidR="000B4649" w:rsidRPr="00257416" w:rsidRDefault="00DC0D74"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 xml:space="preserve">Synthetic greenhouse gases with very high global warming potentials. </w:t>
            </w:r>
          </w:p>
        </w:tc>
      </w:tr>
      <w:tr w:rsidR="000B4649" w:rsidRPr="00257416" w14:paraId="60F06B16"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F567ABD" w14:textId="77777777" w:rsidR="000B4649" w:rsidRPr="00257416" w:rsidRDefault="00C749AA" w:rsidP="00CC796F">
            <w:pPr>
              <w:spacing w:before="40" w:after="40"/>
              <w:rPr>
                <w:b w:val="0"/>
                <w:sz w:val="20"/>
                <w:szCs w:val="20"/>
              </w:rPr>
            </w:pPr>
            <w:r w:rsidRPr="00257416">
              <w:rPr>
                <w:b w:val="0"/>
                <w:sz w:val="20"/>
                <w:szCs w:val="20"/>
              </w:rPr>
              <w:t>hydro</w:t>
            </w:r>
            <w:r w:rsidR="00671E44" w:rsidRPr="00257416">
              <w:rPr>
                <w:b w:val="0"/>
                <w:sz w:val="20"/>
                <w:szCs w:val="20"/>
              </w:rPr>
              <w:t>fluor</w:t>
            </w:r>
            <w:r w:rsidR="00AF0DA5" w:rsidRPr="00257416">
              <w:rPr>
                <w:b w:val="0"/>
                <w:sz w:val="20"/>
                <w:szCs w:val="20"/>
              </w:rPr>
              <w:t>o</w:t>
            </w:r>
            <w:r w:rsidR="00671E44" w:rsidRPr="00257416">
              <w:rPr>
                <w:b w:val="0"/>
                <w:sz w:val="20"/>
                <w:szCs w:val="20"/>
              </w:rPr>
              <w:t>ethers</w:t>
            </w:r>
            <w:r w:rsidR="00DC0D74" w:rsidRPr="00257416">
              <w:rPr>
                <w:b w:val="0"/>
                <w:sz w:val="20"/>
                <w:szCs w:val="20"/>
              </w:rPr>
              <w:t xml:space="preserve"> (HFEs)</w:t>
            </w:r>
          </w:p>
        </w:tc>
        <w:tc>
          <w:tcPr>
            <w:tcW w:w="6513" w:type="dxa"/>
            <w:shd w:val="clear" w:color="auto" w:fill="auto"/>
          </w:tcPr>
          <w:p w14:paraId="63AF8E3B" w14:textId="77777777" w:rsidR="000B4649" w:rsidRPr="00257416" w:rsidRDefault="00DC0D74"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 xml:space="preserve">Synthetic greenhouse gases with very high global warming potentials. </w:t>
            </w:r>
          </w:p>
        </w:tc>
      </w:tr>
      <w:tr w:rsidR="00A51FE3" w:rsidRPr="00257416" w14:paraId="21BD10E5"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02491C4A" w14:textId="4D3F012D" w:rsidR="00A51FE3" w:rsidRPr="00257416" w:rsidRDefault="008F2E04" w:rsidP="008F2E04">
            <w:pPr>
              <w:spacing w:before="40" w:after="40"/>
              <w:rPr>
                <w:b w:val="0"/>
                <w:sz w:val="20"/>
                <w:szCs w:val="20"/>
              </w:rPr>
            </w:pPr>
            <w:r w:rsidRPr="00257416">
              <w:rPr>
                <w:b w:val="0"/>
                <w:sz w:val="20"/>
                <w:szCs w:val="20"/>
              </w:rPr>
              <w:t>L</w:t>
            </w:r>
            <w:r w:rsidR="00A51FE3" w:rsidRPr="00257416">
              <w:rPr>
                <w:b w:val="0"/>
                <w:sz w:val="20"/>
                <w:szCs w:val="20"/>
              </w:rPr>
              <w:t>ow</w:t>
            </w:r>
            <w:r w:rsidRPr="00257416">
              <w:rPr>
                <w:b w:val="0"/>
                <w:sz w:val="20"/>
                <w:szCs w:val="20"/>
              </w:rPr>
              <w:t>-</w:t>
            </w:r>
            <w:r w:rsidR="00A51FE3" w:rsidRPr="00257416">
              <w:rPr>
                <w:b w:val="0"/>
                <w:sz w:val="20"/>
                <w:szCs w:val="20"/>
              </w:rPr>
              <w:t>emissions target</w:t>
            </w:r>
          </w:p>
        </w:tc>
        <w:tc>
          <w:tcPr>
            <w:tcW w:w="6513" w:type="dxa"/>
            <w:shd w:val="clear" w:color="auto" w:fill="auto"/>
          </w:tcPr>
          <w:p w14:paraId="49CEE892" w14:textId="77777777" w:rsidR="00A51FE3" w:rsidRPr="00257416" w:rsidRDefault="009B3B12" w:rsidP="009B3B12">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 xml:space="preserve">Places an obligation on liable </w:t>
            </w:r>
            <w:r w:rsidR="00184249" w:rsidRPr="00257416">
              <w:rPr>
                <w:sz w:val="20"/>
                <w:szCs w:val="20"/>
              </w:rPr>
              <w:t xml:space="preserve">companies </w:t>
            </w:r>
            <w:r w:rsidRPr="00257416">
              <w:rPr>
                <w:sz w:val="20"/>
                <w:szCs w:val="20"/>
              </w:rPr>
              <w:t>to supply electricity from low</w:t>
            </w:r>
            <w:r w:rsidR="00C8127E" w:rsidRPr="00257416">
              <w:rPr>
                <w:sz w:val="20"/>
                <w:szCs w:val="20"/>
              </w:rPr>
              <w:t>-</w:t>
            </w:r>
            <w:r w:rsidRPr="00257416">
              <w:rPr>
                <w:sz w:val="20"/>
                <w:szCs w:val="20"/>
              </w:rPr>
              <w:t>emissions generation sources.</w:t>
            </w:r>
          </w:p>
        </w:tc>
      </w:tr>
      <w:tr w:rsidR="00F06A61" w:rsidRPr="00257416" w14:paraId="3BC0A46C"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D3DE23A" w14:textId="77777777" w:rsidR="00F06A61" w:rsidRPr="00257416" w:rsidRDefault="00F06A61" w:rsidP="00CC796F">
            <w:pPr>
              <w:spacing w:before="40" w:after="40"/>
              <w:rPr>
                <w:b w:val="0"/>
                <w:sz w:val="20"/>
                <w:szCs w:val="20"/>
              </w:rPr>
            </w:pPr>
            <w:r w:rsidRPr="00257416">
              <w:rPr>
                <w:b w:val="0"/>
                <w:sz w:val="20"/>
                <w:szCs w:val="20"/>
              </w:rPr>
              <w:t>measurement determination</w:t>
            </w:r>
          </w:p>
        </w:tc>
        <w:tc>
          <w:tcPr>
            <w:tcW w:w="6513" w:type="dxa"/>
            <w:shd w:val="clear" w:color="auto" w:fill="auto"/>
          </w:tcPr>
          <w:p w14:paraId="7A1CBE62" w14:textId="77777777" w:rsidR="00F06A61" w:rsidRPr="00257416" w:rsidRDefault="00F06A61" w:rsidP="00CC796F">
            <w:pPr>
              <w:tabs>
                <w:tab w:val="left" w:pos="975"/>
              </w:tabs>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 xml:space="preserve">The set of methods and criteria for calculating greenhouse gas emissions and energy data under the </w:t>
            </w:r>
            <w:r w:rsidRPr="00257416">
              <w:rPr>
                <w:i/>
                <w:sz w:val="20"/>
                <w:szCs w:val="20"/>
              </w:rPr>
              <w:t>National Greenhouse and Energy Reporting (Measurement) Determination 2008</w:t>
            </w:r>
            <w:r w:rsidRPr="00257416">
              <w:rPr>
                <w:sz w:val="20"/>
                <w:szCs w:val="20"/>
              </w:rPr>
              <w:t xml:space="preserve"> (Cth).</w:t>
            </w:r>
          </w:p>
        </w:tc>
      </w:tr>
      <w:tr w:rsidR="00F06A61" w:rsidRPr="00257416" w14:paraId="00E1737A"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8708F96" w14:textId="77777777" w:rsidR="00F06A61" w:rsidRPr="00257416" w:rsidRDefault="00F06A61" w:rsidP="00CC796F">
            <w:pPr>
              <w:spacing w:before="40" w:after="40"/>
              <w:rPr>
                <w:b w:val="0"/>
                <w:sz w:val="20"/>
                <w:szCs w:val="20"/>
              </w:rPr>
            </w:pPr>
            <w:r w:rsidRPr="00257416">
              <w:rPr>
                <w:b w:val="0"/>
                <w:sz w:val="20"/>
                <w:szCs w:val="20"/>
              </w:rPr>
              <w:t>Mt CO</w:t>
            </w:r>
            <w:r w:rsidRPr="00257416">
              <w:rPr>
                <w:b w:val="0"/>
                <w:sz w:val="20"/>
                <w:szCs w:val="20"/>
                <w:vertAlign w:val="subscript"/>
              </w:rPr>
              <w:t>2</w:t>
            </w:r>
            <w:r w:rsidRPr="00257416">
              <w:rPr>
                <w:b w:val="0"/>
                <w:sz w:val="20"/>
                <w:szCs w:val="20"/>
              </w:rPr>
              <w:t>-e</w:t>
            </w:r>
          </w:p>
        </w:tc>
        <w:tc>
          <w:tcPr>
            <w:tcW w:w="6513" w:type="dxa"/>
            <w:shd w:val="clear" w:color="auto" w:fill="auto"/>
          </w:tcPr>
          <w:p w14:paraId="41414ADA" w14:textId="77777777" w:rsidR="00F06A61" w:rsidRPr="00257416" w:rsidRDefault="00F06A61" w:rsidP="00CC796F">
            <w:pPr>
              <w:tabs>
                <w:tab w:val="left" w:pos="975"/>
              </w:tabs>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Million tonnes of carbon dioxide</w:t>
            </w:r>
            <w:r w:rsidR="00155350" w:rsidRPr="00257416">
              <w:rPr>
                <w:sz w:val="20"/>
                <w:szCs w:val="20"/>
              </w:rPr>
              <w:t>-</w:t>
            </w:r>
            <w:r w:rsidRPr="00257416">
              <w:rPr>
                <w:sz w:val="20"/>
                <w:szCs w:val="20"/>
              </w:rPr>
              <w:t>equivalent. A measure used to compare emissions from greenhouse gases based on their global warming potential.</w:t>
            </w:r>
          </w:p>
        </w:tc>
      </w:tr>
      <w:tr w:rsidR="00F06A61" w:rsidRPr="00257416" w14:paraId="6EFA53E6"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417C079" w14:textId="77777777" w:rsidR="00F06A61" w:rsidRPr="00257416" w:rsidRDefault="00F06A61" w:rsidP="00CC796F">
            <w:pPr>
              <w:spacing w:before="40" w:after="40"/>
              <w:rPr>
                <w:b w:val="0"/>
                <w:sz w:val="20"/>
                <w:szCs w:val="20"/>
              </w:rPr>
            </w:pPr>
            <w:r w:rsidRPr="00257416">
              <w:rPr>
                <w:b w:val="0"/>
                <w:sz w:val="20"/>
                <w:szCs w:val="20"/>
              </w:rPr>
              <w:t>National Greenhouse Gas Inventory</w:t>
            </w:r>
          </w:p>
        </w:tc>
        <w:tc>
          <w:tcPr>
            <w:tcW w:w="6513" w:type="dxa"/>
            <w:shd w:val="clear" w:color="auto" w:fill="auto"/>
          </w:tcPr>
          <w:p w14:paraId="7E3FC1CA"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An annual report presented to the United Nations Framework Convention on Climate Change that contains Australia’s greenhouse gas emissions data.</w:t>
            </w:r>
          </w:p>
        </w:tc>
      </w:tr>
      <w:tr w:rsidR="00F06A61" w:rsidRPr="00257416" w14:paraId="4F943A8C"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4717F97" w14:textId="77777777" w:rsidR="00F06A61" w:rsidRPr="00257416" w:rsidRDefault="00F06A61" w:rsidP="00CC796F">
            <w:pPr>
              <w:spacing w:before="40" w:after="40"/>
              <w:rPr>
                <w:b w:val="0"/>
                <w:sz w:val="20"/>
                <w:szCs w:val="20"/>
              </w:rPr>
            </w:pPr>
            <w:r w:rsidRPr="00257416">
              <w:rPr>
                <w:b w:val="0"/>
                <w:sz w:val="20"/>
                <w:szCs w:val="20"/>
              </w:rPr>
              <w:t>net emissions (safeguard)</w:t>
            </w:r>
          </w:p>
        </w:tc>
        <w:tc>
          <w:tcPr>
            <w:tcW w:w="6513" w:type="dxa"/>
            <w:shd w:val="clear" w:color="auto" w:fill="auto"/>
          </w:tcPr>
          <w:p w14:paraId="61388005"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Reported covered emissions minus eligible offsets surrendered under the safeguard.</w:t>
            </w:r>
          </w:p>
        </w:tc>
      </w:tr>
      <w:tr w:rsidR="00F06A61" w:rsidRPr="00257416" w14:paraId="457284E5"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0496FAEF" w14:textId="77777777" w:rsidR="00F06A61" w:rsidRPr="00257416" w:rsidRDefault="00F06A61" w:rsidP="00CC796F">
            <w:pPr>
              <w:spacing w:before="40" w:after="40"/>
              <w:rPr>
                <w:b w:val="0"/>
                <w:sz w:val="20"/>
                <w:szCs w:val="20"/>
                <w:highlight w:val="yellow"/>
              </w:rPr>
            </w:pPr>
            <w:r w:rsidRPr="00257416">
              <w:rPr>
                <w:b w:val="0"/>
                <w:sz w:val="20"/>
                <w:szCs w:val="20"/>
              </w:rPr>
              <w:t>operational control</w:t>
            </w:r>
          </w:p>
        </w:tc>
        <w:tc>
          <w:tcPr>
            <w:tcW w:w="6513" w:type="dxa"/>
            <w:shd w:val="clear" w:color="auto" w:fill="auto"/>
          </w:tcPr>
          <w:p w14:paraId="2F254FC8"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A company has operational control over a facility if it can introduce or implement operating, health and safety or environmental policies at a facility. The company with operational control of a facility, or its controlling corporation, is generally responsible for ensuring the facility meets its requirements under the National Greenhouse and Energy Reporting Act.</w:t>
            </w:r>
          </w:p>
        </w:tc>
      </w:tr>
      <w:tr w:rsidR="00F06A61" w:rsidRPr="00257416" w14:paraId="0AFF8D76"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5612BD8" w14:textId="77777777" w:rsidR="00F06A61" w:rsidRPr="00257416" w:rsidRDefault="00F06A61" w:rsidP="00CC796F">
            <w:pPr>
              <w:spacing w:before="40" w:after="40"/>
              <w:rPr>
                <w:b w:val="0"/>
                <w:sz w:val="20"/>
                <w:szCs w:val="20"/>
              </w:rPr>
            </w:pPr>
            <w:r w:rsidRPr="00257416">
              <w:rPr>
                <w:b w:val="0"/>
                <w:sz w:val="20"/>
                <w:szCs w:val="20"/>
              </w:rPr>
              <w:t>Paris Agreement</w:t>
            </w:r>
          </w:p>
        </w:tc>
        <w:tc>
          <w:tcPr>
            <w:tcW w:w="6513" w:type="dxa"/>
            <w:shd w:val="clear" w:color="auto" w:fill="auto"/>
          </w:tcPr>
          <w:p w14:paraId="0BDBD178"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An international agreement adopted under the United Nations Framework Convention on Climate Change in 2015. A key outcome of the Agreement is a global goal to hold average temperature increase to well below 2°C and pursue efforts to keep warming below 1.5°C above pre-industrial levels.</w:t>
            </w:r>
          </w:p>
        </w:tc>
      </w:tr>
      <w:tr w:rsidR="00F06A61" w:rsidRPr="00257416" w14:paraId="36CE406A"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08E2A96F" w14:textId="77777777" w:rsidR="00F06A61" w:rsidRPr="00257416" w:rsidRDefault="00F06A61" w:rsidP="00CC796F">
            <w:pPr>
              <w:spacing w:before="40" w:after="40"/>
              <w:rPr>
                <w:b w:val="0"/>
                <w:sz w:val="20"/>
                <w:szCs w:val="20"/>
              </w:rPr>
            </w:pPr>
            <w:r w:rsidRPr="00257416">
              <w:rPr>
                <w:b w:val="0"/>
                <w:sz w:val="20"/>
                <w:szCs w:val="20"/>
              </w:rPr>
              <w:t>perfluorocarbons (PFCs)</w:t>
            </w:r>
          </w:p>
        </w:tc>
        <w:tc>
          <w:tcPr>
            <w:tcW w:w="6513" w:type="dxa"/>
            <w:shd w:val="clear" w:color="auto" w:fill="auto"/>
          </w:tcPr>
          <w:p w14:paraId="7A8AB853"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Synthetic greenhouse gases with very high global warming potentials.</w:t>
            </w:r>
          </w:p>
        </w:tc>
      </w:tr>
      <w:tr w:rsidR="00EA51CD" w:rsidRPr="00257416" w14:paraId="0869F1C7"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189EA84" w14:textId="77777777" w:rsidR="00EA51CD" w:rsidRPr="00257416" w:rsidRDefault="00032C7D" w:rsidP="00CC796F">
            <w:pPr>
              <w:spacing w:before="40" w:after="40"/>
              <w:rPr>
                <w:b w:val="0"/>
                <w:sz w:val="20"/>
                <w:szCs w:val="20"/>
              </w:rPr>
            </w:pPr>
            <w:r w:rsidRPr="00257416">
              <w:rPr>
                <w:b w:val="0"/>
                <w:sz w:val="20"/>
                <w:szCs w:val="20"/>
              </w:rPr>
              <w:t>p</w:t>
            </w:r>
            <w:r w:rsidR="00EA51CD" w:rsidRPr="00257416">
              <w:rPr>
                <w:b w:val="0"/>
                <w:sz w:val="20"/>
                <w:szCs w:val="20"/>
              </w:rPr>
              <w:t>roduction variables</w:t>
            </w:r>
          </w:p>
        </w:tc>
        <w:tc>
          <w:tcPr>
            <w:tcW w:w="6513" w:type="dxa"/>
            <w:shd w:val="clear" w:color="auto" w:fill="auto"/>
          </w:tcPr>
          <w:p w14:paraId="42F692C9" w14:textId="77777777" w:rsidR="00EA51CD" w:rsidRPr="00257416" w:rsidRDefault="00EA51CD"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Represents the amount of productive output at a facility covered by the safeguard mechanism. It is used to determine the emissions intensity at a facility.</w:t>
            </w:r>
          </w:p>
        </w:tc>
      </w:tr>
      <w:tr w:rsidR="00F06A61" w:rsidRPr="00257416" w14:paraId="0DD7BBAB"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36D2114" w14:textId="77777777" w:rsidR="00F06A61" w:rsidRPr="00257416" w:rsidRDefault="00F06A61" w:rsidP="00CC796F">
            <w:pPr>
              <w:spacing w:before="40" w:after="40"/>
              <w:rPr>
                <w:b w:val="0"/>
                <w:sz w:val="20"/>
                <w:szCs w:val="20"/>
              </w:rPr>
            </w:pPr>
            <w:r w:rsidRPr="00257416">
              <w:rPr>
                <w:b w:val="0"/>
                <w:sz w:val="20"/>
                <w:szCs w:val="20"/>
              </w:rPr>
              <w:t>reporting scheme</w:t>
            </w:r>
          </w:p>
        </w:tc>
        <w:tc>
          <w:tcPr>
            <w:tcW w:w="6513" w:type="dxa"/>
            <w:shd w:val="clear" w:color="auto" w:fill="auto"/>
          </w:tcPr>
          <w:p w14:paraId="6C9AE889"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The National Greenhouse and Energy Reporting scheme.</w:t>
            </w:r>
          </w:p>
        </w:tc>
      </w:tr>
      <w:tr w:rsidR="00F06A61" w:rsidRPr="00257416" w14:paraId="4E50EC83"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847582E" w14:textId="77777777" w:rsidR="00F06A61" w:rsidRPr="00257416" w:rsidRDefault="00F06A61" w:rsidP="00CC796F">
            <w:pPr>
              <w:spacing w:before="40" w:after="40"/>
              <w:rPr>
                <w:b w:val="0"/>
                <w:sz w:val="20"/>
                <w:szCs w:val="20"/>
              </w:rPr>
            </w:pPr>
            <w:r w:rsidRPr="00257416">
              <w:rPr>
                <w:b w:val="0"/>
                <w:sz w:val="20"/>
                <w:szCs w:val="20"/>
              </w:rPr>
              <w:t>reporting transfer certificate</w:t>
            </w:r>
          </w:p>
        </w:tc>
        <w:tc>
          <w:tcPr>
            <w:tcW w:w="6513" w:type="dxa"/>
            <w:shd w:val="clear" w:color="auto" w:fill="auto"/>
          </w:tcPr>
          <w:p w14:paraId="540E9402"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 xml:space="preserve">A certificate that allows reporting obligations under the National Greenhouse and Energy Reporting scheme to transfer from a controlling corporation with operational control over the facility to the corporation that has financial control over the facility. </w:t>
            </w:r>
          </w:p>
        </w:tc>
      </w:tr>
      <w:tr w:rsidR="00F06A61" w:rsidRPr="00257416" w14:paraId="0C463DB5"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18E4AFD" w14:textId="77777777" w:rsidR="00F06A61" w:rsidRPr="00257416" w:rsidRDefault="00F06A61" w:rsidP="00CC796F">
            <w:pPr>
              <w:spacing w:before="40" w:after="40"/>
              <w:rPr>
                <w:b w:val="0"/>
                <w:sz w:val="20"/>
                <w:szCs w:val="20"/>
              </w:rPr>
            </w:pPr>
            <w:r w:rsidRPr="00257416">
              <w:rPr>
                <w:b w:val="0"/>
                <w:sz w:val="20"/>
                <w:szCs w:val="20"/>
              </w:rPr>
              <w:t>responsible emitter</w:t>
            </w:r>
          </w:p>
        </w:tc>
        <w:tc>
          <w:tcPr>
            <w:tcW w:w="6513" w:type="dxa"/>
            <w:shd w:val="clear" w:color="auto" w:fill="auto"/>
          </w:tcPr>
          <w:p w14:paraId="1ADF86E2"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Person with operational control over a safeguard facility that is required to keep its net emissions at or below its safeguard baseline. Responsible emitters may be an individual, a company, a trust or a local council.</w:t>
            </w:r>
          </w:p>
        </w:tc>
      </w:tr>
      <w:tr w:rsidR="00F06A61" w:rsidRPr="00257416" w14:paraId="79C0446B"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7DBA05AB" w14:textId="77777777" w:rsidR="00F06A61" w:rsidRPr="00257416" w:rsidRDefault="00F06A61" w:rsidP="00CC796F">
            <w:pPr>
              <w:spacing w:before="40" w:after="40"/>
              <w:rPr>
                <w:b w:val="0"/>
                <w:sz w:val="20"/>
                <w:szCs w:val="20"/>
              </w:rPr>
            </w:pPr>
            <w:r w:rsidRPr="00257416">
              <w:rPr>
                <w:b w:val="0"/>
                <w:sz w:val="20"/>
                <w:szCs w:val="20"/>
              </w:rPr>
              <w:t>safeguard baseline</w:t>
            </w:r>
          </w:p>
        </w:tc>
        <w:tc>
          <w:tcPr>
            <w:tcW w:w="6513" w:type="dxa"/>
            <w:shd w:val="clear" w:color="auto" w:fill="auto"/>
          </w:tcPr>
          <w:p w14:paraId="647864CF" w14:textId="77777777" w:rsidR="00F06A61" w:rsidRPr="00257416" w:rsidRDefault="00F06A61" w:rsidP="00730EE0">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 xml:space="preserve">An emissions limit on safeguard facilities. There are different types of baselines (described in </w:t>
            </w:r>
            <w:r w:rsidR="00C7232B" w:rsidRPr="00257416">
              <w:rPr>
                <w:sz w:val="20"/>
                <w:szCs w:val="20"/>
              </w:rPr>
              <w:t>S</w:t>
            </w:r>
            <w:r w:rsidR="00730EE0" w:rsidRPr="00257416">
              <w:rPr>
                <w:sz w:val="20"/>
                <w:szCs w:val="20"/>
              </w:rPr>
              <w:t xml:space="preserve">ection </w:t>
            </w:r>
            <w:r w:rsidR="00730EE0" w:rsidRPr="00257416">
              <w:rPr>
                <w:sz w:val="20"/>
                <w:szCs w:val="20"/>
              </w:rPr>
              <w:fldChar w:fldCharType="begin"/>
            </w:r>
            <w:r w:rsidR="00730EE0" w:rsidRPr="00257416">
              <w:rPr>
                <w:sz w:val="20"/>
                <w:szCs w:val="20"/>
              </w:rPr>
              <w:instrText xml:space="preserve"> REF _Ref531626320 \r \h </w:instrText>
            </w:r>
            <w:r w:rsidR="00D27EB8" w:rsidRPr="00257416">
              <w:rPr>
                <w:sz w:val="20"/>
                <w:szCs w:val="20"/>
              </w:rPr>
              <w:instrText xml:space="preserve"> \* MERGEFORMAT </w:instrText>
            </w:r>
            <w:r w:rsidR="00730EE0" w:rsidRPr="00257416">
              <w:rPr>
                <w:sz w:val="20"/>
                <w:szCs w:val="20"/>
              </w:rPr>
            </w:r>
            <w:r w:rsidR="00730EE0" w:rsidRPr="00257416">
              <w:rPr>
                <w:sz w:val="20"/>
                <w:szCs w:val="20"/>
              </w:rPr>
              <w:fldChar w:fldCharType="separate"/>
            </w:r>
            <w:r w:rsidR="009A203A">
              <w:rPr>
                <w:sz w:val="20"/>
                <w:szCs w:val="20"/>
              </w:rPr>
              <w:t>2.4.2</w:t>
            </w:r>
            <w:r w:rsidR="00730EE0" w:rsidRPr="00257416">
              <w:rPr>
                <w:sz w:val="20"/>
                <w:szCs w:val="20"/>
              </w:rPr>
              <w:fldChar w:fldCharType="end"/>
            </w:r>
            <w:r w:rsidRPr="00257416">
              <w:rPr>
                <w:sz w:val="20"/>
                <w:szCs w:val="20"/>
              </w:rPr>
              <w:t>).</w:t>
            </w:r>
          </w:p>
        </w:tc>
      </w:tr>
      <w:tr w:rsidR="00814927" w:rsidRPr="00257416" w14:paraId="653A7994"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00DBA4D" w14:textId="77777777" w:rsidR="00814927" w:rsidRPr="00257416" w:rsidRDefault="00A51FE3" w:rsidP="00CC796F">
            <w:pPr>
              <w:spacing w:before="40" w:after="40"/>
              <w:rPr>
                <w:b w:val="0"/>
                <w:sz w:val="20"/>
                <w:szCs w:val="20"/>
              </w:rPr>
            </w:pPr>
            <w:r w:rsidRPr="00257416">
              <w:rPr>
                <w:b w:val="0"/>
                <w:sz w:val="20"/>
                <w:szCs w:val="20"/>
              </w:rPr>
              <w:t>s</w:t>
            </w:r>
            <w:r w:rsidR="00814927" w:rsidRPr="00257416">
              <w:rPr>
                <w:b w:val="0"/>
                <w:sz w:val="20"/>
                <w:szCs w:val="20"/>
              </w:rPr>
              <w:t>afeguard threshold</w:t>
            </w:r>
          </w:p>
        </w:tc>
        <w:tc>
          <w:tcPr>
            <w:tcW w:w="6513" w:type="dxa"/>
            <w:shd w:val="clear" w:color="auto" w:fill="auto"/>
          </w:tcPr>
          <w:p w14:paraId="09B0F883" w14:textId="77777777" w:rsidR="00814927" w:rsidRPr="00257416" w:rsidRDefault="003A1AC4" w:rsidP="00730EE0">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An emissions limit that triggers safeguard obligations under the National Greenhouse and Energy Reporting legislation.</w:t>
            </w:r>
          </w:p>
        </w:tc>
      </w:tr>
      <w:tr w:rsidR="00814927" w:rsidRPr="00257416" w14:paraId="4D51F6CB"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0F570141" w14:textId="77777777" w:rsidR="00814927" w:rsidRPr="00257416" w:rsidRDefault="00814927" w:rsidP="00CC796F">
            <w:pPr>
              <w:spacing w:before="40" w:after="40"/>
              <w:rPr>
                <w:b w:val="0"/>
                <w:sz w:val="20"/>
                <w:szCs w:val="20"/>
              </w:rPr>
            </w:pPr>
            <w:r w:rsidRPr="00257416">
              <w:rPr>
                <w:b w:val="0"/>
                <w:sz w:val="20"/>
                <w:szCs w:val="20"/>
              </w:rPr>
              <w:t>sectoral baseline</w:t>
            </w:r>
          </w:p>
        </w:tc>
        <w:tc>
          <w:tcPr>
            <w:tcW w:w="6513" w:type="dxa"/>
            <w:shd w:val="clear" w:color="auto" w:fill="auto"/>
          </w:tcPr>
          <w:p w14:paraId="17D7CFF7" w14:textId="77777777" w:rsidR="00814927" w:rsidRPr="00257416" w:rsidRDefault="00814927" w:rsidP="00814927">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The sectoral baseline for the grid-connected electricity sector is set at the sector’s emissions in 2009</w:t>
            </w:r>
            <w:r w:rsidR="00107726" w:rsidRPr="00257416">
              <w:rPr>
                <w:sz w:val="20"/>
                <w:szCs w:val="20"/>
              </w:rPr>
              <w:t>–</w:t>
            </w:r>
            <w:r w:rsidRPr="00257416">
              <w:rPr>
                <w:sz w:val="20"/>
                <w:szCs w:val="20"/>
              </w:rPr>
              <w:t>10, the high point of Australia’s electricity emissions between 2009</w:t>
            </w:r>
            <w:r w:rsidR="00107726" w:rsidRPr="00257416">
              <w:rPr>
                <w:sz w:val="20"/>
                <w:szCs w:val="20"/>
              </w:rPr>
              <w:t>–</w:t>
            </w:r>
            <w:r w:rsidRPr="00257416">
              <w:rPr>
                <w:sz w:val="20"/>
                <w:szCs w:val="20"/>
              </w:rPr>
              <w:t>10 and 2013</w:t>
            </w:r>
            <w:r w:rsidR="00107726" w:rsidRPr="00257416">
              <w:rPr>
                <w:sz w:val="20"/>
                <w:szCs w:val="20"/>
              </w:rPr>
              <w:t>–</w:t>
            </w:r>
            <w:r w:rsidRPr="00257416">
              <w:rPr>
                <w:sz w:val="20"/>
                <w:szCs w:val="20"/>
              </w:rPr>
              <w:t xml:space="preserve">14. </w:t>
            </w:r>
          </w:p>
        </w:tc>
      </w:tr>
      <w:tr w:rsidR="00F06A61" w:rsidRPr="00257416" w14:paraId="0783D8B4"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C75AF33" w14:textId="77777777" w:rsidR="00F06A61" w:rsidRPr="00257416" w:rsidRDefault="00F06A61" w:rsidP="00CC796F">
            <w:pPr>
              <w:spacing w:before="40" w:after="40"/>
              <w:rPr>
                <w:b w:val="0"/>
                <w:sz w:val="20"/>
                <w:szCs w:val="20"/>
              </w:rPr>
            </w:pPr>
            <w:r w:rsidRPr="00257416">
              <w:rPr>
                <w:b w:val="0"/>
                <w:sz w:val="20"/>
                <w:szCs w:val="20"/>
              </w:rPr>
              <w:t>safeguard facility</w:t>
            </w:r>
          </w:p>
        </w:tc>
        <w:tc>
          <w:tcPr>
            <w:tcW w:w="6513" w:type="dxa"/>
            <w:shd w:val="clear" w:color="auto" w:fill="auto"/>
          </w:tcPr>
          <w:p w14:paraId="29CF0F1F" w14:textId="77777777" w:rsidR="00F06A61" w:rsidRPr="00257416" w:rsidRDefault="00F06A61" w:rsidP="008B40B4">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A facility that emits more than 100,000 t</w:t>
            </w:r>
            <w:r w:rsidR="00730EE0" w:rsidRPr="00257416">
              <w:rPr>
                <w:sz w:val="20"/>
                <w:szCs w:val="20"/>
              </w:rPr>
              <w:t xml:space="preserve"> CO</w:t>
            </w:r>
            <w:r w:rsidR="00730EE0" w:rsidRPr="00257416">
              <w:rPr>
                <w:sz w:val="20"/>
                <w:szCs w:val="20"/>
                <w:vertAlign w:val="subscript"/>
              </w:rPr>
              <w:t>2</w:t>
            </w:r>
            <w:r w:rsidR="00730EE0" w:rsidRPr="00257416">
              <w:rPr>
                <w:sz w:val="20"/>
                <w:szCs w:val="20"/>
              </w:rPr>
              <w:t>-e</w:t>
            </w:r>
            <w:r w:rsidRPr="00257416">
              <w:rPr>
                <w:sz w:val="20"/>
                <w:szCs w:val="20"/>
              </w:rPr>
              <w:t xml:space="preserve"> per year of scope 1 covered emissions and has safeguard obligations.</w:t>
            </w:r>
          </w:p>
        </w:tc>
      </w:tr>
      <w:tr w:rsidR="00F06A61" w:rsidRPr="00257416" w14:paraId="7645115E"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81D2CF5" w14:textId="77777777" w:rsidR="00F06A61" w:rsidRPr="00257416" w:rsidRDefault="00F06A61" w:rsidP="00CC796F">
            <w:pPr>
              <w:spacing w:before="40" w:after="40"/>
              <w:rPr>
                <w:b w:val="0"/>
                <w:sz w:val="20"/>
                <w:szCs w:val="20"/>
              </w:rPr>
            </w:pPr>
            <w:r w:rsidRPr="00257416">
              <w:rPr>
                <w:b w:val="0"/>
                <w:sz w:val="20"/>
                <w:szCs w:val="20"/>
              </w:rPr>
              <w:t>safeguard mechanism</w:t>
            </w:r>
          </w:p>
        </w:tc>
        <w:tc>
          <w:tcPr>
            <w:tcW w:w="6513" w:type="dxa"/>
            <w:shd w:val="clear" w:color="auto" w:fill="auto"/>
          </w:tcPr>
          <w:p w14:paraId="42529C5A"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A mechanism that establishes regulatory emissions limits for facilities. Safeguard facilities must keep their emissions at or below their baseline.</w:t>
            </w:r>
          </w:p>
        </w:tc>
      </w:tr>
      <w:tr w:rsidR="00F06A61" w:rsidRPr="00257416" w14:paraId="1F72586D"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2B839D6" w14:textId="77777777" w:rsidR="00F06A61" w:rsidRPr="00257416" w:rsidRDefault="00F06A61" w:rsidP="00CC796F">
            <w:pPr>
              <w:spacing w:before="40" w:after="40"/>
              <w:rPr>
                <w:b w:val="0"/>
                <w:sz w:val="20"/>
                <w:szCs w:val="20"/>
              </w:rPr>
            </w:pPr>
            <w:r w:rsidRPr="00257416">
              <w:rPr>
                <w:b w:val="0"/>
                <w:sz w:val="20"/>
                <w:szCs w:val="20"/>
              </w:rPr>
              <w:t>safeguard obligations</w:t>
            </w:r>
          </w:p>
        </w:tc>
        <w:tc>
          <w:tcPr>
            <w:tcW w:w="6513" w:type="dxa"/>
            <w:shd w:val="clear" w:color="auto" w:fill="auto"/>
          </w:tcPr>
          <w:p w14:paraId="008F95CC" w14:textId="77777777" w:rsidR="00F06A61" w:rsidRPr="00257416" w:rsidRDefault="008F28AB"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Companies</w:t>
            </w:r>
            <w:r w:rsidR="00F06A61" w:rsidRPr="00257416">
              <w:rPr>
                <w:sz w:val="20"/>
                <w:szCs w:val="20"/>
              </w:rPr>
              <w:t xml:space="preserve"> with safeguard obligations are required to report their scope 1 emissions to the Clean Energy Regulator and keep their emissions below a safeguard baseline.</w:t>
            </w:r>
          </w:p>
        </w:tc>
      </w:tr>
      <w:tr w:rsidR="00F06A61" w:rsidRPr="00257416" w14:paraId="7B92725A"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00B7129D" w14:textId="77777777" w:rsidR="00F06A61" w:rsidRPr="00257416" w:rsidRDefault="00F06A61" w:rsidP="00CC796F">
            <w:pPr>
              <w:spacing w:before="40" w:after="40"/>
              <w:rPr>
                <w:b w:val="0"/>
                <w:sz w:val="20"/>
                <w:szCs w:val="20"/>
              </w:rPr>
            </w:pPr>
            <w:r w:rsidRPr="00257416">
              <w:rPr>
                <w:b w:val="0"/>
                <w:sz w:val="20"/>
                <w:szCs w:val="20"/>
              </w:rPr>
              <w:t>scope 1 emissions</w:t>
            </w:r>
          </w:p>
        </w:tc>
        <w:tc>
          <w:tcPr>
            <w:tcW w:w="6513" w:type="dxa"/>
            <w:shd w:val="clear" w:color="auto" w:fill="auto"/>
          </w:tcPr>
          <w:p w14:paraId="0A51B4D1"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Emissions released as a direct result of an activity.</w:t>
            </w:r>
          </w:p>
        </w:tc>
      </w:tr>
      <w:tr w:rsidR="00F06A61" w:rsidRPr="00257416" w14:paraId="3FA190EE"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C39F223" w14:textId="77777777" w:rsidR="00F06A61" w:rsidRPr="00257416" w:rsidRDefault="00F06A61" w:rsidP="00CC796F">
            <w:pPr>
              <w:spacing w:before="40" w:after="40"/>
              <w:rPr>
                <w:b w:val="0"/>
                <w:sz w:val="20"/>
                <w:szCs w:val="20"/>
              </w:rPr>
            </w:pPr>
            <w:r w:rsidRPr="00257416">
              <w:rPr>
                <w:b w:val="0"/>
                <w:sz w:val="20"/>
                <w:szCs w:val="20"/>
              </w:rPr>
              <w:t>scope 2 emissions</w:t>
            </w:r>
          </w:p>
        </w:tc>
        <w:tc>
          <w:tcPr>
            <w:tcW w:w="6513" w:type="dxa"/>
            <w:shd w:val="clear" w:color="auto" w:fill="auto"/>
          </w:tcPr>
          <w:p w14:paraId="160B03E8" w14:textId="77777777" w:rsidR="00F06A61" w:rsidRPr="00257416" w:rsidRDefault="00F06A61" w:rsidP="007803D8">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 xml:space="preserve">Indirect emissions that are </w:t>
            </w:r>
            <w:r w:rsidR="007803D8" w:rsidRPr="00257416">
              <w:rPr>
                <w:sz w:val="20"/>
                <w:szCs w:val="20"/>
              </w:rPr>
              <w:t>a direct result of activities that generate electricity, heating, cooling or steam consumed by</w:t>
            </w:r>
            <w:r w:rsidRPr="00257416">
              <w:rPr>
                <w:sz w:val="20"/>
                <w:szCs w:val="20"/>
              </w:rPr>
              <w:t xml:space="preserve"> a facility.</w:t>
            </w:r>
          </w:p>
        </w:tc>
      </w:tr>
      <w:tr w:rsidR="00814927" w:rsidRPr="00257416" w14:paraId="6D67AB44"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441D666" w14:textId="77777777" w:rsidR="00814927" w:rsidRPr="00257416" w:rsidRDefault="00A51FE3" w:rsidP="00CC796F">
            <w:pPr>
              <w:spacing w:before="40" w:after="40"/>
              <w:rPr>
                <w:b w:val="0"/>
                <w:sz w:val="20"/>
                <w:szCs w:val="20"/>
              </w:rPr>
            </w:pPr>
            <w:r w:rsidRPr="00257416">
              <w:rPr>
                <w:b w:val="0"/>
                <w:sz w:val="20"/>
                <w:szCs w:val="20"/>
              </w:rPr>
              <w:t>s</w:t>
            </w:r>
            <w:r w:rsidR="00814927" w:rsidRPr="00257416">
              <w:rPr>
                <w:b w:val="0"/>
                <w:sz w:val="20"/>
                <w:szCs w:val="20"/>
              </w:rPr>
              <w:t>cope 3 emissions</w:t>
            </w:r>
          </w:p>
        </w:tc>
        <w:tc>
          <w:tcPr>
            <w:tcW w:w="6513" w:type="dxa"/>
            <w:shd w:val="clear" w:color="auto" w:fill="auto"/>
          </w:tcPr>
          <w:p w14:paraId="5CCADC06" w14:textId="77777777" w:rsidR="00814927" w:rsidRPr="00257416" w:rsidRDefault="00814927"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Indirect emissions (not included in scope 2) that occur in the value chain of the report</w:t>
            </w:r>
            <w:r w:rsidR="00FB47A6" w:rsidRPr="00257416">
              <w:rPr>
                <w:sz w:val="20"/>
                <w:szCs w:val="20"/>
              </w:rPr>
              <w:t>er</w:t>
            </w:r>
            <w:r w:rsidRPr="00257416">
              <w:rPr>
                <w:sz w:val="20"/>
                <w:szCs w:val="20"/>
              </w:rPr>
              <w:t>, including both upstream and downstream emissions.</w:t>
            </w:r>
          </w:p>
        </w:tc>
      </w:tr>
      <w:tr w:rsidR="00F06A61" w:rsidRPr="00257416" w14:paraId="5ABB5DAB" w14:textId="77777777" w:rsidTr="00FD4D59">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D224EC8" w14:textId="77777777" w:rsidR="00F06A61" w:rsidRPr="00257416" w:rsidRDefault="00F06A61" w:rsidP="00CC796F">
            <w:pPr>
              <w:spacing w:before="40" w:after="40"/>
              <w:rPr>
                <w:b w:val="0"/>
                <w:sz w:val="20"/>
                <w:szCs w:val="20"/>
              </w:rPr>
            </w:pPr>
            <w:r w:rsidRPr="00257416">
              <w:rPr>
                <w:b w:val="0"/>
                <w:sz w:val="20"/>
                <w:szCs w:val="20"/>
              </w:rPr>
              <w:t>threshold</w:t>
            </w:r>
          </w:p>
        </w:tc>
        <w:tc>
          <w:tcPr>
            <w:tcW w:w="6513" w:type="dxa"/>
            <w:shd w:val="clear" w:color="auto" w:fill="auto"/>
          </w:tcPr>
          <w:p w14:paraId="68352AE4" w14:textId="77777777" w:rsidR="00F06A61" w:rsidRPr="00257416" w:rsidRDefault="00F06A61" w:rsidP="00CC7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257416">
              <w:rPr>
                <w:sz w:val="20"/>
                <w:szCs w:val="20"/>
              </w:rPr>
              <w:t xml:space="preserve">An emissions or energy limit that triggers reporting, publication or safeguard obligations under the National Greenhouse and Energy Reporting legislation. </w:t>
            </w:r>
          </w:p>
        </w:tc>
      </w:tr>
      <w:tr w:rsidR="00F06A61" w:rsidRPr="00257416" w14:paraId="22806331" w14:textId="77777777" w:rsidTr="00FD4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1055817" w14:textId="77777777" w:rsidR="00F06A61" w:rsidRPr="00257416" w:rsidRDefault="00F06A61" w:rsidP="00CC796F">
            <w:pPr>
              <w:spacing w:before="40" w:after="40"/>
              <w:rPr>
                <w:b w:val="0"/>
                <w:sz w:val="20"/>
                <w:szCs w:val="20"/>
              </w:rPr>
            </w:pPr>
            <w:r w:rsidRPr="00257416">
              <w:rPr>
                <w:b w:val="0"/>
                <w:sz w:val="20"/>
                <w:szCs w:val="20"/>
              </w:rPr>
              <w:t>United Nations Framework Convention on Climate Change</w:t>
            </w:r>
          </w:p>
        </w:tc>
        <w:tc>
          <w:tcPr>
            <w:tcW w:w="6513" w:type="dxa"/>
            <w:shd w:val="clear" w:color="auto" w:fill="auto"/>
          </w:tcPr>
          <w:p w14:paraId="25114492" w14:textId="77777777" w:rsidR="00F06A61" w:rsidRPr="00257416" w:rsidRDefault="00F06A61" w:rsidP="00CC7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257416">
              <w:rPr>
                <w:sz w:val="20"/>
                <w:szCs w:val="20"/>
              </w:rPr>
              <w:t>An international treaty that commits signatory countries to stabilise greenhouse gas concentrations in the atmosphere at a level that would prevent dangerous human-induced interference with the climate system.</w:t>
            </w:r>
          </w:p>
        </w:tc>
      </w:tr>
    </w:tbl>
    <w:p w14:paraId="52681DD3" w14:textId="77777777" w:rsidR="00F06A61" w:rsidRPr="00155241" w:rsidRDefault="00F06A61" w:rsidP="00F06A61">
      <w:pPr>
        <w:pStyle w:val="CCAheading1nonumber"/>
      </w:pPr>
      <w:bookmarkStart w:id="1051" w:name="_Toc525642993"/>
      <w:bookmarkStart w:id="1052" w:name="_Toc525644061"/>
      <w:bookmarkStart w:id="1053" w:name="_Toc525661509"/>
      <w:bookmarkStart w:id="1054" w:name="_Toc526430718"/>
      <w:bookmarkStart w:id="1055" w:name="_Toc528140818"/>
      <w:bookmarkStart w:id="1056" w:name="_Toc528143301"/>
      <w:bookmarkStart w:id="1057" w:name="_Toc528770262"/>
      <w:bookmarkStart w:id="1058" w:name="_Toc529183888"/>
      <w:bookmarkStart w:id="1059" w:name="_Toc529187700"/>
      <w:bookmarkStart w:id="1060" w:name="_Toc529188126"/>
      <w:bookmarkStart w:id="1061" w:name="_Toc529377779"/>
      <w:bookmarkStart w:id="1062" w:name="_Toc529389724"/>
      <w:bookmarkStart w:id="1063" w:name="_Toc531095595"/>
      <w:bookmarkStart w:id="1064" w:name="_Toc531099361"/>
      <w:bookmarkStart w:id="1065" w:name="_Toc531101770"/>
      <w:bookmarkStart w:id="1066" w:name="_Toc531764044"/>
      <w:bookmarkStart w:id="1067" w:name="_Toc532912136"/>
      <w:bookmarkStart w:id="1068" w:name="_Toc532914978"/>
      <w:r w:rsidRPr="00155241">
        <w:t>References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7F4D11E6"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Australian Council of Superannuation Investors (ACSI) 2017,</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ACSI Governance Guidelines – A guide to investor expectations of listed Australian companies,</w:t>
      </w:r>
      <w:r w:rsidRPr="00BC413D">
        <w:rPr>
          <w:rFonts w:asciiTheme="minorHAnsi" w:hAnsiTheme="minorHAnsi" w:cstheme="minorHAnsi"/>
          <w:color w:val="000000" w:themeColor="text1"/>
        </w:rPr>
        <w:t xml:space="preserve"> ACSI, Melbourne.</w:t>
      </w:r>
    </w:p>
    <w:p w14:paraId="4AB4941F" w14:textId="2564FB65"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Australian Energy Market Operator (AEMO) 2014,</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NEMW Consultative Forum – NEM power station emissions intensities – updated impact assessment</w:t>
      </w:r>
      <w:r w:rsidR="00AF18CA">
        <w:rPr>
          <w:rFonts w:asciiTheme="minorHAnsi" w:hAnsiTheme="minorHAnsi" w:cstheme="minorHAnsi"/>
          <w:i/>
          <w:color w:val="000000" w:themeColor="text1"/>
        </w:rPr>
        <w:t>,</w:t>
      </w:r>
      <w:r w:rsidR="006668B2">
        <w:rPr>
          <w:rFonts w:asciiTheme="minorHAnsi" w:hAnsiTheme="minorHAnsi" w:cstheme="minorHAnsi"/>
          <w:color w:val="000000" w:themeColor="text1"/>
        </w:rPr>
        <w:t xml:space="preserve"> viewed 18 December 2018, </w:t>
      </w:r>
      <w:hyperlink r:id="rId52" w:history="1">
        <w:r w:rsidR="006668B2" w:rsidRPr="00802878">
          <w:rPr>
            <w:rStyle w:val="Hyperlink"/>
            <w:rFonts w:asciiTheme="minorHAnsi" w:hAnsiTheme="minorHAnsi" w:cstheme="minorHAnsi"/>
          </w:rPr>
          <w:t>https://www.aemo.com.au/-/media/Files/PDF/NEM_Power_Station_Emissio_Intensities_Updated_Impact_Assessment.pdf</w:t>
        </w:r>
      </w:hyperlink>
      <w:r w:rsidR="006668B2">
        <w:rPr>
          <w:rFonts w:asciiTheme="minorHAnsi" w:hAnsiTheme="minorHAnsi" w:cstheme="minorHAnsi"/>
          <w:color w:val="000000" w:themeColor="text1"/>
        </w:rPr>
        <w:t xml:space="preserve">. </w:t>
      </w:r>
    </w:p>
    <w:p w14:paraId="0CA354F0"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Australian Securities and Investments Commission (ASIC) 2016,</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Report 469 – ASIC regulation of corporate finance: July to December 2015,</w:t>
      </w:r>
      <w:r w:rsidRPr="00BC413D">
        <w:rPr>
          <w:rFonts w:asciiTheme="minorHAnsi" w:hAnsiTheme="minorHAnsi" w:cstheme="minorHAnsi"/>
          <w:color w:val="000000" w:themeColor="text1"/>
        </w:rPr>
        <w:t xml:space="preserve"> ASIC.</w:t>
      </w:r>
    </w:p>
    <w:p w14:paraId="70FE2F56" w14:textId="0F130218"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BHP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Scope 3 Emissions Calculation Methodology 2018</w:t>
      </w:r>
      <w:r w:rsidR="00AF18CA">
        <w:rPr>
          <w:rFonts w:asciiTheme="minorHAnsi" w:hAnsiTheme="minorHAnsi" w:cstheme="minorHAnsi"/>
          <w:i/>
          <w:color w:val="000000" w:themeColor="text1"/>
        </w:rPr>
        <w:t>,</w:t>
      </w:r>
      <w:r w:rsidR="006668B2">
        <w:rPr>
          <w:rFonts w:asciiTheme="minorHAnsi" w:hAnsiTheme="minorHAnsi" w:cstheme="minorHAnsi"/>
          <w:color w:val="000000" w:themeColor="text1"/>
        </w:rPr>
        <w:t xml:space="preserve"> viewed 18 December 2018, </w:t>
      </w:r>
      <w:hyperlink r:id="rId53" w:history="1">
        <w:r w:rsidR="006668B2" w:rsidRPr="006668B2">
          <w:rPr>
            <w:rStyle w:val="Hyperlink"/>
            <w:rFonts w:asciiTheme="minorHAnsi" w:hAnsiTheme="minorHAnsi" w:cstheme="minorHAnsi"/>
          </w:rPr>
          <w:t>https://www.bhp.com/-/media/documents/investors/annual-reports/2018/bhpscoper3emissionscalculationmethodology2018.pdf?la=en</w:t>
        </w:r>
      </w:hyperlink>
      <w:r w:rsidRPr="00BC413D">
        <w:rPr>
          <w:rFonts w:asciiTheme="minorHAnsi" w:hAnsiTheme="minorHAnsi" w:cstheme="minorHAnsi"/>
          <w:color w:val="000000" w:themeColor="text1"/>
        </w:rPr>
        <w:t xml:space="preserve">. </w:t>
      </w:r>
    </w:p>
    <w:p w14:paraId="626AE044" w14:textId="0ECB5C4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BHP Billiton n.d.,</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BHP Billiton Scope 3 emissions</w:t>
      </w:r>
      <w:r w:rsidR="00AF18CA">
        <w:rPr>
          <w:rFonts w:asciiTheme="minorHAnsi" w:hAnsiTheme="minorHAnsi" w:cstheme="minorHAnsi"/>
          <w:i/>
          <w:color w:val="000000" w:themeColor="text1"/>
        </w:rPr>
        <w: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54" w:history="1">
        <w:r w:rsidR="006668B2" w:rsidRPr="006668B2">
          <w:rPr>
            <w:rStyle w:val="Hyperlink"/>
            <w:rFonts w:asciiTheme="minorHAnsi" w:hAnsiTheme="minorHAnsi" w:cstheme="minorHAnsi"/>
          </w:rPr>
          <w:t>https://www.bhp.com/-/media/bhp/documents/investors/annual-reports/2016/161003_bhpbillitonscope3emissions.pdf?la=en</w:t>
        </w:r>
      </w:hyperlink>
      <w:r w:rsidRPr="00BC413D">
        <w:rPr>
          <w:rFonts w:asciiTheme="minorHAnsi" w:hAnsiTheme="minorHAnsi" w:cstheme="minorHAnsi"/>
          <w:color w:val="000000" w:themeColor="text1"/>
        </w:rPr>
        <w:t xml:space="preserve">. </w:t>
      </w:r>
    </w:p>
    <w:p w14:paraId="392A6B71"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Carbon Market Institute n.d.,</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Australia’s Carbon Marketplace</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55" w:history="1">
        <w:r w:rsidRPr="00BC413D">
          <w:rPr>
            <w:rStyle w:val="Hyperlink"/>
            <w:rFonts w:asciiTheme="minorHAnsi" w:hAnsiTheme="minorHAnsi" w:cstheme="minorHAnsi"/>
            <w:color w:val="000000" w:themeColor="text1"/>
          </w:rPr>
          <w:t>https://marketplace.carbonmarketinstitute.org</w:t>
        </w:r>
      </w:hyperlink>
      <w:r w:rsidRPr="00BC413D">
        <w:rPr>
          <w:rFonts w:asciiTheme="minorHAnsi" w:hAnsiTheme="minorHAnsi" w:cstheme="minorHAnsi"/>
          <w:color w:val="000000" w:themeColor="text1"/>
        </w:rPr>
        <w:t xml:space="preserve">. </w:t>
      </w:r>
    </w:p>
    <w:p w14:paraId="2B68A69E"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Centre for Policy Development (CPD) 2016,</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New legal opinion and business roundtable on climate risks and directors’ duties</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56" w:history="1">
        <w:r w:rsidRPr="00BC413D">
          <w:rPr>
            <w:rStyle w:val="Hyperlink"/>
            <w:rFonts w:asciiTheme="minorHAnsi" w:hAnsiTheme="minorHAnsi" w:cstheme="minorHAnsi"/>
            <w:color w:val="000000" w:themeColor="text1"/>
          </w:rPr>
          <w:t>https://cpd.org.au/2016/10/directorsduties</w:t>
        </w:r>
      </w:hyperlink>
      <w:r w:rsidRPr="00BC413D">
        <w:rPr>
          <w:rFonts w:asciiTheme="minorHAnsi" w:hAnsiTheme="minorHAnsi" w:cstheme="minorHAnsi"/>
          <w:color w:val="000000" w:themeColor="text1"/>
        </w:rPr>
        <w:t xml:space="preserve">. </w:t>
      </w:r>
    </w:p>
    <w:p w14:paraId="68CCC9B2"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Che, N., Feng, A., McCluskey, C., Pham, P., Wilcock, T. and Stanwix, G. 2013,</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2013 Australian Energy Update</w:t>
      </w:r>
      <w:r w:rsidRPr="00BC413D">
        <w:rPr>
          <w:rFonts w:asciiTheme="minorHAnsi" w:hAnsiTheme="minorHAnsi" w:cstheme="minorHAnsi"/>
          <w:color w:val="000000" w:themeColor="text1"/>
        </w:rPr>
        <w:t xml:space="preserve">, Bureau of Resources and Energy Economics, Canberra. </w:t>
      </w:r>
    </w:p>
    <w:p w14:paraId="1362AAC0" w14:textId="77777777" w:rsidR="00F87588" w:rsidRPr="00BC413D" w:rsidRDefault="00F87588" w:rsidP="00F87588">
      <w:pPr>
        <w:rPr>
          <w:rFonts w:asciiTheme="minorHAnsi" w:hAnsiTheme="minorHAnsi" w:cstheme="minorHAnsi"/>
          <w:color w:val="000000" w:themeColor="text1"/>
        </w:rPr>
      </w:pPr>
      <w:r w:rsidRPr="00BC413D">
        <w:rPr>
          <w:rFonts w:asciiTheme="minorHAnsi" w:hAnsiTheme="minorHAnsi" w:cstheme="minorHAnsi"/>
          <w:i/>
          <w:color w:val="000000" w:themeColor="text1"/>
        </w:rPr>
        <w:t>Clean Energy Act 2011</w:t>
      </w:r>
      <w:r w:rsidRPr="00BC413D">
        <w:rPr>
          <w:rFonts w:asciiTheme="minorHAnsi" w:hAnsiTheme="minorHAnsi" w:cstheme="minorHAnsi"/>
          <w:color w:val="000000" w:themeColor="text1"/>
        </w:rPr>
        <w:t xml:space="preserve"> (Cth).</w:t>
      </w:r>
    </w:p>
    <w:p w14:paraId="4B3D4F9B" w14:textId="77777777" w:rsidR="00F87588" w:rsidRPr="00BC413D" w:rsidRDefault="00F87588" w:rsidP="004B384D">
      <w:pPr>
        <w:rPr>
          <w:rFonts w:asciiTheme="minorHAnsi" w:hAnsiTheme="minorHAnsi" w:cstheme="minorHAnsi"/>
          <w:color w:val="000000" w:themeColor="text1"/>
        </w:rPr>
      </w:pPr>
      <w:r w:rsidRPr="00BC413D">
        <w:rPr>
          <w:rFonts w:asciiTheme="minorHAnsi" w:hAnsiTheme="minorHAnsi" w:cstheme="minorHAnsi"/>
          <w:i/>
          <w:color w:val="000000" w:themeColor="text1"/>
        </w:rPr>
        <w:t>Clean Energy Regulator Act 2011</w:t>
      </w:r>
      <w:r w:rsidRPr="00BC413D">
        <w:rPr>
          <w:rFonts w:asciiTheme="minorHAnsi" w:hAnsiTheme="minorHAnsi" w:cstheme="minorHAnsi"/>
          <w:color w:val="000000" w:themeColor="text1"/>
        </w:rPr>
        <w:t xml:space="preserve"> (Cth).</w:t>
      </w:r>
    </w:p>
    <w:p w14:paraId="0A23CE92"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Clean Energy Regulator (CER) 2018a,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Australian carbon credit units issued</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57" w:history="1">
        <w:r w:rsidRPr="00BC413D">
          <w:rPr>
            <w:rStyle w:val="Hyperlink"/>
            <w:rFonts w:asciiTheme="minorHAnsi" w:hAnsiTheme="minorHAnsi" w:cstheme="minorHAnsi"/>
            <w:color w:val="000000" w:themeColor="text1"/>
          </w:rPr>
          <w:t>http://www.cleanenergyregulator.gov.au/ERF/project-and-contracts-registers/project-register/Historical-ACCU-data</w:t>
        </w:r>
      </w:hyperlink>
      <w:r w:rsidRPr="00BC413D">
        <w:rPr>
          <w:rFonts w:asciiTheme="minorHAnsi" w:hAnsiTheme="minorHAnsi" w:cstheme="minorHAnsi"/>
          <w:color w:val="000000" w:themeColor="text1"/>
        </w:rPr>
        <w:t xml:space="preserve">. </w:t>
      </w:r>
    </w:p>
    <w:p w14:paraId="1AB861AD"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Buying ACCUs</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58" w:history="1">
        <w:r w:rsidRPr="00BC413D">
          <w:rPr>
            <w:rStyle w:val="Hyperlink"/>
            <w:rFonts w:asciiTheme="minorHAnsi" w:hAnsiTheme="minorHAnsi" w:cstheme="minorHAnsi"/>
            <w:color w:val="000000" w:themeColor="text1"/>
          </w:rPr>
          <w:t>http://www.cleanenergyregulator.gov.au/Infohub/Markets/Pages/Buying-ACCUs.aspx</w:t>
        </w:r>
      </w:hyperlink>
      <w:r w:rsidRPr="00BC413D">
        <w:rPr>
          <w:rFonts w:asciiTheme="minorHAnsi" w:hAnsiTheme="minorHAnsi" w:cstheme="minorHAnsi"/>
          <w:color w:val="000000" w:themeColor="text1"/>
        </w:rPr>
        <w:t xml:space="preserve">. </w:t>
      </w:r>
    </w:p>
    <w:p w14:paraId="2E87EAE3"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2018c,</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Client Portal</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59" w:history="1">
        <w:r w:rsidRPr="00BC413D">
          <w:rPr>
            <w:rStyle w:val="Hyperlink"/>
            <w:rFonts w:asciiTheme="minorHAnsi" w:hAnsiTheme="minorHAnsi" w:cstheme="minorHAnsi"/>
            <w:color w:val="000000" w:themeColor="text1"/>
          </w:rPr>
          <w:t>http://www.cleanenergyregulator.gov.au/OSR/CP</w:t>
        </w:r>
      </w:hyperlink>
      <w:r w:rsidRPr="00BC413D">
        <w:rPr>
          <w:rFonts w:asciiTheme="minorHAnsi" w:hAnsiTheme="minorHAnsi" w:cstheme="minorHAnsi"/>
          <w:color w:val="000000" w:themeColor="text1"/>
        </w:rPr>
        <w:t xml:space="preserve">. </w:t>
      </w:r>
    </w:p>
    <w:p w14:paraId="2F4AD36B"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2018d,</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Compliance, education and enforcement policy</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0" w:history="1">
        <w:r w:rsidRPr="00BC413D">
          <w:rPr>
            <w:rStyle w:val="Hyperlink"/>
            <w:rFonts w:asciiTheme="minorHAnsi" w:hAnsiTheme="minorHAnsi" w:cstheme="minorHAnsi"/>
            <w:color w:val="000000" w:themeColor="text1"/>
          </w:rPr>
          <w:t>http://www.cleanenergyregulator.gov.au/About/Policies-and-publications/Compliance-education-and-enforcement-policy</w:t>
        </w:r>
      </w:hyperlink>
      <w:r w:rsidRPr="00BC413D">
        <w:rPr>
          <w:rFonts w:asciiTheme="minorHAnsi" w:hAnsiTheme="minorHAnsi" w:cstheme="minorHAnsi"/>
          <w:color w:val="000000" w:themeColor="text1"/>
        </w:rPr>
        <w:t xml:space="preserve">. </w:t>
      </w:r>
    </w:p>
    <w:p w14:paraId="649D7840"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2018e,</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Current enforceable undertakings</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1" w:history="1">
        <w:r w:rsidRPr="00BC413D">
          <w:rPr>
            <w:rStyle w:val="Hyperlink"/>
            <w:rFonts w:asciiTheme="minorHAnsi" w:hAnsiTheme="minorHAnsi" w:cstheme="minorHAnsi"/>
            <w:color w:val="000000" w:themeColor="text1"/>
          </w:rPr>
          <w:t>http://www.cleanenergyregulator.gov.au/About/Compliance-and-Enforcement/Compliance%20and%20enforcement%20action/enforceable-undertakings/Current-enforceable-undertakings</w:t>
        </w:r>
      </w:hyperlink>
      <w:r w:rsidRPr="00BC413D">
        <w:rPr>
          <w:rFonts w:asciiTheme="minorHAnsi" w:hAnsiTheme="minorHAnsi" w:cstheme="minorHAnsi"/>
          <w:color w:val="000000" w:themeColor="text1"/>
        </w:rPr>
        <w:t xml:space="preserve">. </w:t>
      </w:r>
    </w:p>
    <w:p w14:paraId="081B1AED"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2018f,</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Data and Information</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2" w:history="1">
        <w:r w:rsidRPr="00BC413D">
          <w:rPr>
            <w:rStyle w:val="Hyperlink"/>
            <w:rFonts w:asciiTheme="minorHAnsi" w:hAnsiTheme="minorHAnsi" w:cstheme="minorHAnsi"/>
            <w:color w:val="000000" w:themeColor="text1"/>
          </w:rPr>
          <w:t>http://www.cleanenergyregulator.gov.au/Infohub/Data-and-information/Data-and-Information</w:t>
        </w:r>
      </w:hyperlink>
      <w:r w:rsidRPr="00BC413D">
        <w:rPr>
          <w:rFonts w:asciiTheme="minorHAnsi" w:hAnsiTheme="minorHAnsi" w:cstheme="minorHAnsi"/>
          <w:color w:val="000000" w:themeColor="text1"/>
        </w:rPr>
        <w:t xml:space="preserve">. </w:t>
      </w:r>
    </w:p>
    <w:p w14:paraId="12E4AA40"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2018g,</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Electricity sector emissions and generation data 2016</w:t>
      </w:r>
      <w:r w:rsidR="00107726" w:rsidRPr="00BC413D">
        <w:rPr>
          <w:rFonts w:asciiTheme="minorHAnsi" w:hAnsiTheme="minorHAnsi" w:cstheme="minorHAnsi"/>
          <w:i/>
          <w:color w:val="000000" w:themeColor="text1"/>
        </w:rPr>
        <w:t>–</w:t>
      </w:r>
      <w:r w:rsidRPr="00BC413D">
        <w:rPr>
          <w:rFonts w:asciiTheme="minorHAnsi" w:hAnsiTheme="minorHAnsi" w:cstheme="minorHAnsi"/>
          <w:i/>
          <w:color w:val="000000" w:themeColor="text1"/>
        </w:rPr>
        <w:t>17</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3" w:history="1">
        <w:r w:rsidRPr="00BC413D">
          <w:rPr>
            <w:rStyle w:val="Hyperlink"/>
            <w:rFonts w:asciiTheme="minorHAnsi" w:hAnsiTheme="minorHAnsi" w:cstheme="minorHAnsi"/>
            <w:color w:val="000000" w:themeColor="text1"/>
          </w:rPr>
          <w:t>http://www.cleanenergyregulator.gov.au/NGER/National%20greenhouse%20and%20energy%20reporting%20data/electricity-sector-emissions-and-generation-data/electricity-sector-emissions-and-generation-data-2016-17</w:t>
        </w:r>
      </w:hyperlink>
      <w:r w:rsidRPr="00BC413D">
        <w:rPr>
          <w:rFonts w:asciiTheme="minorHAnsi" w:hAnsiTheme="minorHAnsi" w:cstheme="minorHAnsi"/>
          <w:color w:val="000000" w:themeColor="text1"/>
        </w:rPr>
        <w:t xml:space="preserve">. </w:t>
      </w:r>
    </w:p>
    <w:p w14:paraId="69641CE8"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2018h,</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Emissions Reduction Fund project register</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4" w:history="1">
        <w:r w:rsidRPr="00BC413D">
          <w:rPr>
            <w:rStyle w:val="Hyperlink"/>
            <w:rFonts w:asciiTheme="minorHAnsi" w:hAnsiTheme="minorHAnsi" w:cstheme="minorHAnsi"/>
            <w:color w:val="000000" w:themeColor="text1"/>
          </w:rPr>
          <w:t>http://www.cleanenergyregulator.gov.au/ERF/project-and-contracts-registers/project-register</w:t>
        </w:r>
      </w:hyperlink>
      <w:r w:rsidRPr="00BC413D">
        <w:rPr>
          <w:rFonts w:asciiTheme="minorHAnsi" w:hAnsiTheme="minorHAnsi" w:cstheme="minorHAnsi"/>
          <w:color w:val="000000" w:themeColor="text1"/>
        </w:rPr>
        <w:t xml:space="preserve">. </w:t>
      </w:r>
    </w:p>
    <w:p w14:paraId="40B5F14F"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2018i,</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Safeguard baseline tables</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5" w:history="1">
        <w:r w:rsidRPr="00BC413D">
          <w:rPr>
            <w:rStyle w:val="Hyperlink"/>
            <w:rFonts w:asciiTheme="minorHAnsi" w:hAnsiTheme="minorHAnsi" w:cstheme="minorHAnsi"/>
            <w:color w:val="000000" w:themeColor="text1"/>
          </w:rPr>
          <w:t>http://www.cleanenergyregulator.gov.au/NGER/National%20greenhouse%20and%20energy%20reporting%20data/Safeguard-baselines-table</w:t>
        </w:r>
      </w:hyperlink>
      <w:r w:rsidRPr="00BC413D">
        <w:rPr>
          <w:rFonts w:asciiTheme="minorHAnsi" w:hAnsiTheme="minorHAnsi" w:cstheme="minorHAnsi"/>
          <w:color w:val="000000" w:themeColor="text1"/>
        </w:rPr>
        <w:t xml:space="preserve">. </w:t>
      </w:r>
    </w:p>
    <w:p w14:paraId="1EF7354C"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2018j,</w:t>
      </w:r>
      <w:r w:rsidRPr="00BC413D">
        <w:rPr>
          <w:rFonts w:asciiTheme="minorHAnsi" w:hAnsiTheme="minorHAnsi" w:cstheme="minorHAnsi"/>
          <w:color w:val="000000" w:themeColor="text1"/>
        </w:rPr>
        <w:t xml:space="preserve"> </w:t>
      </w:r>
      <w:r w:rsidR="00167F6F" w:rsidRPr="00BC413D">
        <w:rPr>
          <w:rFonts w:asciiTheme="minorHAnsi" w:hAnsiTheme="minorHAnsi" w:cstheme="minorHAnsi"/>
          <w:i/>
          <w:color w:val="000000" w:themeColor="text1"/>
        </w:rPr>
        <w:t>2016–17</w:t>
      </w:r>
      <w:r w:rsidR="00167F6F"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Safeguard facility reported emissions</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6" w:history="1">
        <w:r w:rsidRPr="00BC413D">
          <w:rPr>
            <w:rStyle w:val="Hyperlink"/>
            <w:rFonts w:asciiTheme="minorHAnsi" w:hAnsiTheme="minorHAnsi" w:cstheme="minorHAnsi"/>
            <w:color w:val="000000" w:themeColor="text1"/>
          </w:rPr>
          <w:t>http://www.cleanenergyregulator.gov.au/NGER/National%20greenhouse%20and%20energy%20reporting%20data/safeguard-facility-reported-emissions/safeguard-facility-emissions-2016-17</w:t>
        </w:r>
      </w:hyperlink>
    </w:p>
    <w:p w14:paraId="0CC47709" w14:textId="77777777" w:rsidR="004B384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2018k,</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Use of voluntary assurance audit reports for National Greenhouse and Energy Reporting</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7" w:history="1">
        <w:r w:rsidRPr="00BC413D">
          <w:rPr>
            <w:rStyle w:val="Hyperlink"/>
            <w:rFonts w:asciiTheme="minorHAnsi" w:hAnsiTheme="minorHAnsi" w:cstheme="minorHAnsi"/>
            <w:color w:val="000000" w:themeColor="text1"/>
          </w:rPr>
          <w:t>http://www.cleanenergyregulator.gov.au/NGER/Pages/Reporting%20cycle/Complying%20with%20NGER/Use-of-voluntary-assurance-audit-reports-for-National-Greenhouse-and-Energy-Reporting.aspx</w:t>
        </w:r>
      </w:hyperlink>
      <w:r w:rsidRPr="00BC413D">
        <w:rPr>
          <w:rFonts w:asciiTheme="minorHAnsi" w:hAnsiTheme="minorHAnsi" w:cstheme="minorHAnsi"/>
          <w:color w:val="000000" w:themeColor="text1"/>
        </w:rPr>
        <w:t xml:space="preserve">. </w:t>
      </w:r>
    </w:p>
    <w:p w14:paraId="5D6935AE" w14:textId="59C62929" w:rsidR="00A6721C" w:rsidRPr="00A6721C" w:rsidRDefault="00A6721C" w:rsidP="004B384D">
      <w:pPr>
        <w:rPr>
          <w:rFonts w:asciiTheme="minorHAnsi" w:hAnsiTheme="minorHAnsi" w:cstheme="minorHAnsi"/>
          <w:b/>
          <w:color w:val="000000" w:themeColor="text1"/>
        </w:rPr>
      </w:pPr>
      <w:r w:rsidRPr="00A6721C">
        <w:rPr>
          <w:rFonts w:asciiTheme="minorHAnsi" w:hAnsiTheme="minorHAnsi" w:cstheme="minorHAnsi"/>
          <w:b/>
          <w:color w:val="000000" w:themeColor="text1"/>
        </w:rPr>
        <w:t xml:space="preserve">CER 2018l, </w:t>
      </w:r>
      <w:r w:rsidRPr="00A6721C">
        <w:rPr>
          <w:rFonts w:asciiTheme="minorHAnsi" w:hAnsiTheme="minorHAnsi" w:cstheme="minorHAnsi"/>
          <w:i/>
          <w:color w:val="000000" w:themeColor="text1"/>
        </w:rPr>
        <w:t>ACCU market update – December 2018</w:t>
      </w:r>
      <w:r w:rsidRPr="00A6721C">
        <w:rPr>
          <w:rFonts w:asciiTheme="minorHAnsi" w:hAnsiTheme="minorHAnsi" w:cstheme="minorHAnsi"/>
          <w:color w:val="000000" w:themeColor="text1"/>
        </w:rPr>
        <w:t xml:space="preserve"> viewed 20 December 2018, </w:t>
      </w:r>
      <w:hyperlink r:id="rId68" w:history="1">
        <w:r w:rsidRPr="00A6721C">
          <w:rPr>
            <w:rStyle w:val="Hyperlink"/>
            <w:rFonts w:asciiTheme="minorHAnsi" w:hAnsiTheme="minorHAnsi" w:cstheme="minorHAnsi"/>
          </w:rPr>
          <w:t>http://www.cleanenergyregulator.gov.au/Infohub/Markets/buying-accus/australian-carbon-credit-unit-market-updates/december-2018</w:t>
        </w:r>
      </w:hyperlink>
      <w:r w:rsidRPr="00A6721C">
        <w:rPr>
          <w:rFonts w:asciiTheme="minorHAnsi" w:hAnsiTheme="minorHAnsi" w:cstheme="minorHAnsi"/>
          <w:color w:val="000000" w:themeColor="text1"/>
        </w:rPr>
        <w:t>.</w:t>
      </w:r>
      <w:r>
        <w:rPr>
          <w:rFonts w:asciiTheme="minorHAnsi" w:hAnsiTheme="minorHAnsi" w:cstheme="minorHAnsi"/>
          <w:b/>
          <w:color w:val="000000" w:themeColor="text1"/>
        </w:rPr>
        <w:t xml:space="preserve"> </w:t>
      </w:r>
    </w:p>
    <w:p w14:paraId="68174040"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2017a,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Regulator Performance Framework Self-Assessment Report,</w:t>
      </w:r>
      <w:r w:rsidRPr="00BC413D">
        <w:rPr>
          <w:rFonts w:asciiTheme="minorHAnsi" w:hAnsiTheme="minorHAnsi" w:cstheme="minorHAnsi"/>
          <w:color w:val="000000" w:themeColor="text1"/>
        </w:rPr>
        <w:t xml:space="preserve"> CER, Canberra, </w:t>
      </w:r>
    </w:p>
    <w:p w14:paraId="5F08C8FD"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2017b,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What data is published and why</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69" w:history="1">
        <w:r w:rsidRPr="00BC413D">
          <w:rPr>
            <w:rStyle w:val="Hyperlink"/>
            <w:rFonts w:asciiTheme="minorHAnsi" w:hAnsiTheme="minorHAnsi" w:cstheme="minorHAnsi"/>
            <w:color w:val="000000" w:themeColor="text1"/>
          </w:rPr>
          <w:t>http://www.cleanenergyregulator.gov.au/NGER/National%20greenhouse%20and%20energy%20reporting%20data/What-data-is-published-and-why</w:t>
        </w:r>
      </w:hyperlink>
      <w:r w:rsidRPr="00BC413D">
        <w:rPr>
          <w:rFonts w:asciiTheme="minorHAnsi" w:hAnsiTheme="minorHAnsi" w:cstheme="minorHAnsi"/>
          <w:color w:val="000000" w:themeColor="text1"/>
        </w:rPr>
        <w:t xml:space="preserve">. </w:t>
      </w:r>
    </w:p>
    <w:p w14:paraId="6F1387C5" w14:textId="77777777" w:rsidR="00C01B87" w:rsidRPr="00BC413D" w:rsidRDefault="00C01B87"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2017c,</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Facilities method</w:t>
      </w:r>
      <w:r w:rsidR="003B012F" w:rsidRPr="00BC413D">
        <w:rPr>
          <w:rFonts w:asciiTheme="minorHAnsi" w:hAnsiTheme="minorHAnsi" w:cstheme="minorHAnsi"/>
          <w:color w:val="000000" w:themeColor="text1"/>
        </w:rPr>
        <w:t>,</w:t>
      </w:r>
      <w:r w:rsidRPr="00BC413D">
        <w:rPr>
          <w:rFonts w:asciiTheme="minorHAnsi" w:hAnsiTheme="minorHAnsi" w:cstheme="minorHAnsi"/>
          <w:i/>
          <w:color w:val="000000" w:themeColor="text1"/>
        </w:rPr>
        <w:t xml:space="preserve"> </w:t>
      </w:r>
      <w:r w:rsidRPr="00BC413D">
        <w:rPr>
          <w:rFonts w:asciiTheme="minorHAnsi" w:hAnsiTheme="minorHAnsi" w:cstheme="minorHAnsi"/>
          <w:color w:val="000000" w:themeColor="text1"/>
        </w:rPr>
        <w:t xml:space="preserve">viewed 5 December 2018, </w:t>
      </w:r>
      <w:hyperlink r:id="rId70" w:history="1">
        <w:r w:rsidRPr="00BC413D">
          <w:rPr>
            <w:rStyle w:val="Hyperlink"/>
            <w:rFonts w:asciiTheme="minorHAnsi" w:hAnsiTheme="minorHAnsi" w:cstheme="minorHAnsi"/>
            <w:color w:val="000000" w:themeColor="text1"/>
          </w:rPr>
          <w:t>http://www.cleanenergyregulator.gov.au/ERF/Choosing-a-project-type/Opportunities-for-industry/facility-methods/facilities-method</w:t>
        </w:r>
      </w:hyperlink>
    </w:p>
    <w:p w14:paraId="5B4C860D"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2016a,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Register and deregister</w:t>
      </w:r>
      <w:r w:rsidR="003B012F"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71" w:history="1">
        <w:r w:rsidRPr="00BC413D">
          <w:rPr>
            <w:rStyle w:val="Hyperlink"/>
            <w:rFonts w:asciiTheme="minorHAnsi" w:hAnsiTheme="minorHAnsi" w:cstheme="minorHAnsi"/>
            <w:color w:val="000000" w:themeColor="text1"/>
          </w:rPr>
          <w:t>http://www.cleanenergyregulator.gov.au/NGER/Reporting-cycle/Register-and-deregister</w:t>
        </w:r>
      </w:hyperlink>
      <w:r w:rsidRPr="00BC413D">
        <w:rPr>
          <w:rFonts w:asciiTheme="minorHAnsi" w:hAnsiTheme="minorHAnsi" w:cstheme="minorHAnsi"/>
          <w:color w:val="000000" w:themeColor="text1"/>
        </w:rPr>
        <w:t xml:space="preserve">. </w:t>
      </w:r>
    </w:p>
    <w:p w14:paraId="21BF99BC"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2016b,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Report</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72" w:history="1">
        <w:r w:rsidRPr="00BC413D">
          <w:rPr>
            <w:rStyle w:val="Hyperlink"/>
            <w:rFonts w:asciiTheme="minorHAnsi" w:hAnsiTheme="minorHAnsi" w:cstheme="minorHAnsi"/>
            <w:color w:val="000000" w:themeColor="text1"/>
          </w:rPr>
          <w:t>http://www.cleanenergyregulator.gov.au/NGER/Reporting-cycle/Report</w:t>
        </w:r>
      </w:hyperlink>
      <w:r w:rsidRPr="00BC413D">
        <w:rPr>
          <w:rFonts w:asciiTheme="minorHAnsi" w:hAnsiTheme="minorHAnsi" w:cstheme="minorHAnsi"/>
          <w:color w:val="000000" w:themeColor="text1"/>
        </w:rPr>
        <w:t xml:space="preserve">. </w:t>
      </w:r>
    </w:p>
    <w:p w14:paraId="4E79822F" w14:textId="3249F3AC" w:rsidR="004B384D" w:rsidRPr="00BC413D" w:rsidRDefault="00D6360C" w:rsidP="004B384D">
      <w:pPr>
        <w:rPr>
          <w:rFonts w:asciiTheme="minorHAnsi" w:hAnsiTheme="minorHAnsi" w:cstheme="minorHAnsi"/>
          <w:color w:val="000000" w:themeColor="text1"/>
        </w:rPr>
      </w:pPr>
      <w:r>
        <w:rPr>
          <w:rFonts w:asciiTheme="minorHAnsi" w:hAnsiTheme="minorHAnsi" w:cstheme="minorHAnsi"/>
          <w:b/>
          <w:color w:val="000000" w:themeColor="text1"/>
        </w:rPr>
        <w:t>CER 2016d,</w:t>
      </w:r>
      <w:r w:rsidR="004B384D" w:rsidRPr="00BC413D">
        <w:rPr>
          <w:rFonts w:asciiTheme="minorHAnsi" w:hAnsiTheme="minorHAnsi" w:cstheme="minorHAnsi"/>
          <w:color w:val="000000" w:themeColor="text1"/>
        </w:rPr>
        <w:t xml:space="preserve"> </w:t>
      </w:r>
      <w:r w:rsidR="004B384D" w:rsidRPr="00BC413D">
        <w:rPr>
          <w:rFonts w:asciiTheme="minorHAnsi" w:hAnsiTheme="minorHAnsi" w:cstheme="minorHAnsi"/>
          <w:i/>
          <w:color w:val="000000" w:themeColor="text1"/>
        </w:rPr>
        <w:t>The Australian national registry of emissions units</w:t>
      </w:r>
      <w:r w:rsidR="008D7DC5" w:rsidRPr="00BC413D">
        <w:rPr>
          <w:rFonts w:asciiTheme="minorHAnsi" w:hAnsiTheme="minorHAnsi" w:cstheme="minorHAnsi"/>
          <w:color w:val="000000" w:themeColor="text1"/>
        </w:rPr>
        <w:t>,</w:t>
      </w:r>
      <w:r w:rsidR="004B384D" w:rsidRPr="00BC413D">
        <w:rPr>
          <w:rFonts w:asciiTheme="minorHAnsi" w:hAnsiTheme="minorHAnsi" w:cstheme="minorHAnsi"/>
          <w:color w:val="000000" w:themeColor="text1"/>
        </w:rPr>
        <w:t xml:space="preserve"> viewed 4 December 2018, </w:t>
      </w:r>
      <w:hyperlink r:id="rId73" w:history="1">
        <w:r w:rsidR="00107726" w:rsidRPr="00BC413D">
          <w:rPr>
            <w:rStyle w:val="Hyperlink"/>
            <w:rFonts w:asciiTheme="minorHAnsi" w:hAnsiTheme="minorHAnsi" w:cstheme="minorHAnsi"/>
            <w:color w:val="000000" w:themeColor="text1"/>
          </w:rPr>
          <w:t>http://www.cleanenergyregulator.gov.au/OSR/ANREU/The-Australian-national-registry-of-emissions-units</w:t>
        </w:r>
      </w:hyperlink>
      <w:r w:rsidR="004B384D" w:rsidRPr="00BC413D">
        <w:rPr>
          <w:rFonts w:asciiTheme="minorHAnsi" w:hAnsiTheme="minorHAnsi" w:cstheme="minorHAnsi"/>
          <w:color w:val="000000" w:themeColor="text1"/>
        </w:rPr>
        <w:t>.</w:t>
      </w:r>
      <w:r w:rsidR="00107726" w:rsidRPr="00BC413D">
        <w:rPr>
          <w:rFonts w:asciiTheme="minorHAnsi" w:hAnsiTheme="minorHAnsi" w:cstheme="minorHAnsi"/>
          <w:color w:val="000000" w:themeColor="text1"/>
        </w:rPr>
        <w:t xml:space="preserve"> </w:t>
      </w:r>
    </w:p>
    <w:p w14:paraId="26842A74"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CER 2015,</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About the mechanism</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74" w:history="1">
        <w:r w:rsidRPr="00BC413D">
          <w:rPr>
            <w:rStyle w:val="Hyperlink"/>
            <w:rFonts w:asciiTheme="minorHAnsi" w:hAnsiTheme="minorHAnsi" w:cstheme="minorHAnsi"/>
            <w:color w:val="000000" w:themeColor="text1"/>
          </w:rPr>
          <w:t>http://www.cleanenergyregulator.gov.au/Infohub/CPM/About-the-mechanism</w:t>
        </w:r>
      </w:hyperlink>
      <w:r w:rsidRPr="00BC413D">
        <w:rPr>
          <w:rFonts w:asciiTheme="minorHAnsi" w:hAnsiTheme="minorHAnsi" w:cstheme="minorHAnsi"/>
          <w:color w:val="000000" w:themeColor="text1"/>
        </w:rPr>
        <w:t xml:space="preserve">. </w:t>
      </w:r>
    </w:p>
    <w:p w14:paraId="175547C4" w14:textId="77777777" w:rsidR="00F87588" w:rsidRPr="00BC413D" w:rsidRDefault="00F87588" w:rsidP="004B384D">
      <w:pPr>
        <w:rPr>
          <w:rFonts w:asciiTheme="minorHAnsi" w:hAnsiTheme="minorHAnsi" w:cstheme="minorHAnsi"/>
          <w:color w:val="000000" w:themeColor="text1"/>
        </w:rPr>
      </w:pPr>
      <w:r w:rsidRPr="00BC413D">
        <w:rPr>
          <w:rFonts w:asciiTheme="minorHAnsi" w:hAnsiTheme="minorHAnsi" w:cstheme="minorHAnsi"/>
          <w:i/>
          <w:color w:val="000000" w:themeColor="text1"/>
        </w:rPr>
        <w:t>Climate Change Authority Act 2011</w:t>
      </w:r>
      <w:r w:rsidRPr="00BC413D">
        <w:rPr>
          <w:rFonts w:asciiTheme="minorHAnsi" w:hAnsiTheme="minorHAnsi" w:cstheme="minorHAnsi"/>
          <w:color w:val="000000" w:themeColor="text1"/>
        </w:rPr>
        <w:t xml:space="preserve"> (Cth).</w:t>
      </w:r>
    </w:p>
    <w:p w14:paraId="3DAEE566"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Climate Change Authority (CCA)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Reaping the rewards: improving farm profitability, reducing emissions and conserving natural capital – final report,</w:t>
      </w:r>
      <w:r w:rsidRPr="00BC413D">
        <w:rPr>
          <w:rFonts w:asciiTheme="minorHAnsi" w:hAnsiTheme="minorHAnsi" w:cstheme="minorHAnsi"/>
          <w:color w:val="000000" w:themeColor="text1"/>
        </w:rPr>
        <w:t xml:space="preserve"> CCA, Canberra.</w:t>
      </w:r>
    </w:p>
    <w:p w14:paraId="79A3408F"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CCA 2017</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Review of the Emissions Reduction Fund, </w:t>
      </w:r>
      <w:r w:rsidRPr="00BC413D">
        <w:rPr>
          <w:rFonts w:asciiTheme="minorHAnsi" w:hAnsiTheme="minorHAnsi" w:cstheme="minorHAnsi"/>
          <w:color w:val="000000" w:themeColor="text1"/>
        </w:rPr>
        <w:t>CCA, Canberra.</w:t>
      </w:r>
    </w:p>
    <w:p w14:paraId="06F0AB3C"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CCA 2016,</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Towards a climate policy toolkit: Special review on Australia’s climate goals and policies,</w:t>
      </w:r>
      <w:r w:rsidRPr="00BC413D">
        <w:rPr>
          <w:rFonts w:asciiTheme="minorHAnsi" w:hAnsiTheme="minorHAnsi" w:cstheme="minorHAnsi"/>
          <w:color w:val="000000" w:themeColor="text1"/>
        </w:rPr>
        <w:t xml:space="preserve"> CCA, Melbourne.</w:t>
      </w:r>
    </w:p>
    <w:p w14:paraId="59E5C4E2"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CCA and Australian Energy Market Commission (AEMC) 2017</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Towards the next generation: delivering affordable, secure and lower emissions power, </w:t>
      </w:r>
      <w:r w:rsidRPr="00BC413D">
        <w:rPr>
          <w:rFonts w:asciiTheme="minorHAnsi" w:hAnsiTheme="minorHAnsi" w:cstheme="minorHAnsi"/>
          <w:color w:val="000000" w:themeColor="text1"/>
        </w:rPr>
        <w:t xml:space="preserve">CCA, Canberra. </w:t>
      </w:r>
    </w:p>
    <w:p w14:paraId="5EBEF2C2" w14:textId="189A1C6F" w:rsidR="004B384D" w:rsidRPr="00BC413D" w:rsidRDefault="004B384D" w:rsidP="004B384D">
      <w:pPr>
        <w:rPr>
          <w:rFonts w:asciiTheme="minorHAnsi" w:hAnsiTheme="minorHAnsi" w:cstheme="minorHAnsi"/>
          <w:i/>
          <w:color w:val="000000" w:themeColor="text1"/>
        </w:rPr>
      </w:pPr>
      <w:r w:rsidRPr="00BC413D">
        <w:rPr>
          <w:rFonts w:asciiTheme="minorHAnsi" w:hAnsiTheme="minorHAnsi" w:cstheme="minorHAnsi"/>
          <w:b/>
          <w:color w:val="000000" w:themeColor="text1"/>
        </w:rPr>
        <w:t>Climate &amp; Clean Air Coalition (CCAC) 2016,</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The Marrakech Communiqué</w:t>
      </w:r>
      <w:r w:rsidR="00AF18CA">
        <w:rPr>
          <w:rFonts w:asciiTheme="minorHAnsi" w:hAnsiTheme="minorHAnsi" w:cstheme="minorHAnsi"/>
          <w:i/>
          <w:color w:val="000000" w:themeColor="text1"/>
        </w:rPr>
        <w:t>,</w:t>
      </w:r>
      <w:r w:rsidR="006668B2">
        <w:rPr>
          <w:rFonts w:asciiTheme="minorHAnsi" w:hAnsiTheme="minorHAnsi" w:cstheme="minorHAnsi"/>
          <w:color w:val="000000" w:themeColor="text1"/>
        </w:rPr>
        <w:t xml:space="preserve"> viewed 18 December 2018, </w:t>
      </w:r>
      <w:hyperlink r:id="rId75" w:history="1">
        <w:r w:rsidR="006668B2" w:rsidRPr="006668B2">
          <w:rPr>
            <w:rStyle w:val="Hyperlink"/>
            <w:rFonts w:asciiTheme="minorHAnsi" w:hAnsiTheme="minorHAnsi" w:cstheme="minorHAnsi"/>
          </w:rPr>
          <w:t>http://www.ccacoalition.org/ru/resources/marrakech-communique</w:t>
        </w:r>
      </w:hyperlink>
      <w:r w:rsidRPr="00BC413D">
        <w:rPr>
          <w:rFonts w:asciiTheme="minorHAnsi" w:hAnsiTheme="minorHAnsi" w:cstheme="minorHAnsi"/>
          <w:i/>
          <w:color w:val="000000" w:themeColor="text1"/>
        </w:rPr>
        <w:t xml:space="preserve">. </w:t>
      </w:r>
    </w:p>
    <w:p w14:paraId="5E73E274" w14:textId="77777777" w:rsidR="00FD38C2" w:rsidRPr="00BC413D" w:rsidRDefault="00FD38C2" w:rsidP="004B384D">
      <w:pPr>
        <w:tabs>
          <w:tab w:val="left" w:pos="1290"/>
        </w:tabs>
        <w:rPr>
          <w:rFonts w:asciiTheme="minorHAnsi" w:hAnsiTheme="minorHAnsi" w:cstheme="minorHAnsi"/>
          <w:b/>
          <w:color w:val="000000" w:themeColor="text1"/>
        </w:rPr>
      </w:pPr>
      <w:r w:rsidRPr="00BC413D">
        <w:rPr>
          <w:rFonts w:asciiTheme="minorHAnsi" w:hAnsiTheme="minorHAnsi" w:cstheme="minorHAnsi"/>
          <w:i/>
          <w:color w:val="000000" w:themeColor="text1"/>
        </w:rPr>
        <w:t>Climate Change Response Act 2002</w:t>
      </w:r>
      <w:r w:rsidRPr="00BC413D">
        <w:rPr>
          <w:rFonts w:asciiTheme="minorHAnsi" w:hAnsiTheme="minorHAnsi" w:cstheme="minorHAnsi"/>
          <w:color w:val="000000" w:themeColor="text1"/>
        </w:rPr>
        <w:t xml:space="preserve"> (New Zealand)</w:t>
      </w:r>
    </w:p>
    <w:p w14:paraId="1EC35E26" w14:textId="77777777" w:rsidR="004B384D" w:rsidRPr="00BC413D" w:rsidRDefault="004B384D" w:rsidP="004B384D">
      <w:pPr>
        <w:tabs>
          <w:tab w:val="left" w:pos="1290"/>
        </w:tabs>
        <w:rPr>
          <w:rFonts w:asciiTheme="minorHAnsi" w:hAnsiTheme="minorHAnsi" w:cstheme="minorHAnsi"/>
          <w:color w:val="000000" w:themeColor="text1"/>
        </w:rPr>
      </w:pPr>
      <w:r w:rsidRPr="00BC413D">
        <w:rPr>
          <w:rFonts w:asciiTheme="minorHAnsi" w:hAnsiTheme="minorHAnsi" w:cstheme="minorHAnsi"/>
          <w:b/>
          <w:color w:val="000000" w:themeColor="text1"/>
        </w:rPr>
        <w:t>Commonwealth of Australia 2018a,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National Greenhouse Accounts Factors – Australian National Greenhouse Accounts, </w:t>
      </w:r>
      <w:r w:rsidRPr="00BC413D">
        <w:rPr>
          <w:rFonts w:asciiTheme="minorHAnsi" w:hAnsiTheme="minorHAnsi" w:cstheme="minorHAnsi"/>
          <w:color w:val="000000" w:themeColor="text1"/>
        </w:rPr>
        <w:t>Department of the Environment and Energy, Canberra.</w:t>
      </w:r>
      <w:r w:rsidRPr="00BC413D">
        <w:rPr>
          <w:rFonts w:asciiTheme="minorHAnsi" w:hAnsiTheme="minorHAnsi" w:cstheme="minorHAnsi"/>
          <w:color w:val="000000" w:themeColor="text1"/>
        </w:rPr>
        <w:tab/>
      </w:r>
    </w:p>
    <w:p w14:paraId="47FFA1C2"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Commonwealth of Australia 2018b, </w:t>
      </w:r>
      <w:r w:rsidRPr="00BC413D">
        <w:rPr>
          <w:rFonts w:asciiTheme="minorHAnsi" w:hAnsiTheme="minorHAnsi" w:cstheme="minorHAnsi"/>
          <w:i/>
          <w:color w:val="000000" w:themeColor="text1"/>
        </w:rPr>
        <w:t>National Inventory Report 2016 Volume 1,</w:t>
      </w:r>
      <w:r w:rsidRPr="00BC413D">
        <w:rPr>
          <w:rFonts w:asciiTheme="minorHAnsi" w:hAnsiTheme="minorHAnsi" w:cstheme="minorHAnsi"/>
          <w:color w:val="000000" w:themeColor="text1"/>
        </w:rPr>
        <w:t xml:space="preserve"> Department of Environment and Energy, Canberra.</w:t>
      </w:r>
    </w:p>
    <w:p w14:paraId="34ED7408"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Commonwealth of Australia 2018c,</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The Review of the National Pollutant Inventory Discussion Paper,</w:t>
      </w:r>
      <w:r w:rsidRPr="00BC413D">
        <w:rPr>
          <w:rFonts w:asciiTheme="minorHAnsi" w:hAnsiTheme="minorHAnsi" w:cstheme="minorHAnsi"/>
          <w:color w:val="000000" w:themeColor="text1"/>
        </w:rPr>
        <w:t xml:space="preserve"> National Environment Protection Council, Canberra.</w:t>
      </w:r>
    </w:p>
    <w:p w14:paraId="1489279B"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Commonwealth of Australia 2018d,</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Quarterly Update of Australia’s National Greenhouse Gas Inventory: June 2018,</w:t>
      </w:r>
      <w:r w:rsidRPr="00BC413D">
        <w:rPr>
          <w:rFonts w:asciiTheme="minorHAnsi" w:hAnsiTheme="minorHAnsi" w:cstheme="minorHAnsi"/>
          <w:color w:val="000000" w:themeColor="text1"/>
        </w:rPr>
        <w:t xml:space="preserve"> Department of the Environment and Energy, Canberra.</w:t>
      </w:r>
    </w:p>
    <w:p w14:paraId="12EB870B" w14:textId="00F64084" w:rsidR="00AC4164" w:rsidRDefault="00AC4164" w:rsidP="004B384D">
      <w:pPr>
        <w:rPr>
          <w:rFonts w:asciiTheme="minorHAnsi" w:hAnsiTheme="minorHAnsi" w:cstheme="minorHAnsi"/>
          <w:color w:val="000000" w:themeColor="text1"/>
        </w:rPr>
      </w:pPr>
      <w:r>
        <w:rPr>
          <w:rFonts w:asciiTheme="minorHAnsi" w:hAnsiTheme="minorHAnsi" w:cstheme="minorHAnsi"/>
          <w:b/>
          <w:color w:val="000000" w:themeColor="text1"/>
        </w:rPr>
        <w:t>Commonwealth of Australia 2018e</w:t>
      </w:r>
      <w:r w:rsidRPr="00BC413D">
        <w:rPr>
          <w:rFonts w:asciiTheme="minorHAnsi" w:hAnsiTheme="minorHAnsi" w:cstheme="minorHAnsi"/>
          <w:b/>
          <w:color w:val="000000" w:themeColor="text1"/>
        </w:rPr>
        <w:t>,</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Australia’s emissions projections 201</w:t>
      </w:r>
      <w:r>
        <w:rPr>
          <w:rFonts w:asciiTheme="minorHAnsi" w:hAnsiTheme="minorHAnsi" w:cstheme="minorHAnsi"/>
          <w:i/>
          <w:color w:val="000000" w:themeColor="text1"/>
        </w:rPr>
        <w:t>8</w:t>
      </w:r>
      <w:r w:rsidRPr="00BC413D">
        <w:rPr>
          <w:rFonts w:asciiTheme="minorHAnsi" w:hAnsiTheme="minorHAnsi" w:cstheme="minorHAnsi"/>
          <w:i/>
          <w:color w:val="000000" w:themeColor="text1"/>
        </w:rPr>
        <w:t>,</w:t>
      </w:r>
      <w:r w:rsidRPr="00BC413D">
        <w:rPr>
          <w:rFonts w:asciiTheme="minorHAnsi" w:hAnsiTheme="minorHAnsi" w:cstheme="minorHAnsi"/>
          <w:color w:val="000000" w:themeColor="text1"/>
        </w:rPr>
        <w:t xml:space="preserve"> Department of the Environment and Energy, Canberra.</w:t>
      </w:r>
    </w:p>
    <w:p w14:paraId="6CC130D5" w14:textId="70A864FE"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Commonwealth of Australia 2017a,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Australia’s emissions projections 2017,</w:t>
      </w:r>
      <w:r w:rsidRPr="00BC413D">
        <w:rPr>
          <w:rFonts w:asciiTheme="minorHAnsi" w:hAnsiTheme="minorHAnsi" w:cstheme="minorHAnsi"/>
          <w:color w:val="000000" w:themeColor="text1"/>
        </w:rPr>
        <w:t xml:space="preserve"> Department of the Environment and Energy, Canberra.</w:t>
      </w:r>
    </w:p>
    <w:p w14:paraId="4A7B5F2D"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Commonwealth of Australia 2017b,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2017 Review of Climate Change Policies,</w:t>
      </w:r>
      <w:r w:rsidRPr="00BC413D">
        <w:rPr>
          <w:rFonts w:asciiTheme="minorHAnsi" w:hAnsiTheme="minorHAnsi" w:cstheme="minorHAnsi"/>
          <w:color w:val="000000" w:themeColor="text1"/>
        </w:rPr>
        <w:t xml:space="preserve"> Department of the Environment and Energy, Canberra.</w:t>
      </w:r>
    </w:p>
    <w:p w14:paraId="79FF2EAA" w14:textId="77777777" w:rsidR="00C01B87" w:rsidRPr="00BC413D" w:rsidRDefault="00C01B87"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Commonwealth of Australia 2015, </w:t>
      </w:r>
      <w:r w:rsidRPr="00BC413D">
        <w:rPr>
          <w:rFonts w:asciiTheme="minorHAnsi" w:hAnsiTheme="minorHAnsi" w:cstheme="minorHAnsi"/>
          <w:i/>
          <w:color w:val="000000" w:themeColor="text1"/>
        </w:rPr>
        <w:t xml:space="preserve">Emissions Reduction Fund Methodology Determination Guidelines, </w:t>
      </w:r>
      <w:r w:rsidRPr="00BC413D">
        <w:rPr>
          <w:rFonts w:asciiTheme="minorHAnsi" w:hAnsiTheme="minorHAnsi" w:cstheme="minorHAnsi"/>
          <w:color w:val="000000" w:themeColor="text1"/>
        </w:rPr>
        <w:t>Department of the Environment, Canberra.</w:t>
      </w:r>
    </w:p>
    <w:p w14:paraId="4DAE307C"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CommTrade Carbon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CommTrade</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76" w:history="1">
        <w:r w:rsidRPr="00BC413D">
          <w:rPr>
            <w:rStyle w:val="Hyperlink"/>
            <w:rFonts w:asciiTheme="minorHAnsi" w:hAnsiTheme="minorHAnsi" w:cstheme="minorHAnsi"/>
            <w:color w:val="000000" w:themeColor="text1"/>
          </w:rPr>
          <w:t>https://www.commtrade.co.nz</w:t>
        </w:r>
      </w:hyperlink>
      <w:r w:rsidRPr="00BC413D">
        <w:rPr>
          <w:rFonts w:asciiTheme="minorHAnsi" w:hAnsiTheme="minorHAnsi" w:cstheme="minorHAnsi"/>
          <w:color w:val="000000" w:themeColor="text1"/>
        </w:rPr>
        <w:t xml:space="preserve">. </w:t>
      </w:r>
    </w:p>
    <w:p w14:paraId="2E86E149" w14:textId="77777777" w:rsidR="00F87588" w:rsidRPr="00BC413D" w:rsidRDefault="00F87588" w:rsidP="004B384D">
      <w:pPr>
        <w:rPr>
          <w:rFonts w:asciiTheme="minorHAnsi" w:hAnsiTheme="minorHAnsi" w:cstheme="minorHAnsi"/>
          <w:color w:val="000000" w:themeColor="text1"/>
        </w:rPr>
      </w:pPr>
      <w:r w:rsidRPr="00BC413D">
        <w:rPr>
          <w:rFonts w:asciiTheme="minorHAnsi" w:hAnsiTheme="minorHAnsi" w:cstheme="minorHAnsi"/>
          <w:i/>
          <w:color w:val="000000" w:themeColor="text1"/>
        </w:rPr>
        <w:t>Corporations Act 2001</w:t>
      </w:r>
      <w:r w:rsidRPr="00BC413D">
        <w:rPr>
          <w:rFonts w:asciiTheme="minorHAnsi" w:hAnsiTheme="minorHAnsi" w:cstheme="minorHAnsi"/>
          <w:color w:val="000000" w:themeColor="text1"/>
        </w:rPr>
        <w:t xml:space="preserve"> (Cth).</w:t>
      </w:r>
    </w:p>
    <w:p w14:paraId="7371609A"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Department of Agriculture and Water Resources (DAWR)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AGSURF Data</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77" w:history="1">
        <w:r w:rsidRPr="00BC413D">
          <w:rPr>
            <w:rStyle w:val="Hyperlink"/>
            <w:rFonts w:asciiTheme="minorHAnsi" w:hAnsiTheme="minorHAnsi" w:cstheme="minorHAnsi"/>
            <w:color w:val="000000" w:themeColor="text1"/>
          </w:rPr>
          <w:t>http://apps.daff.gov.au/AGSURF/agsurf.asp</w:t>
        </w:r>
      </w:hyperlink>
      <w:r w:rsidRPr="00BC413D">
        <w:rPr>
          <w:rFonts w:asciiTheme="minorHAnsi" w:hAnsiTheme="minorHAnsi" w:cstheme="minorHAnsi"/>
          <w:color w:val="000000" w:themeColor="text1"/>
        </w:rPr>
        <w:t xml:space="preserve">. </w:t>
      </w:r>
    </w:p>
    <w:p w14:paraId="5F93F485"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Department of Climate Change 2009,</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National Greenhouse and Energy Reporting Streamlining Protocol, </w:t>
      </w:r>
      <w:r w:rsidRPr="00BC413D">
        <w:rPr>
          <w:rFonts w:asciiTheme="minorHAnsi" w:hAnsiTheme="minorHAnsi" w:cstheme="minorHAnsi"/>
          <w:color w:val="000000" w:themeColor="text1"/>
        </w:rPr>
        <w:t xml:space="preserve">Council of Australian Government Expert Group on Streamlining Greenhouse and Energy Reporting, Canberra.  </w:t>
      </w:r>
    </w:p>
    <w:p w14:paraId="4A1886D4"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Department of the Environment and Energy (DoEE) 2018a,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Consultation on amendments to the National Greenhouse and Energy Reporting (Safeguard Mechanism) Rule 2015</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w:t>
      </w:r>
      <w:r w:rsidR="008D7DC5" w:rsidRPr="00BC413D">
        <w:rPr>
          <w:rFonts w:asciiTheme="minorHAnsi" w:hAnsiTheme="minorHAnsi" w:cstheme="minorHAnsi"/>
          <w:color w:val="000000" w:themeColor="text1"/>
        </w:rPr>
        <w:t> </w:t>
      </w:r>
      <w:r w:rsidRPr="00BC413D">
        <w:rPr>
          <w:rFonts w:asciiTheme="minorHAnsi" w:hAnsiTheme="minorHAnsi" w:cstheme="minorHAnsi"/>
          <w:color w:val="000000" w:themeColor="text1"/>
        </w:rPr>
        <w:t xml:space="preserve">December 2018, </w:t>
      </w:r>
      <w:hyperlink r:id="rId78" w:history="1">
        <w:r w:rsidRPr="00BC413D">
          <w:rPr>
            <w:rStyle w:val="Hyperlink"/>
            <w:rFonts w:asciiTheme="minorHAnsi" w:hAnsiTheme="minorHAnsi" w:cstheme="minorHAnsi"/>
            <w:color w:val="000000" w:themeColor="text1"/>
          </w:rPr>
          <w:t>http://www.environment.gov.au/climate-change/government/emissions-reduction-fund/consultation/safeguard-mechanism-legislative-amendments-2018</w:t>
        </w:r>
      </w:hyperlink>
      <w:r w:rsidRPr="00BC413D">
        <w:rPr>
          <w:rFonts w:asciiTheme="minorHAnsi" w:hAnsiTheme="minorHAnsi" w:cstheme="minorHAnsi"/>
          <w:color w:val="000000" w:themeColor="text1"/>
        </w:rPr>
        <w:t xml:space="preserve">. </w:t>
      </w:r>
    </w:p>
    <w:p w14:paraId="29F95E2A" w14:textId="77777777" w:rsidR="004B384D" w:rsidRPr="00BC413D" w:rsidRDefault="004B384D" w:rsidP="004B384D">
      <w:pPr>
        <w:rPr>
          <w:rFonts w:asciiTheme="minorHAnsi" w:hAnsiTheme="minorHAnsi" w:cstheme="minorHAnsi"/>
          <w:i/>
          <w:color w:val="000000" w:themeColor="text1"/>
        </w:rPr>
      </w:pPr>
      <w:r w:rsidRPr="00BC413D">
        <w:rPr>
          <w:rFonts w:asciiTheme="minorHAnsi" w:hAnsiTheme="minorHAnsi" w:cstheme="minorHAnsi"/>
          <w:b/>
          <w:color w:val="000000" w:themeColor="text1"/>
        </w:rPr>
        <w:t>DoEE 2018b,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National Greenhouse and Energy Reporting (Safeguard Mechanism) Rule 2015 – Exposure draft compilation of proposed amendments to the safeguard rule.</w:t>
      </w:r>
    </w:p>
    <w:p w14:paraId="5E9E415B" w14:textId="1DDCF520" w:rsidR="00C01B87" w:rsidRPr="00BC413D" w:rsidRDefault="00C01B87" w:rsidP="004B384D">
      <w:pPr>
        <w:rPr>
          <w:rFonts w:asciiTheme="minorHAnsi" w:hAnsiTheme="minorHAnsi" w:cstheme="minorHAnsi"/>
          <w:i/>
          <w:color w:val="000000" w:themeColor="text1"/>
        </w:rPr>
      </w:pPr>
      <w:r w:rsidRPr="00BC413D">
        <w:rPr>
          <w:rFonts w:asciiTheme="minorHAnsi" w:hAnsiTheme="minorHAnsi" w:cstheme="minorHAnsi"/>
          <w:b/>
          <w:i/>
          <w:color w:val="000000" w:themeColor="text1"/>
        </w:rPr>
        <w:t>DoEE 2017,</w:t>
      </w:r>
      <w:r w:rsidRPr="00BC413D">
        <w:rPr>
          <w:rFonts w:asciiTheme="minorHAnsi" w:hAnsiTheme="minorHAnsi" w:cstheme="minorHAnsi"/>
          <w:i/>
          <w:color w:val="000000" w:themeColor="text1"/>
        </w:rPr>
        <w:t xml:space="preserve"> National Carbon Offset Standard for Organisations</w:t>
      </w:r>
      <w:r w:rsidR="00AF18CA">
        <w:rPr>
          <w:rFonts w:asciiTheme="minorHAnsi" w:hAnsiTheme="minorHAnsi" w:cstheme="minorHAnsi"/>
          <w:i/>
          <w:color w:val="000000" w:themeColor="text1"/>
        </w:rPr>
        <w: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79" w:history="1">
        <w:r w:rsidR="006668B2" w:rsidRPr="006668B2">
          <w:rPr>
            <w:rStyle w:val="Hyperlink"/>
            <w:rFonts w:asciiTheme="minorHAnsi" w:hAnsiTheme="minorHAnsi" w:cstheme="minorHAnsi"/>
          </w:rPr>
          <w:t>http://www.environment.gov.au/system/files/resources/d24bb1e1-3c93-4a78-98b0-61a8e506821c/files/ncos-organisations.pdf</w:t>
        </w:r>
      </w:hyperlink>
      <w:r w:rsidRPr="00BC413D">
        <w:rPr>
          <w:rFonts w:asciiTheme="minorHAnsi" w:hAnsiTheme="minorHAnsi" w:cstheme="minorHAnsi"/>
          <w:i/>
          <w:color w:val="000000" w:themeColor="text1"/>
        </w:rPr>
        <w:t xml:space="preserve">. </w:t>
      </w:r>
    </w:p>
    <w:p w14:paraId="783E2090" w14:textId="77777777" w:rsidR="004B384D" w:rsidRPr="00BC413D" w:rsidRDefault="004B384D" w:rsidP="004B384D">
      <w:pPr>
        <w:rPr>
          <w:rFonts w:asciiTheme="minorHAnsi" w:hAnsiTheme="minorHAnsi" w:cstheme="minorHAnsi"/>
          <w:i/>
          <w:color w:val="000000" w:themeColor="text1"/>
        </w:rPr>
      </w:pPr>
      <w:r w:rsidRPr="00BC413D">
        <w:rPr>
          <w:rFonts w:asciiTheme="minorHAnsi" w:hAnsiTheme="minorHAnsi" w:cstheme="minorHAnsi"/>
          <w:b/>
          <w:color w:val="000000" w:themeColor="text1"/>
        </w:rPr>
        <w:t>DoEE n.d.a,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Carbon neutral certified organisations, products and services and events</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w:t>
      </w:r>
      <w:r w:rsidR="008D7DC5" w:rsidRPr="00BC413D">
        <w:rPr>
          <w:rFonts w:asciiTheme="minorHAnsi" w:hAnsiTheme="minorHAnsi" w:cstheme="minorHAnsi"/>
          <w:color w:val="000000" w:themeColor="text1"/>
        </w:rPr>
        <w:t> </w:t>
      </w:r>
      <w:r w:rsidRPr="00BC413D">
        <w:rPr>
          <w:rFonts w:asciiTheme="minorHAnsi" w:hAnsiTheme="minorHAnsi" w:cstheme="minorHAnsi"/>
          <w:color w:val="000000" w:themeColor="text1"/>
        </w:rPr>
        <w:t xml:space="preserve">December 2018, </w:t>
      </w:r>
      <w:hyperlink r:id="rId80" w:anchor="Certified_organisations" w:history="1">
        <w:r w:rsidRPr="00BC413D">
          <w:rPr>
            <w:rStyle w:val="Hyperlink"/>
            <w:rFonts w:asciiTheme="minorHAnsi" w:hAnsiTheme="minorHAnsi" w:cstheme="minorHAnsi"/>
            <w:color w:val="000000" w:themeColor="text1"/>
          </w:rPr>
          <w:t>http://www.environment.gov.au/climate-change/government/carbon-neutral/certified-businesses#Certified_organisations</w:t>
        </w:r>
      </w:hyperlink>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 </w:t>
      </w:r>
    </w:p>
    <w:p w14:paraId="027432B8"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DoEE n.d.b,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International activity</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81" w:history="1">
        <w:r w:rsidRPr="00BC413D">
          <w:rPr>
            <w:rStyle w:val="Hyperlink"/>
            <w:rFonts w:asciiTheme="minorHAnsi" w:hAnsiTheme="minorHAnsi" w:cstheme="minorHAnsi"/>
            <w:color w:val="000000" w:themeColor="text1"/>
          </w:rPr>
          <w:t>https://www.energy.gov.au/government-priorities/international-activity</w:t>
        </w:r>
      </w:hyperlink>
      <w:r w:rsidRPr="00BC413D">
        <w:rPr>
          <w:rFonts w:asciiTheme="minorHAnsi" w:hAnsiTheme="minorHAnsi" w:cstheme="minorHAnsi"/>
          <w:color w:val="000000" w:themeColor="text1"/>
        </w:rPr>
        <w:t>.</w:t>
      </w:r>
    </w:p>
    <w:p w14:paraId="3ECA80CE" w14:textId="6DD8BF85"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DoEE n.d.c,</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National Carbon Offset Standard Appendix A</w:t>
      </w:r>
      <w:r w:rsidR="00AF18CA">
        <w:rPr>
          <w:rFonts w:asciiTheme="minorHAnsi" w:hAnsiTheme="minorHAnsi" w:cstheme="minorHAnsi"/>
          <w:i/>
          <w:color w:val="000000" w:themeColor="text1"/>
        </w:rPr>
        <w: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82" w:history="1">
        <w:r w:rsidR="006668B2" w:rsidRPr="006668B2">
          <w:rPr>
            <w:rStyle w:val="Hyperlink"/>
            <w:rFonts w:asciiTheme="minorHAnsi" w:hAnsiTheme="minorHAnsi" w:cstheme="minorHAnsi"/>
          </w:rPr>
          <w:t>http://www.environment.gov.au/system/files/resources/d0f92314-912f-405e-8982-d342dd932704/files/ncos-appendixa.pdf</w:t>
        </w:r>
      </w:hyperlink>
      <w:r w:rsidRPr="00BC413D">
        <w:rPr>
          <w:rFonts w:asciiTheme="minorHAnsi" w:hAnsiTheme="minorHAnsi" w:cstheme="minorHAnsi"/>
          <w:color w:val="000000" w:themeColor="text1"/>
        </w:rPr>
        <w:t xml:space="preserve">.  </w:t>
      </w:r>
    </w:p>
    <w:p w14:paraId="79BC2F02" w14:textId="77777777" w:rsidR="00C01B87" w:rsidRPr="00BC413D" w:rsidRDefault="00C01B87" w:rsidP="00C01B87">
      <w:pPr>
        <w:rPr>
          <w:rFonts w:asciiTheme="minorHAnsi" w:hAnsiTheme="minorHAnsi" w:cstheme="minorHAnsi"/>
          <w:color w:val="000000" w:themeColor="text1"/>
        </w:rPr>
      </w:pPr>
      <w:r w:rsidRPr="00BC413D">
        <w:rPr>
          <w:rFonts w:asciiTheme="minorHAnsi" w:hAnsiTheme="minorHAnsi" w:cstheme="minorHAnsi"/>
          <w:b/>
          <w:color w:val="000000" w:themeColor="text1"/>
        </w:rPr>
        <w:t>DoEE n.d.d,</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Energy Data</w:t>
      </w:r>
      <w:r w:rsidRPr="00BC413D">
        <w:rPr>
          <w:rFonts w:asciiTheme="minorHAnsi" w:hAnsiTheme="minorHAnsi" w:cstheme="minorHAnsi"/>
          <w:color w:val="000000" w:themeColor="text1"/>
        </w:rPr>
        <w:t xml:space="preserve"> viewed 5 December 2018, </w:t>
      </w:r>
      <w:hyperlink r:id="rId83" w:history="1">
        <w:r w:rsidRPr="00BC413D">
          <w:rPr>
            <w:rStyle w:val="Hyperlink"/>
            <w:rFonts w:asciiTheme="minorHAnsi" w:hAnsiTheme="minorHAnsi" w:cstheme="minorHAnsi"/>
            <w:color w:val="000000" w:themeColor="text1"/>
          </w:rPr>
          <w:t>https://www.energy.gov.au/government-priorities/energy-data</w:t>
        </w:r>
      </w:hyperlink>
    </w:p>
    <w:p w14:paraId="43645E35" w14:textId="77777777" w:rsidR="00C01B87" w:rsidRPr="00BC413D" w:rsidRDefault="00C01B87" w:rsidP="00C01B87">
      <w:pPr>
        <w:rPr>
          <w:rFonts w:asciiTheme="minorHAnsi" w:hAnsiTheme="minorHAnsi" w:cstheme="minorHAnsi"/>
          <w:color w:val="000000" w:themeColor="text1"/>
        </w:rPr>
      </w:pPr>
      <w:r w:rsidRPr="00BC413D">
        <w:rPr>
          <w:rFonts w:asciiTheme="minorHAnsi" w:hAnsiTheme="minorHAnsi" w:cstheme="minorHAnsi"/>
          <w:b/>
          <w:color w:val="000000" w:themeColor="text1"/>
        </w:rPr>
        <w:t>DoEE n.d.e,</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Energy security assessments</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5 December 2018, </w:t>
      </w:r>
      <w:hyperlink r:id="rId84" w:history="1">
        <w:r w:rsidRPr="00BC413D">
          <w:rPr>
            <w:rStyle w:val="Hyperlink"/>
            <w:rFonts w:asciiTheme="minorHAnsi" w:hAnsiTheme="minorHAnsi" w:cstheme="minorHAnsi"/>
            <w:color w:val="000000" w:themeColor="text1"/>
          </w:rPr>
          <w:t>https://www.energy.gov.au/government-priorities/energy-security/energy-security-assessments</w:t>
        </w:r>
      </w:hyperlink>
    </w:p>
    <w:p w14:paraId="7C7EE21B" w14:textId="77777777" w:rsidR="00C01B87" w:rsidRPr="00BC413D" w:rsidRDefault="00C01B87" w:rsidP="00C01B87">
      <w:pPr>
        <w:rPr>
          <w:rFonts w:asciiTheme="minorHAnsi" w:hAnsiTheme="minorHAnsi" w:cstheme="minorHAnsi"/>
          <w:color w:val="000000" w:themeColor="text1"/>
        </w:rPr>
      </w:pPr>
      <w:r w:rsidRPr="00BC413D">
        <w:rPr>
          <w:rFonts w:asciiTheme="minorHAnsi" w:hAnsiTheme="minorHAnsi" w:cstheme="minorHAnsi"/>
          <w:b/>
          <w:color w:val="000000" w:themeColor="text1"/>
        </w:rPr>
        <w:t>DoEE n.d.f,</w:t>
      </w:r>
      <w:r w:rsidRPr="00BC413D">
        <w:rPr>
          <w:rFonts w:asciiTheme="minorHAnsi" w:hAnsiTheme="minorHAnsi" w:cstheme="minorHAnsi"/>
          <w:i/>
          <w:color w:val="000000" w:themeColor="text1"/>
        </w:rPr>
        <w:t xml:space="preserve"> How the National Greenhouse Gas Inventory works</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5 December 2018, </w:t>
      </w:r>
      <w:hyperlink r:id="rId85" w:history="1">
        <w:r w:rsidRPr="00BC413D">
          <w:rPr>
            <w:rStyle w:val="Hyperlink"/>
            <w:rFonts w:asciiTheme="minorHAnsi" w:hAnsiTheme="minorHAnsi" w:cstheme="minorHAnsi"/>
            <w:color w:val="000000" w:themeColor="text1"/>
          </w:rPr>
          <w:t>http://www.environment.gov.au/climate-change/climate-science-data/greenhouse-gas-measurement/how-inventory-works</w:t>
        </w:r>
      </w:hyperlink>
    </w:p>
    <w:p w14:paraId="2AB51142" w14:textId="5F739F47" w:rsidR="00C01B87" w:rsidRPr="00BC413D" w:rsidRDefault="00C01B87"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DoEE n.d.g,</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Methodology for the 2017 Projections</w:t>
      </w:r>
      <w:r w:rsidR="00AF18CA">
        <w:rPr>
          <w:rFonts w:asciiTheme="minorHAnsi" w:hAnsiTheme="minorHAnsi" w:cstheme="minorHAnsi"/>
          <w:i/>
          <w:color w:val="000000" w:themeColor="text1"/>
        </w:rPr>
        <w: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86" w:history="1">
        <w:r w:rsidR="006668B2" w:rsidRPr="006668B2">
          <w:rPr>
            <w:rStyle w:val="Hyperlink"/>
            <w:rFonts w:asciiTheme="minorHAnsi" w:hAnsiTheme="minorHAnsi" w:cstheme="minorHAnsi"/>
          </w:rPr>
          <w:t>https://www.environment.gov.au/system/files/resources/eb62f30f-3e0f-4bfa-bb7a-c87818160fcf/files/2017-projections-methodology.pdf</w:t>
        </w:r>
      </w:hyperlink>
      <w:r w:rsidRPr="00BC413D">
        <w:rPr>
          <w:rFonts w:asciiTheme="minorHAnsi" w:hAnsiTheme="minorHAnsi" w:cstheme="minorHAnsi"/>
          <w:i/>
          <w:color w:val="000000" w:themeColor="text1"/>
        </w:rPr>
        <w:t>.</w:t>
      </w:r>
    </w:p>
    <w:p w14:paraId="7F63D6BB"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Department of Industry, Innovation, Climate Change, Science, Research and Tertiary Education (DIICCSRTE) n.d.a,</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Streamlining reporting under the National Greenhouse and Energy Reporting Scheme</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87" w:history="1">
        <w:r w:rsidRPr="00BC413D">
          <w:rPr>
            <w:rStyle w:val="Hyperlink"/>
            <w:rFonts w:asciiTheme="minorHAnsi" w:hAnsiTheme="minorHAnsi" w:cstheme="minorHAnsi"/>
            <w:color w:val="000000" w:themeColor="text1"/>
          </w:rPr>
          <w:t>http://pandora.nla.gov.au/pan/142904/20130920-1151/climatechange.gov.au/climate-change/greenhouse-gas-measurement-and-reporting/company-emissions-measurement/national/nger-consultations/streamlining-reporting-under-national-greenhouse-and-energy-reporting-scheme.html</w:t>
        </w:r>
      </w:hyperlink>
      <w:r w:rsidRPr="00BC413D">
        <w:rPr>
          <w:rFonts w:asciiTheme="minorHAnsi" w:hAnsiTheme="minorHAnsi" w:cstheme="minorHAnsi"/>
          <w:color w:val="000000" w:themeColor="text1"/>
        </w:rPr>
        <w:t xml:space="preserve">. </w:t>
      </w:r>
    </w:p>
    <w:p w14:paraId="3431C842" w14:textId="77777777" w:rsidR="004B384D" w:rsidRPr="00BC413D" w:rsidRDefault="004B384D" w:rsidP="004B384D">
      <w:pPr>
        <w:tabs>
          <w:tab w:val="left" w:pos="1290"/>
        </w:tabs>
        <w:rPr>
          <w:rFonts w:asciiTheme="minorHAnsi" w:hAnsiTheme="minorHAnsi" w:cstheme="minorHAnsi"/>
          <w:color w:val="000000" w:themeColor="text1"/>
        </w:rPr>
      </w:pPr>
      <w:r w:rsidRPr="00BC413D">
        <w:rPr>
          <w:rFonts w:asciiTheme="minorHAnsi" w:hAnsiTheme="minorHAnsi" w:cstheme="minorHAnsi"/>
          <w:b/>
          <w:color w:val="000000" w:themeColor="text1"/>
        </w:rPr>
        <w:t>DIICCSRTE n.d.b,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Treatment of renewable energy in the National Greenhouse and Energy Reporting System</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88" w:history="1">
        <w:r w:rsidRPr="00BC413D">
          <w:rPr>
            <w:rStyle w:val="Hyperlink"/>
            <w:rFonts w:asciiTheme="minorHAnsi" w:hAnsiTheme="minorHAnsi" w:cstheme="minorHAnsi"/>
            <w:color w:val="000000" w:themeColor="text1"/>
          </w:rPr>
          <w:t>http://webarchive.nla.gov.au/gov/20130905072559/http://www.climatechange.gov.au/climate-change/greenhouse-gas-measurement-and-reporting/company-emissions-measurement/national/nger-consultations/treatment-renewable-energy-national-greenhouse-and-energy-reporting-system</w:t>
        </w:r>
      </w:hyperlink>
      <w:r w:rsidRPr="00BC413D">
        <w:rPr>
          <w:rFonts w:asciiTheme="minorHAnsi" w:hAnsiTheme="minorHAnsi" w:cstheme="minorHAnsi"/>
          <w:color w:val="000000" w:themeColor="text1"/>
        </w:rPr>
        <w:t xml:space="preserve">. </w:t>
      </w:r>
    </w:p>
    <w:p w14:paraId="74DC5D6C"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Environment </w:t>
      </w:r>
      <w:r w:rsidR="00D564CE" w:rsidRPr="00BC413D">
        <w:rPr>
          <w:rFonts w:asciiTheme="minorHAnsi" w:hAnsiTheme="minorHAnsi" w:cstheme="minorHAnsi"/>
          <w:b/>
          <w:color w:val="000000" w:themeColor="text1"/>
        </w:rPr>
        <w:t>and Climate Change</w:t>
      </w:r>
      <w:r w:rsidRPr="00BC413D">
        <w:rPr>
          <w:rFonts w:asciiTheme="minorHAnsi" w:hAnsiTheme="minorHAnsi" w:cstheme="minorHAnsi"/>
          <w:b/>
          <w:color w:val="000000" w:themeColor="text1"/>
        </w:rPr>
        <w:t xml:space="preserve"> Canada 2017,</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Guidance</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89" w:history="1">
        <w:r w:rsidRPr="00BC413D">
          <w:rPr>
            <w:rStyle w:val="Hyperlink"/>
            <w:rFonts w:asciiTheme="minorHAnsi" w:hAnsiTheme="minorHAnsi" w:cstheme="minorHAnsi"/>
            <w:color w:val="000000" w:themeColor="text1"/>
          </w:rPr>
          <w:t>https://ec.gc.ca/gu-sw/default.asp?lang=En&amp;n=18E16F61-1&amp;offset=1</w:t>
        </w:r>
      </w:hyperlink>
      <w:r w:rsidRPr="00BC413D">
        <w:rPr>
          <w:rFonts w:asciiTheme="minorHAnsi" w:hAnsiTheme="minorHAnsi" w:cstheme="minorHAnsi"/>
          <w:color w:val="000000" w:themeColor="text1"/>
        </w:rPr>
        <w:t xml:space="preserve">. </w:t>
      </w:r>
    </w:p>
    <w:p w14:paraId="44F8E315" w14:textId="77777777" w:rsidR="00172E82" w:rsidRPr="00BC413D" w:rsidRDefault="00172E82" w:rsidP="004B384D">
      <w:pPr>
        <w:rPr>
          <w:rFonts w:asciiTheme="minorHAnsi" w:hAnsiTheme="minorHAnsi" w:cstheme="minorHAnsi"/>
          <w:b/>
          <w:color w:val="000000" w:themeColor="text1"/>
        </w:rPr>
      </w:pPr>
      <w:r w:rsidRPr="00BC413D">
        <w:rPr>
          <w:rFonts w:asciiTheme="minorHAnsi" w:hAnsiTheme="minorHAnsi" w:cstheme="minorHAnsi"/>
          <w:b/>
          <w:color w:val="000000" w:themeColor="text1"/>
        </w:rPr>
        <w:t>Environment and Climate Change Canada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Overview of 2016 reported emissions: facility greenhouse gas reporting program</w:t>
      </w:r>
      <w:r w:rsidRPr="00BC413D">
        <w:rPr>
          <w:rFonts w:asciiTheme="minorHAnsi" w:hAnsiTheme="minorHAnsi" w:cstheme="minorHAnsi"/>
          <w:color w:val="000000" w:themeColor="text1"/>
        </w:rPr>
        <w:t>, Environment and Climate Change Canada.</w:t>
      </w:r>
    </w:p>
    <w:p w14:paraId="1B2C775F" w14:textId="4CA66BAF"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European Commission (EC) n.d.</w:t>
      </w:r>
      <w:r w:rsidR="00EE6309" w:rsidRPr="00BC413D">
        <w:rPr>
          <w:rFonts w:asciiTheme="minorHAnsi" w:hAnsiTheme="minorHAnsi" w:cstheme="minorHAnsi"/>
          <w:b/>
          <w:color w:val="000000" w:themeColor="text1"/>
        </w:rPr>
        <w:t>a</w:t>
      </w:r>
      <w:r w:rsidRPr="00BC413D">
        <w:rPr>
          <w:rFonts w:asciiTheme="minorHAnsi" w:hAnsiTheme="minorHAnsi" w:cstheme="minorHAnsi"/>
          <w:b/>
          <w:color w:val="000000" w:themeColor="text1"/>
        </w:rPr>
        <w:t>,</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EU ETS Handbook</w:t>
      </w:r>
      <w:r w:rsidR="00AF18CA">
        <w:rPr>
          <w:rFonts w:asciiTheme="minorHAnsi" w:hAnsiTheme="minorHAnsi" w:cstheme="minorHAnsi"/>
          <w:i/>
          <w:color w:val="000000" w:themeColor="text1"/>
        </w:rPr>
        <w: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90" w:history="1">
        <w:r w:rsidR="006668B2" w:rsidRPr="006668B2">
          <w:rPr>
            <w:rStyle w:val="Hyperlink"/>
            <w:rFonts w:asciiTheme="minorHAnsi" w:hAnsiTheme="minorHAnsi" w:cstheme="minorHAnsi"/>
          </w:rPr>
          <w:t>https://ec.europa.eu/clima/sites/clima/files/docs/ets_handbook_en.pdf</w:t>
        </w:r>
      </w:hyperlink>
      <w:r w:rsidRPr="00BC413D">
        <w:rPr>
          <w:rFonts w:asciiTheme="minorHAnsi" w:hAnsiTheme="minorHAnsi" w:cstheme="minorHAnsi"/>
          <w:i/>
          <w:color w:val="000000" w:themeColor="text1"/>
        </w:rPr>
        <w:t>.</w:t>
      </w:r>
      <w:r w:rsidRPr="00BC413D">
        <w:rPr>
          <w:rFonts w:asciiTheme="minorHAnsi" w:hAnsiTheme="minorHAnsi" w:cstheme="minorHAnsi"/>
          <w:color w:val="000000" w:themeColor="text1"/>
        </w:rPr>
        <w:t xml:space="preserve"> </w:t>
      </w:r>
    </w:p>
    <w:p w14:paraId="13EC29B7" w14:textId="77777777" w:rsidR="00EE6309" w:rsidRPr="00BC413D" w:rsidRDefault="00EE6309"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European Commission n.d.b, </w:t>
      </w:r>
      <w:r w:rsidRPr="00BC413D">
        <w:rPr>
          <w:rFonts w:asciiTheme="minorHAnsi" w:hAnsiTheme="minorHAnsi" w:cstheme="minorHAnsi"/>
          <w:i/>
          <w:color w:val="000000" w:themeColor="text1"/>
        </w:rPr>
        <w:t>E</w:t>
      </w:r>
      <w:r w:rsidR="00D2213D" w:rsidRPr="00BC413D">
        <w:rPr>
          <w:rFonts w:asciiTheme="minorHAnsi" w:hAnsiTheme="minorHAnsi" w:cstheme="minorHAnsi"/>
          <w:i/>
          <w:color w:val="000000" w:themeColor="text1"/>
        </w:rPr>
        <w:t>U</w:t>
      </w:r>
      <w:r w:rsidRPr="00BC413D">
        <w:rPr>
          <w:rFonts w:asciiTheme="minorHAnsi" w:hAnsiTheme="minorHAnsi" w:cstheme="minorHAnsi"/>
          <w:i/>
          <w:color w:val="000000" w:themeColor="text1"/>
        </w:rPr>
        <w:t xml:space="preserve"> Emissions Trading System (EU ETS)</w:t>
      </w:r>
      <w:r w:rsidRPr="00BC413D">
        <w:rPr>
          <w:rFonts w:asciiTheme="minorHAnsi" w:hAnsiTheme="minorHAnsi" w:cstheme="minorHAnsi"/>
          <w:color w:val="000000" w:themeColor="text1"/>
        </w:rPr>
        <w:t xml:space="preserve">, viewed 5 December 2018, </w:t>
      </w:r>
      <w:hyperlink r:id="rId91" w:history="1">
        <w:r w:rsidR="00D2213D" w:rsidRPr="00BC413D">
          <w:rPr>
            <w:rStyle w:val="Hyperlink"/>
            <w:rFonts w:asciiTheme="minorHAnsi" w:hAnsiTheme="minorHAnsi" w:cstheme="minorHAnsi"/>
            <w:color w:val="000000" w:themeColor="text1"/>
          </w:rPr>
          <w:t>https://ec.europa.eu/clima/policies/ets_en</w:t>
        </w:r>
      </w:hyperlink>
      <w:r w:rsidR="00D2213D" w:rsidRPr="00BC413D">
        <w:rPr>
          <w:rFonts w:asciiTheme="minorHAnsi" w:hAnsiTheme="minorHAnsi" w:cstheme="minorHAnsi"/>
          <w:color w:val="000000" w:themeColor="text1"/>
        </w:rPr>
        <w:t>.</w:t>
      </w:r>
    </w:p>
    <w:p w14:paraId="66091FC7"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EY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Climate Risk Disclosure Barometer 2018</w:t>
      </w:r>
      <w:r w:rsidRPr="00BC413D">
        <w:rPr>
          <w:rFonts w:asciiTheme="minorHAnsi" w:hAnsiTheme="minorHAnsi" w:cstheme="minorHAnsi"/>
          <w:color w:val="000000" w:themeColor="text1"/>
        </w:rPr>
        <w:t>, EY, Australia.</w:t>
      </w:r>
    </w:p>
    <w:p w14:paraId="4F40AF24" w14:textId="44E8F534" w:rsidR="00AF18CA" w:rsidRPr="00AF18CA" w:rsidRDefault="00AF18CA" w:rsidP="004B384D">
      <w:pPr>
        <w:rPr>
          <w:rFonts w:asciiTheme="minorHAnsi" w:hAnsiTheme="minorHAnsi" w:cstheme="minorHAnsi"/>
          <w:i/>
          <w:color w:val="000000" w:themeColor="text1"/>
        </w:rPr>
      </w:pPr>
      <w:r w:rsidRPr="00AF18CA">
        <w:rPr>
          <w:rFonts w:asciiTheme="minorHAnsi" w:hAnsiTheme="minorHAnsi" w:cstheme="minorHAnsi"/>
          <w:b/>
          <w:color w:val="000000" w:themeColor="text1"/>
        </w:rPr>
        <w:t xml:space="preserve">Farm Animal Investment Risk &amp; Return (FAIRR) Initiative 2018, </w:t>
      </w:r>
      <w:r w:rsidRPr="00AF18CA">
        <w:rPr>
          <w:rFonts w:asciiTheme="minorHAnsi" w:hAnsiTheme="minorHAnsi" w:cstheme="minorHAnsi"/>
          <w:i/>
          <w:color w:val="000000" w:themeColor="text1"/>
        </w:rPr>
        <w:t>Coller FAIRR Protein Producer Index Report: Benchmarking intensive livestock and fish farming on environmental, social and governance issues</w:t>
      </w:r>
      <w:r>
        <w:rPr>
          <w:rFonts w:asciiTheme="minorHAnsi" w:hAnsiTheme="minorHAnsi" w:cstheme="minorHAnsi"/>
          <w:i/>
          <w:color w:val="000000" w:themeColor="text1"/>
        </w:rPr>
        <w:t xml:space="preserve">, </w:t>
      </w:r>
      <w:r w:rsidRPr="00AF18CA">
        <w:rPr>
          <w:rFonts w:asciiTheme="minorHAnsi" w:hAnsiTheme="minorHAnsi" w:cstheme="minorHAnsi"/>
          <w:color w:val="000000" w:themeColor="text1"/>
        </w:rPr>
        <w:t>viewed 19 December 2018,</w:t>
      </w:r>
      <w:r>
        <w:rPr>
          <w:rFonts w:asciiTheme="minorHAnsi" w:hAnsiTheme="minorHAnsi" w:cstheme="minorHAnsi"/>
          <w:color w:val="000000" w:themeColor="text1"/>
        </w:rPr>
        <w:t xml:space="preserve"> </w:t>
      </w:r>
      <w:hyperlink r:id="rId92" w:history="1">
        <w:r w:rsidRPr="00483862">
          <w:rPr>
            <w:rStyle w:val="Hyperlink"/>
            <w:rFonts w:asciiTheme="minorHAnsi" w:hAnsiTheme="minorHAnsi" w:cstheme="minorHAnsi"/>
          </w:rPr>
          <w:t>https://index.fairr.org/</w:t>
        </w:r>
      </w:hyperlink>
      <w:r>
        <w:rPr>
          <w:rFonts w:asciiTheme="minorHAnsi" w:hAnsiTheme="minorHAnsi" w:cstheme="minorHAnsi"/>
          <w:color w:val="000000" w:themeColor="text1"/>
        </w:rPr>
        <w:t xml:space="preserve"> </w:t>
      </w:r>
    </w:p>
    <w:p w14:paraId="07150E62"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Ford, M., Gurney, A., Tulloh, C., McInnis, T., Mi, R. and H. Ahammad 2009, </w:t>
      </w:r>
      <w:r w:rsidRPr="00BC413D">
        <w:rPr>
          <w:rFonts w:asciiTheme="minorHAnsi" w:hAnsiTheme="minorHAnsi" w:cstheme="minorHAnsi"/>
          <w:i/>
          <w:color w:val="000000" w:themeColor="text1"/>
        </w:rPr>
        <w:t>Agriculture and the Carbon Pollution Reduction Scheme (CPRS): economic issues and implications,</w:t>
      </w:r>
      <w:r w:rsidRPr="00BC413D">
        <w:rPr>
          <w:rFonts w:asciiTheme="minorHAnsi" w:hAnsiTheme="minorHAnsi" w:cstheme="minorHAnsi"/>
          <w:color w:val="000000" w:themeColor="text1"/>
        </w:rPr>
        <w:t xml:space="preserve"> ABARE, Canberra.</w:t>
      </w:r>
    </w:p>
    <w:p w14:paraId="4DD56718" w14:textId="34A0F1AB" w:rsidR="00975AF3" w:rsidRPr="00BC413D" w:rsidRDefault="00975AF3" w:rsidP="004B384D">
      <w:pPr>
        <w:rPr>
          <w:rFonts w:asciiTheme="minorHAnsi" w:hAnsiTheme="minorHAnsi" w:cstheme="minorHAnsi"/>
          <w:b/>
          <w:i/>
          <w:color w:val="000000" w:themeColor="text1"/>
        </w:rPr>
      </w:pPr>
      <w:r w:rsidRPr="00BC413D">
        <w:rPr>
          <w:rFonts w:asciiTheme="minorHAnsi" w:hAnsiTheme="minorHAnsi" w:cstheme="minorHAnsi"/>
          <w:b/>
          <w:color w:val="000000" w:themeColor="text1"/>
        </w:rPr>
        <w:t>Greenhouse Gas Inventory Office of Japan 2017</w:t>
      </w:r>
      <w:r w:rsidR="006668B2">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National Greenhouse Gas Inventory Report of Japan</w:t>
      </w:r>
      <w:r w:rsidR="00AF18CA">
        <w:rPr>
          <w:rFonts w:asciiTheme="minorHAnsi" w:hAnsiTheme="minorHAnsi" w:cstheme="minorHAnsi"/>
          <w:i/>
          <w:color w:val="000000" w:themeColor="text1"/>
        </w:rPr>
        <w: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93" w:history="1">
        <w:r w:rsidR="006668B2" w:rsidRPr="006668B2">
          <w:rPr>
            <w:rStyle w:val="Hyperlink"/>
            <w:rFonts w:asciiTheme="minorHAnsi" w:hAnsiTheme="minorHAnsi" w:cstheme="minorHAnsi"/>
          </w:rPr>
          <w:t>https://www.env.go.jp/earth/ondanka/ghg-mrv/unfccc/material/NIR-JPN-2017_E.pdf</w:t>
        </w:r>
      </w:hyperlink>
      <w:r w:rsidRPr="00BC413D">
        <w:rPr>
          <w:rFonts w:asciiTheme="minorHAnsi" w:hAnsiTheme="minorHAnsi" w:cstheme="minorHAnsi"/>
          <w:i/>
          <w:color w:val="000000" w:themeColor="text1"/>
        </w:rPr>
        <w:t>.</w:t>
      </w:r>
    </w:p>
    <w:p w14:paraId="0EE0E4FB"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Government of Canada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Reporting greenhouse gas emissions: questions and answers</w:t>
      </w:r>
      <w:r w:rsidR="008D7DC5" w:rsidRPr="00BC413D">
        <w:rPr>
          <w:rFonts w:asciiTheme="minorHAnsi" w:hAnsiTheme="minorHAnsi" w:cstheme="minorHAnsi"/>
          <w:color w:val="000000" w:themeColor="text1"/>
        </w:rPr>
        <w:t>,</w:t>
      </w:r>
      <w:r w:rsidRPr="00BC413D">
        <w:rPr>
          <w:rFonts w:asciiTheme="minorHAnsi" w:hAnsiTheme="minorHAnsi" w:cstheme="minorHAnsi"/>
          <w:color w:val="000000" w:themeColor="text1"/>
        </w:rPr>
        <w:t xml:space="preserve"> viewed 4 December 2018, </w:t>
      </w:r>
      <w:hyperlink r:id="rId94" w:history="1">
        <w:r w:rsidRPr="00BC413D">
          <w:rPr>
            <w:rStyle w:val="Hyperlink"/>
            <w:rFonts w:asciiTheme="minorHAnsi" w:hAnsiTheme="minorHAnsi" w:cstheme="minorHAnsi"/>
            <w:color w:val="000000" w:themeColor="text1"/>
          </w:rPr>
          <w:t>https://www.canada.ca/en/environment-climate-change/services/climate-change/greenhouse-gas-emissions/facility-reporting/reporting/questions-answers.html</w:t>
        </w:r>
      </w:hyperlink>
      <w:r w:rsidRPr="00BC413D">
        <w:rPr>
          <w:rFonts w:asciiTheme="minorHAnsi" w:hAnsiTheme="minorHAnsi" w:cstheme="minorHAnsi"/>
          <w:color w:val="000000" w:themeColor="text1"/>
        </w:rPr>
        <w:t xml:space="preserve">. </w:t>
      </w:r>
    </w:p>
    <w:p w14:paraId="64BD1BD1" w14:textId="02DFF6F4" w:rsidR="004B384D" w:rsidRPr="00BC413D" w:rsidRDefault="004B384D" w:rsidP="004B384D">
      <w:pPr>
        <w:rPr>
          <w:rFonts w:asciiTheme="minorHAnsi" w:hAnsiTheme="minorHAnsi" w:cstheme="minorHAnsi"/>
          <w:i/>
          <w:color w:val="000000" w:themeColor="text1"/>
        </w:rPr>
      </w:pPr>
      <w:r w:rsidRPr="00BC413D">
        <w:rPr>
          <w:rFonts w:asciiTheme="minorHAnsi" w:hAnsiTheme="minorHAnsi" w:cstheme="minorHAnsi"/>
          <w:b/>
          <w:color w:val="000000" w:themeColor="text1"/>
        </w:rPr>
        <w:t>GRAIN and the Institute for Agriculture and Trade Policy (IATP)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Emissions impossible – How big meat and dairy are heating up the plane</w:t>
      </w:r>
      <w:r w:rsidR="00AF18CA">
        <w:rPr>
          <w:rFonts w:asciiTheme="minorHAnsi" w:hAnsiTheme="minorHAnsi" w:cstheme="minorHAnsi"/>
          <w:i/>
          <w:color w:val="000000" w:themeColor="text1"/>
        </w:rPr>
        <w:t>,</w:t>
      </w:r>
      <w:r w:rsidRPr="00BC413D">
        <w:rPr>
          <w:rFonts w:asciiTheme="minorHAnsi" w:hAnsiTheme="minorHAnsi" w:cstheme="minorHAnsi"/>
          <w:i/>
          <w:color w:val="000000" w:themeColor="text1"/>
        </w:rPr>
        <w:t>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95" w:history="1">
        <w:r w:rsidR="006668B2" w:rsidRPr="006668B2">
          <w:rPr>
            <w:rStyle w:val="Hyperlink"/>
            <w:rFonts w:asciiTheme="minorHAnsi" w:hAnsiTheme="minorHAnsi" w:cstheme="minorHAnsi"/>
          </w:rPr>
          <w:t>https://www.grain.org/article/entries/5976-emissions-impossible-how-big-meat-and-dairy-are-heating-up-the-planet</w:t>
        </w:r>
      </w:hyperlink>
      <w:r w:rsidRPr="00BC413D">
        <w:rPr>
          <w:rFonts w:asciiTheme="minorHAnsi" w:hAnsiTheme="minorHAnsi" w:cstheme="minorHAnsi"/>
          <w:i/>
          <w:color w:val="000000" w:themeColor="text1"/>
        </w:rPr>
        <w:t>.</w:t>
      </w:r>
    </w:p>
    <w:p w14:paraId="45E10854" w14:textId="56819BE8"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Intergovernmental panel on climate change Task Force on National Greenhouse Gas Inventories Working Group I (IPCC TFI WGI)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Expert Meeting on Short-Lived Climate Forcers (SLCF) Meeting Report</w:t>
      </w:r>
      <w:r w:rsidR="006668B2">
        <w:rPr>
          <w:rFonts w:asciiTheme="minorHAnsi" w:hAnsiTheme="minorHAnsi" w:cstheme="minorHAnsi"/>
          <w:i/>
          <w:color w:val="000000" w:themeColor="text1"/>
        </w:rPr>
        <w:t xml:space="preserve"> </w:t>
      </w:r>
      <w:r w:rsidR="006668B2">
        <w:rPr>
          <w:rFonts w:asciiTheme="minorHAnsi" w:hAnsiTheme="minorHAnsi" w:cstheme="minorHAnsi"/>
          <w:color w:val="000000" w:themeColor="text1"/>
        </w:rPr>
        <w:t xml:space="preserve">viewed 18 December 2018, </w:t>
      </w:r>
      <w:hyperlink r:id="rId96" w:history="1">
        <w:r w:rsidR="006668B2" w:rsidRPr="006668B2">
          <w:rPr>
            <w:rStyle w:val="Hyperlink"/>
            <w:rFonts w:asciiTheme="minorHAnsi" w:hAnsiTheme="minorHAnsi" w:cstheme="minorHAnsi"/>
          </w:rPr>
          <w:t>https://www.ipcc-nggip.iges.or.jp/public/mtdocs/pdfiles/1805_Expert_Meeting_on_SLCF_Report.pdf</w:t>
        </w:r>
      </w:hyperlink>
      <w:r w:rsidRPr="00BC413D">
        <w:rPr>
          <w:rFonts w:asciiTheme="minorHAnsi" w:hAnsiTheme="minorHAnsi" w:cstheme="minorHAnsi"/>
          <w:color w:val="000000" w:themeColor="text1"/>
        </w:rPr>
        <w:t xml:space="preserve">. </w:t>
      </w:r>
    </w:p>
    <w:p w14:paraId="65094B77" w14:textId="77777777" w:rsidR="00936670" w:rsidRPr="00BC413D" w:rsidRDefault="00680EF9" w:rsidP="00AA1466">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IPCC, 2007, </w:t>
      </w:r>
      <w:r w:rsidRPr="00BC413D">
        <w:rPr>
          <w:rFonts w:asciiTheme="minorHAnsi" w:hAnsiTheme="minorHAnsi" w:cstheme="minorHAnsi"/>
          <w:i/>
          <w:color w:val="000000" w:themeColor="text1"/>
        </w:rPr>
        <w:t>Climate Change 2007: The Physical Science Basis. Contribution of Working Group I to the Fourth Assessment Report of the Intergovernmental Panel on Climate Change</w:t>
      </w:r>
      <w:r w:rsidRPr="00BC413D">
        <w:rPr>
          <w:rFonts w:asciiTheme="minorHAnsi" w:hAnsiTheme="minorHAnsi" w:cstheme="minorHAnsi"/>
          <w:color w:val="000000" w:themeColor="text1"/>
        </w:rPr>
        <w:t>, Cambridge University Press, Cambridge, and New York.</w:t>
      </w:r>
    </w:p>
    <w:p w14:paraId="30A102FA" w14:textId="77777777" w:rsidR="00AA1466" w:rsidRPr="00BC413D" w:rsidRDefault="00AA1466" w:rsidP="00AA1466">
      <w:pPr>
        <w:rPr>
          <w:rFonts w:asciiTheme="minorHAnsi" w:hAnsiTheme="minorHAnsi" w:cstheme="minorHAnsi"/>
          <w:b/>
          <w:color w:val="000000" w:themeColor="text1"/>
        </w:rPr>
      </w:pPr>
      <w:r w:rsidRPr="00BC413D">
        <w:rPr>
          <w:rFonts w:asciiTheme="minorHAnsi" w:hAnsiTheme="minorHAnsi" w:cstheme="minorHAnsi"/>
          <w:b/>
          <w:color w:val="000000" w:themeColor="text1"/>
        </w:rPr>
        <w:t xml:space="preserve">Hyun, J. and Oh, H n.d. </w:t>
      </w:r>
      <w:r w:rsidRPr="00BC413D">
        <w:rPr>
          <w:rFonts w:asciiTheme="minorHAnsi" w:hAnsiTheme="minorHAnsi" w:cstheme="minorHAnsi"/>
          <w:i/>
          <w:color w:val="000000" w:themeColor="text1"/>
        </w:rPr>
        <w:t>Korea’s Emission Trading System: An Attempt of Non-Annex I Party Countries to Reduce GHG Emissions Voluntarily</w:t>
      </w:r>
      <w:r w:rsidRPr="00BC413D">
        <w:rPr>
          <w:rFonts w:asciiTheme="minorHAnsi" w:hAnsiTheme="minorHAnsi" w:cstheme="minorHAnsi"/>
          <w:color w:val="000000" w:themeColor="text1"/>
        </w:rPr>
        <w:t>, viewed 5 December 2018,</w:t>
      </w:r>
      <w:r w:rsidRPr="00BC413D">
        <w:rPr>
          <w:rFonts w:asciiTheme="minorHAnsi" w:hAnsiTheme="minorHAnsi" w:cstheme="minorHAnsi"/>
          <w:i/>
          <w:color w:val="000000" w:themeColor="text1"/>
        </w:rPr>
        <w:t xml:space="preserve"> </w:t>
      </w:r>
      <w:hyperlink r:id="rId97" w:history="1">
        <w:r w:rsidR="00167F6F" w:rsidRPr="00BC413D">
          <w:rPr>
            <w:rStyle w:val="Hyperlink"/>
            <w:rFonts w:asciiTheme="minorHAnsi" w:hAnsiTheme="minorHAnsi" w:cstheme="minorHAnsi"/>
            <w:color w:val="000000" w:themeColor="text1"/>
          </w:rPr>
          <w:t>https://www.thepmr.org/system/files/documents/KETS_HyunOh1.pdf</w:t>
        </w:r>
      </w:hyperlink>
      <w:r w:rsidRPr="00BC413D">
        <w:rPr>
          <w:rFonts w:asciiTheme="minorHAnsi" w:hAnsiTheme="minorHAnsi" w:cstheme="minorHAnsi"/>
          <w:color w:val="000000" w:themeColor="text1"/>
        </w:rPr>
        <w:t>.</w:t>
      </w:r>
    </w:p>
    <w:p w14:paraId="2BFBF621" w14:textId="326ED6FC"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International Civil Aviation Organisation (ICAO) n.d.,</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CORSIA Implementation Plan brochure</w:t>
      </w:r>
      <w:r w:rsidR="006668B2">
        <w:rPr>
          <w:rFonts w:asciiTheme="minorHAnsi" w:hAnsiTheme="minorHAnsi" w:cstheme="minorHAnsi"/>
          <w:color w:val="000000" w:themeColor="text1"/>
        </w:rPr>
        <w:t xml:space="preserve"> viewed</w:t>
      </w:r>
      <w:r w:rsidR="00AF18CA">
        <w:rPr>
          <w:rFonts w:asciiTheme="minorHAnsi" w:hAnsiTheme="minorHAnsi" w:cstheme="minorHAnsi"/>
          <w:color w:val="000000" w:themeColor="text1"/>
        </w:rPr>
        <w:t>,</w:t>
      </w:r>
      <w:r w:rsidR="006668B2">
        <w:rPr>
          <w:rFonts w:asciiTheme="minorHAnsi" w:hAnsiTheme="minorHAnsi" w:cstheme="minorHAnsi"/>
          <w:color w:val="000000" w:themeColor="text1"/>
        </w:rPr>
        <w:t xml:space="preserve"> 18 December 2018, </w:t>
      </w:r>
      <w:hyperlink r:id="rId98" w:history="1">
        <w:r w:rsidR="009F431A" w:rsidRPr="009F431A">
          <w:rPr>
            <w:rStyle w:val="Hyperlink"/>
            <w:rFonts w:asciiTheme="minorHAnsi" w:hAnsiTheme="minorHAnsi" w:cstheme="minorHAnsi"/>
          </w:rPr>
          <w:t>https://www.icao.int/environmental-protection/Documents/CorsiaBrochure_8Panels-ENG-Web.pdf</w:t>
        </w:r>
      </w:hyperlink>
      <w:r w:rsidRPr="00BC413D">
        <w:rPr>
          <w:rFonts w:asciiTheme="minorHAnsi" w:hAnsiTheme="minorHAnsi" w:cstheme="minorHAnsi"/>
          <w:color w:val="000000" w:themeColor="text1"/>
        </w:rPr>
        <w:t>.</w:t>
      </w:r>
    </w:p>
    <w:p w14:paraId="7C1E2A80"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International Maritime Organisation (IMO)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Low carbon shipping and air pollution control</w:t>
      </w:r>
      <w:r w:rsidR="008D7DC5" w:rsidRPr="00BC413D">
        <w:rPr>
          <w:rFonts w:asciiTheme="minorHAnsi" w:hAnsiTheme="minorHAnsi" w:cstheme="minorHAnsi"/>
          <w:color w:val="000000" w:themeColor="text1"/>
        </w:rPr>
        <w:t>,</w:t>
      </w:r>
      <w:r w:rsidRPr="00BC413D">
        <w:rPr>
          <w:rFonts w:asciiTheme="minorHAnsi" w:hAnsiTheme="minorHAnsi" w:cstheme="minorHAnsi"/>
          <w:i/>
          <w:color w:val="000000" w:themeColor="text1"/>
        </w:rPr>
        <w:t xml:space="preserve"> </w:t>
      </w:r>
      <w:r w:rsidRPr="00BC413D">
        <w:rPr>
          <w:rFonts w:asciiTheme="minorHAnsi" w:hAnsiTheme="minorHAnsi" w:cstheme="minorHAnsi"/>
          <w:color w:val="000000" w:themeColor="text1"/>
        </w:rPr>
        <w:t xml:space="preserve">viewed 4 December 2018, </w:t>
      </w:r>
      <w:hyperlink r:id="rId99" w:history="1">
        <w:r w:rsidRPr="00BC413D">
          <w:rPr>
            <w:rStyle w:val="Hyperlink"/>
            <w:rFonts w:asciiTheme="minorHAnsi" w:hAnsiTheme="minorHAnsi" w:cstheme="minorHAnsi"/>
            <w:color w:val="000000" w:themeColor="text1"/>
          </w:rPr>
          <w:t>http://www.imo.org/en/MediaCentre/HotTopics/GHG/Pages/default.aspx</w:t>
        </w:r>
      </w:hyperlink>
      <w:r w:rsidRPr="00BC413D">
        <w:rPr>
          <w:rFonts w:asciiTheme="minorHAnsi" w:hAnsiTheme="minorHAnsi" w:cstheme="minorHAnsi"/>
          <w:color w:val="000000" w:themeColor="text1"/>
        </w:rPr>
        <w:t xml:space="preserve">. </w:t>
      </w:r>
    </w:p>
    <w:p w14:paraId="2C515A86" w14:textId="77777777" w:rsidR="008A5EEF" w:rsidRPr="00BC413D" w:rsidRDefault="008A5EEF" w:rsidP="004B384D">
      <w:pPr>
        <w:rPr>
          <w:rFonts w:asciiTheme="minorHAnsi" w:hAnsiTheme="minorHAnsi" w:cstheme="minorHAnsi"/>
          <w:b/>
          <w:color w:val="000000" w:themeColor="text1"/>
        </w:rPr>
      </w:pPr>
      <w:r w:rsidRPr="00BC413D">
        <w:rPr>
          <w:rFonts w:asciiTheme="minorHAnsi" w:hAnsiTheme="minorHAnsi" w:cstheme="minorHAnsi"/>
          <w:b/>
          <w:color w:val="000000" w:themeColor="text1"/>
        </w:rPr>
        <w:t>International Partnership on Mitigation and MRV 2015</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Web-based GHG Management System of the Republic of Korea</w:t>
      </w:r>
      <w:r w:rsidRPr="00BC413D">
        <w:rPr>
          <w:rFonts w:asciiTheme="minorHAnsi" w:hAnsiTheme="minorHAnsi" w:cstheme="minorHAnsi"/>
          <w:color w:val="000000" w:themeColor="text1"/>
        </w:rPr>
        <w:t xml:space="preserve">, viewed 5 December 2018, </w:t>
      </w:r>
      <w:hyperlink r:id="rId100" w:history="1">
        <w:r w:rsidRPr="00BC413D">
          <w:rPr>
            <w:rStyle w:val="Hyperlink"/>
            <w:rFonts w:asciiTheme="minorHAnsi" w:hAnsiTheme="minorHAnsi" w:cstheme="minorHAnsi"/>
            <w:color w:val="000000" w:themeColor="text1"/>
          </w:rPr>
          <w:t>https://www.transparency-partnership.net/sites/default/files/ws15223_south_korea_gpa2015_en_long-fin.pdf</w:t>
        </w:r>
      </w:hyperlink>
      <w:r w:rsidRPr="00BC413D">
        <w:rPr>
          <w:rFonts w:asciiTheme="minorHAnsi" w:hAnsiTheme="minorHAnsi" w:cstheme="minorHAnsi"/>
          <w:color w:val="000000" w:themeColor="text1"/>
        </w:rPr>
        <w:t>.</w:t>
      </w:r>
    </w:p>
    <w:p w14:paraId="480AA16B"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Investor Group on Climate Change (IGCC) 2016, </w:t>
      </w:r>
      <w:r w:rsidRPr="00BC413D">
        <w:rPr>
          <w:rFonts w:asciiTheme="minorHAnsi" w:hAnsiTheme="minorHAnsi" w:cstheme="minorHAnsi"/>
          <w:i/>
          <w:color w:val="000000" w:themeColor="text1"/>
        </w:rPr>
        <w:t xml:space="preserve">Senate Economics References Committee Inquiry into carbon risk disclosure </w:t>
      </w:r>
      <w:r w:rsidR="00CB69BF" w:rsidRPr="00BC413D">
        <w:rPr>
          <w:rFonts w:asciiTheme="minorHAnsi" w:hAnsiTheme="minorHAnsi" w:cstheme="minorHAnsi"/>
          <w:i/>
          <w:color w:val="000000" w:themeColor="text1"/>
        </w:rPr>
        <w:t>–</w:t>
      </w:r>
      <w:r w:rsidRPr="00BC413D">
        <w:rPr>
          <w:rFonts w:asciiTheme="minorHAnsi" w:hAnsiTheme="minorHAnsi" w:cstheme="minorHAnsi"/>
          <w:i/>
          <w:color w:val="000000" w:themeColor="text1"/>
        </w:rPr>
        <w:t xml:space="preserve"> Submission by the Investor Group on Climate Change,</w:t>
      </w:r>
      <w:r w:rsidRPr="00BC413D">
        <w:rPr>
          <w:rFonts w:asciiTheme="minorHAnsi" w:hAnsiTheme="minorHAnsi" w:cstheme="minorHAnsi"/>
          <w:color w:val="000000" w:themeColor="text1"/>
        </w:rPr>
        <w:t xml:space="preserve"> IGCC, Sydney. </w:t>
      </w:r>
    </w:p>
    <w:p w14:paraId="5ADF5E6F" w14:textId="77777777" w:rsidR="00975AF3" w:rsidRPr="00BC413D" w:rsidRDefault="00975AF3" w:rsidP="004B384D">
      <w:pPr>
        <w:rPr>
          <w:rFonts w:asciiTheme="minorHAnsi" w:hAnsiTheme="minorHAnsi" w:cstheme="minorHAnsi"/>
          <w:b/>
          <w:color w:val="000000" w:themeColor="text1"/>
        </w:rPr>
      </w:pPr>
      <w:r w:rsidRPr="00BC413D">
        <w:rPr>
          <w:rFonts w:asciiTheme="minorHAnsi" w:hAnsiTheme="minorHAnsi" w:cstheme="minorHAnsi"/>
          <w:b/>
          <w:color w:val="000000" w:themeColor="text1"/>
        </w:rPr>
        <w:t>Japanese Ministry of Economy, Trade and Industry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Announcement of Figures for FY2015 Greenhouse Gas Emissions Calculated Under the GHG Emissions Accounting, Reporting, and Disclosure System</w:t>
      </w:r>
      <w:r w:rsidRPr="00BC413D">
        <w:rPr>
          <w:rFonts w:asciiTheme="minorHAnsi" w:hAnsiTheme="minorHAnsi" w:cstheme="minorHAnsi"/>
          <w:color w:val="000000" w:themeColor="text1"/>
        </w:rPr>
        <w:t xml:space="preserve">, viewed 5 December 2018, </w:t>
      </w:r>
      <w:hyperlink r:id="rId101" w:history="1">
        <w:r w:rsidRPr="00BC413D">
          <w:rPr>
            <w:rStyle w:val="Hyperlink"/>
            <w:rFonts w:asciiTheme="minorHAnsi" w:hAnsiTheme="minorHAnsi" w:cstheme="minorHAnsi"/>
            <w:color w:val="000000" w:themeColor="text1"/>
          </w:rPr>
          <w:t>http://www.meti.go.jp/english/press/2018/0831_001.html</w:t>
        </w:r>
      </w:hyperlink>
      <w:r w:rsidRPr="00BC413D">
        <w:rPr>
          <w:rFonts w:asciiTheme="minorHAnsi" w:hAnsiTheme="minorHAnsi" w:cstheme="minorHAnsi"/>
          <w:color w:val="000000" w:themeColor="text1"/>
        </w:rPr>
        <w:t>.</w:t>
      </w:r>
    </w:p>
    <w:p w14:paraId="4636BCFD" w14:textId="77777777" w:rsidR="00605FB0" w:rsidRPr="00BC413D" w:rsidRDefault="00605FB0" w:rsidP="004B384D">
      <w:pPr>
        <w:rPr>
          <w:rFonts w:asciiTheme="minorHAnsi" w:hAnsiTheme="minorHAnsi" w:cstheme="minorHAnsi"/>
          <w:b/>
          <w:color w:val="000000" w:themeColor="text1"/>
        </w:rPr>
      </w:pPr>
      <w:r w:rsidRPr="00BC413D">
        <w:rPr>
          <w:rFonts w:asciiTheme="minorHAnsi" w:hAnsiTheme="minorHAnsi" w:cstheme="minorHAnsi"/>
          <w:b/>
          <w:color w:val="000000" w:themeColor="text1"/>
        </w:rPr>
        <w:t>Korea Environment Corporation 2013</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Korean Emission Trading Scheme</w:t>
      </w:r>
      <w:r w:rsidRPr="00BC413D">
        <w:rPr>
          <w:rFonts w:asciiTheme="minorHAnsi" w:hAnsiTheme="minorHAnsi" w:cstheme="minorHAnsi"/>
          <w:color w:val="000000" w:themeColor="text1"/>
        </w:rPr>
        <w:t xml:space="preserve">, </w:t>
      </w:r>
      <w:r w:rsidR="00F15E52" w:rsidRPr="00BC413D">
        <w:rPr>
          <w:rFonts w:asciiTheme="minorHAnsi" w:hAnsiTheme="minorHAnsi" w:cstheme="minorHAnsi"/>
          <w:color w:val="000000" w:themeColor="text1"/>
        </w:rPr>
        <w:t xml:space="preserve">presentation, </w:t>
      </w:r>
      <w:r w:rsidRPr="00BC413D">
        <w:rPr>
          <w:rFonts w:asciiTheme="minorHAnsi" w:hAnsiTheme="minorHAnsi" w:cstheme="minorHAnsi"/>
          <w:color w:val="000000" w:themeColor="text1"/>
        </w:rPr>
        <w:t xml:space="preserve">viewed 5 December 2018, </w:t>
      </w:r>
      <w:hyperlink r:id="rId102" w:history="1">
        <w:r w:rsidRPr="00BC413D">
          <w:rPr>
            <w:rStyle w:val="Hyperlink"/>
            <w:rFonts w:asciiTheme="minorHAnsi" w:hAnsiTheme="minorHAnsi" w:cstheme="minorHAnsi"/>
            <w:color w:val="000000" w:themeColor="text1"/>
          </w:rPr>
          <w:t>https://icapcarbonaction.com/en/index.php?option=com_attach&amp;task=download&amp;id=114</w:t>
        </w:r>
      </w:hyperlink>
      <w:r w:rsidRPr="00BC413D">
        <w:rPr>
          <w:rFonts w:asciiTheme="minorHAnsi" w:hAnsiTheme="minorHAnsi" w:cstheme="minorHAnsi"/>
          <w:color w:val="000000" w:themeColor="text1"/>
        </w:rPr>
        <w:t>.</w:t>
      </w:r>
    </w:p>
    <w:p w14:paraId="3CFD08A2"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Meat and Livestock Australia (MLA) 2017,</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Red meat industry can be carbon neutral by 2030</w:t>
      </w:r>
      <w:r w:rsidR="008D7DC5" w:rsidRPr="00BC413D">
        <w:rPr>
          <w:rFonts w:asciiTheme="minorHAnsi" w:hAnsiTheme="minorHAnsi" w:cstheme="minorHAnsi"/>
          <w:color w:val="000000" w:themeColor="text1"/>
        </w:rPr>
        <w:t>,</w:t>
      </w:r>
      <w:r w:rsidRPr="00BC413D">
        <w:rPr>
          <w:rFonts w:asciiTheme="minorHAnsi" w:hAnsiTheme="minorHAnsi" w:cstheme="minorHAnsi"/>
          <w:i/>
          <w:color w:val="000000" w:themeColor="text1"/>
        </w:rPr>
        <w:t xml:space="preserve"> </w:t>
      </w:r>
      <w:r w:rsidRPr="00BC413D">
        <w:rPr>
          <w:rFonts w:asciiTheme="minorHAnsi" w:hAnsiTheme="minorHAnsi" w:cstheme="minorHAnsi"/>
          <w:color w:val="000000" w:themeColor="text1"/>
        </w:rPr>
        <w:t xml:space="preserve">viewed 4 December 2018, </w:t>
      </w:r>
      <w:hyperlink r:id="rId103" w:history="1">
        <w:r w:rsidRPr="00BC413D">
          <w:rPr>
            <w:rStyle w:val="Hyperlink"/>
            <w:rFonts w:asciiTheme="minorHAnsi" w:hAnsiTheme="minorHAnsi" w:cstheme="minorHAnsi"/>
            <w:color w:val="000000" w:themeColor="text1"/>
          </w:rPr>
          <w:t>https://www.mla.com.au/news-and-events/industry-news/red-meat-industry-can-be-carbon-neutral-by-2030/</w:t>
        </w:r>
      </w:hyperlink>
      <w:r w:rsidRPr="00BC413D">
        <w:rPr>
          <w:rFonts w:asciiTheme="minorHAnsi" w:hAnsiTheme="minorHAnsi" w:cstheme="minorHAnsi"/>
          <w:color w:val="000000" w:themeColor="text1"/>
        </w:rPr>
        <w:t xml:space="preserve">.  </w:t>
      </w:r>
    </w:p>
    <w:p w14:paraId="5240F6B5" w14:textId="77777777" w:rsidR="00837C3D" w:rsidRPr="00BC413D" w:rsidRDefault="00837C3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Mexican Department of Environment and Natural Resources 2015, </w:t>
      </w:r>
      <w:r w:rsidRPr="00BC413D">
        <w:rPr>
          <w:rFonts w:asciiTheme="minorHAnsi" w:hAnsiTheme="minorHAnsi" w:cstheme="minorHAnsi"/>
          <w:i/>
          <w:color w:val="000000" w:themeColor="text1"/>
        </w:rPr>
        <w:t>National Emissions Register: mitigation component</w:t>
      </w:r>
      <w:r w:rsidRPr="00BC413D">
        <w:rPr>
          <w:rFonts w:asciiTheme="minorHAnsi" w:hAnsiTheme="minorHAnsi" w:cstheme="minorHAnsi"/>
          <w:color w:val="000000" w:themeColor="text1"/>
        </w:rPr>
        <w:t xml:space="preserve">, presentation, viewed 5 December 2018, </w:t>
      </w:r>
      <w:hyperlink r:id="rId104" w:history="1">
        <w:r w:rsidRPr="00BC413D">
          <w:rPr>
            <w:rStyle w:val="Hyperlink"/>
            <w:rFonts w:asciiTheme="minorHAnsi" w:hAnsiTheme="minorHAnsi" w:cstheme="minorHAnsi"/>
            <w:color w:val="000000" w:themeColor="text1"/>
          </w:rPr>
          <w:t>https://www.thepmr.org/sites/wbpmr/files/Mexico_RENE_PMR_240915.pdf</w:t>
        </w:r>
      </w:hyperlink>
      <w:r w:rsidRPr="00BC413D">
        <w:rPr>
          <w:rFonts w:asciiTheme="minorHAnsi" w:hAnsiTheme="minorHAnsi" w:cstheme="minorHAnsi"/>
          <w:color w:val="000000" w:themeColor="text1"/>
        </w:rPr>
        <w:t>.</w:t>
      </w:r>
    </w:p>
    <w:p w14:paraId="21455F03" w14:textId="77777777" w:rsidR="0048324C" w:rsidRPr="00BC413D" w:rsidRDefault="0048324C"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Motu Economic and Public Policy Research 2018, </w:t>
      </w:r>
      <w:r w:rsidRPr="00BC413D">
        <w:rPr>
          <w:rFonts w:asciiTheme="minorHAnsi" w:hAnsiTheme="minorHAnsi" w:cstheme="minorHAnsi"/>
          <w:i/>
          <w:color w:val="000000" w:themeColor="text1"/>
        </w:rPr>
        <w:t>A guide to the New Zealand Emissions Trading Scheme</w:t>
      </w:r>
      <w:r w:rsidRPr="00BC413D">
        <w:rPr>
          <w:rFonts w:asciiTheme="minorHAnsi" w:hAnsiTheme="minorHAnsi" w:cstheme="minorHAnsi"/>
          <w:color w:val="000000" w:themeColor="text1"/>
        </w:rPr>
        <w:t xml:space="preserve">, guide, viewed 5 December 2018, </w:t>
      </w:r>
      <w:hyperlink r:id="rId105" w:history="1">
        <w:r w:rsidRPr="00BC413D">
          <w:rPr>
            <w:rStyle w:val="Hyperlink"/>
            <w:rFonts w:asciiTheme="minorHAnsi" w:hAnsiTheme="minorHAnsi" w:cstheme="minorHAnsi"/>
            <w:color w:val="000000" w:themeColor="text1"/>
          </w:rPr>
          <w:t>http://www.mfe.govt.nz/sites/default/files/media/Climate%20Change/A%20Guide%20to%20the%20New%20Zealand%20Emissions%20Trading%20Scheme.pdf</w:t>
        </w:r>
      </w:hyperlink>
      <w:r w:rsidRPr="00BC413D">
        <w:rPr>
          <w:rFonts w:asciiTheme="minorHAnsi" w:hAnsiTheme="minorHAnsi" w:cstheme="minorHAnsi"/>
          <w:color w:val="000000" w:themeColor="text1"/>
        </w:rPr>
        <w:t>.</w:t>
      </w:r>
    </w:p>
    <w:p w14:paraId="7D5AC715"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National Farmers’ Federation (NFF)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2030 Roadmap – Australian Agriculture’s Plan for a $100 Billion Industry, </w:t>
      </w:r>
      <w:r w:rsidRPr="00BC413D">
        <w:rPr>
          <w:rFonts w:asciiTheme="minorHAnsi" w:hAnsiTheme="minorHAnsi" w:cstheme="minorHAnsi"/>
          <w:color w:val="000000" w:themeColor="text1"/>
        </w:rPr>
        <w:t xml:space="preserve">NFF, Canberra. </w:t>
      </w:r>
    </w:p>
    <w:p w14:paraId="1E947E65" w14:textId="77777777" w:rsidR="00F87588" w:rsidRPr="00BC413D" w:rsidRDefault="00F87588" w:rsidP="00F87588">
      <w:pPr>
        <w:rPr>
          <w:rFonts w:asciiTheme="minorHAnsi" w:hAnsiTheme="minorHAnsi" w:cstheme="minorHAnsi"/>
          <w:color w:val="000000" w:themeColor="text1"/>
        </w:rPr>
      </w:pPr>
      <w:r w:rsidRPr="00BC413D">
        <w:rPr>
          <w:rFonts w:asciiTheme="minorHAnsi" w:hAnsiTheme="minorHAnsi" w:cstheme="minorHAnsi"/>
          <w:i/>
          <w:color w:val="000000" w:themeColor="text1"/>
        </w:rPr>
        <w:t xml:space="preserve">National Greenhouse and Energy (Measurement) Determination 2008 </w:t>
      </w:r>
      <w:r w:rsidRPr="00BC413D">
        <w:rPr>
          <w:rFonts w:asciiTheme="minorHAnsi" w:hAnsiTheme="minorHAnsi" w:cstheme="minorHAnsi"/>
          <w:color w:val="000000" w:themeColor="text1"/>
        </w:rPr>
        <w:t>(Cth)</w:t>
      </w:r>
      <w:r w:rsidR="008D7DC5" w:rsidRPr="00BC413D">
        <w:rPr>
          <w:rFonts w:asciiTheme="minorHAnsi" w:hAnsiTheme="minorHAnsi" w:cstheme="minorHAnsi"/>
          <w:color w:val="000000" w:themeColor="text1"/>
        </w:rPr>
        <w:t>.</w:t>
      </w:r>
    </w:p>
    <w:p w14:paraId="41C1B5A5" w14:textId="77777777" w:rsidR="00F87588" w:rsidRPr="00BC413D" w:rsidRDefault="00F87588" w:rsidP="00F87588">
      <w:pPr>
        <w:rPr>
          <w:rFonts w:asciiTheme="minorHAnsi" w:hAnsiTheme="minorHAnsi" w:cstheme="minorHAnsi"/>
          <w:color w:val="000000" w:themeColor="text1"/>
        </w:rPr>
      </w:pPr>
      <w:r w:rsidRPr="00BC413D">
        <w:rPr>
          <w:rFonts w:asciiTheme="minorHAnsi" w:hAnsiTheme="minorHAnsi" w:cstheme="minorHAnsi"/>
          <w:i/>
          <w:color w:val="000000" w:themeColor="text1"/>
        </w:rPr>
        <w:t>National Greenhouse and Energy Reporting Act 2007</w:t>
      </w:r>
      <w:r w:rsidRPr="00BC413D">
        <w:rPr>
          <w:rFonts w:asciiTheme="minorHAnsi" w:hAnsiTheme="minorHAnsi" w:cstheme="minorHAnsi"/>
          <w:color w:val="000000" w:themeColor="text1"/>
        </w:rPr>
        <w:t xml:space="preserve"> (Cth)</w:t>
      </w:r>
      <w:r w:rsidR="008D7DC5" w:rsidRPr="00BC413D">
        <w:rPr>
          <w:rFonts w:asciiTheme="minorHAnsi" w:hAnsiTheme="minorHAnsi" w:cstheme="minorHAnsi"/>
          <w:color w:val="000000" w:themeColor="text1"/>
        </w:rPr>
        <w:t>.</w:t>
      </w:r>
    </w:p>
    <w:p w14:paraId="3F624353" w14:textId="77777777" w:rsidR="00F87588" w:rsidRPr="00BC413D" w:rsidRDefault="00F87588" w:rsidP="00F87588">
      <w:pPr>
        <w:rPr>
          <w:rFonts w:asciiTheme="minorHAnsi" w:hAnsiTheme="minorHAnsi" w:cstheme="minorHAnsi"/>
          <w:color w:val="000000" w:themeColor="text1"/>
        </w:rPr>
      </w:pPr>
      <w:r w:rsidRPr="00BC413D">
        <w:rPr>
          <w:rFonts w:asciiTheme="minorHAnsi" w:hAnsiTheme="minorHAnsi" w:cstheme="minorHAnsi"/>
          <w:i/>
          <w:color w:val="000000" w:themeColor="text1"/>
        </w:rPr>
        <w:t>National Greenhouse and Energy Reporting (Audit) Determination 2009</w:t>
      </w:r>
      <w:r w:rsidRPr="00BC413D">
        <w:rPr>
          <w:rFonts w:asciiTheme="minorHAnsi" w:hAnsiTheme="minorHAnsi" w:cstheme="minorHAnsi"/>
          <w:color w:val="000000" w:themeColor="text1"/>
        </w:rPr>
        <w:t xml:space="preserve"> (Cth)</w:t>
      </w:r>
      <w:r w:rsidR="008D7DC5" w:rsidRPr="00BC413D">
        <w:rPr>
          <w:rFonts w:asciiTheme="minorHAnsi" w:hAnsiTheme="minorHAnsi" w:cstheme="minorHAnsi"/>
          <w:color w:val="000000" w:themeColor="text1"/>
        </w:rPr>
        <w:t>.</w:t>
      </w:r>
    </w:p>
    <w:p w14:paraId="37BD8C76" w14:textId="77777777" w:rsidR="00F87588" w:rsidRPr="00BC413D" w:rsidRDefault="00F87588" w:rsidP="00F87588">
      <w:pPr>
        <w:rPr>
          <w:rFonts w:asciiTheme="minorHAnsi" w:hAnsiTheme="minorHAnsi" w:cstheme="minorHAnsi"/>
          <w:color w:val="000000" w:themeColor="text1"/>
        </w:rPr>
      </w:pPr>
      <w:r w:rsidRPr="00BC413D">
        <w:rPr>
          <w:rFonts w:asciiTheme="minorHAnsi" w:hAnsiTheme="minorHAnsi" w:cstheme="minorHAnsi"/>
          <w:i/>
          <w:color w:val="000000" w:themeColor="text1"/>
        </w:rPr>
        <w:t>National Greenhouse and Energy Reporting (Auditor Registration) Instrument 2017 (No. 2)</w:t>
      </w:r>
      <w:r w:rsidRPr="00BC413D">
        <w:rPr>
          <w:rFonts w:asciiTheme="minorHAnsi" w:hAnsiTheme="minorHAnsi" w:cstheme="minorHAnsi"/>
          <w:color w:val="000000" w:themeColor="text1"/>
        </w:rPr>
        <w:t xml:space="preserve"> (Cth)</w:t>
      </w:r>
      <w:r w:rsidR="008D7DC5" w:rsidRPr="00BC413D">
        <w:rPr>
          <w:rFonts w:asciiTheme="minorHAnsi" w:hAnsiTheme="minorHAnsi" w:cstheme="minorHAnsi"/>
          <w:color w:val="000000" w:themeColor="text1"/>
        </w:rPr>
        <w:t>.</w:t>
      </w:r>
    </w:p>
    <w:p w14:paraId="7DC26561" w14:textId="77777777" w:rsidR="00F87588" w:rsidRPr="00BC413D" w:rsidRDefault="00F87588" w:rsidP="00F87588">
      <w:pPr>
        <w:rPr>
          <w:rFonts w:asciiTheme="minorHAnsi" w:hAnsiTheme="minorHAnsi" w:cstheme="minorHAnsi"/>
          <w:color w:val="000000" w:themeColor="text1"/>
        </w:rPr>
      </w:pPr>
      <w:r w:rsidRPr="00BC413D">
        <w:rPr>
          <w:rFonts w:asciiTheme="minorHAnsi" w:hAnsiTheme="minorHAnsi" w:cstheme="minorHAnsi"/>
          <w:i/>
          <w:color w:val="000000" w:themeColor="text1"/>
        </w:rPr>
        <w:t>National Greenhouse and Energy Reporting (Safeguard Mechanism) Rule 2015</w:t>
      </w:r>
      <w:r w:rsidRPr="00BC413D">
        <w:rPr>
          <w:rFonts w:asciiTheme="minorHAnsi" w:hAnsiTheme="minorHAnsi" w:cstheme="minorHAnsi"/>
          <w:color w:val="000000" w:themeColor="text1"/>
        </w:rPr>
        <w:t xml:space="preserve"> (Cth)</w:t>
      </w:r>
      <w:r w:rsidR="008D7DC5" w:rsidRPr="00BC413D">
        <w:rPr>
          <w:rFonts w:asciiTheme="minorHAnsi" w:hAnsiTheme="minorHAnsi" w:cstheme="minorHAnsi"/>
          <w:color w:val="000000" w:themeColor="text1"/>
        </w:rPr>
        <w:t>.</w:t>
      </w:r>
    </w:p>
    <w:p w14:paraId="25B82444" w14:textId="77777777" w:rsidR="00F87588" w:rsidRPr="00BC413D" w:rsidRDefault="00F87588" w:rsidP="00F87588">
      <w:pPr>
        <w:rPr>
          <w:rFonts w:asciiTheme="minorHAnsi" w:hAnsiTheme="minorHAnsi" w:cstheme="minorHAnsi"/>
          <w:color w:val="000000" w:themeColor="text1"/>
        </w:rPr>
      </w:pPr>
      <w:r w:rsidRPr="00BC413D">
        <w:rPr>
          <w:rFonts w:asciiTheme="minorHAnsi" w:hAnsiTheme="minorHAnsi" w:cstheme="minorHAnsi"/>
          <w:i/>
          <w:color w:val="000000" w:themeColor="text1"/>
        </w:rPr>
        <w:t>National Greenhouse and Energy Reporting Regulations 2008</w:t>
      </w:r>
      <w:r w:rsidRPr="00BC413D">
        <w:rPr>
          <w:rFonts w:asciiTheme="minorHAnsi" w:hAnsiTheme="minorHAnsi" w:cstheme="minorHAnsi"/>
          <w:color w:val="000000" w:themeColor="text1"/>
        </w:rPr>
        <w:t xml:space="preserve"> (Cth)</w:t>
      </w:r>
      <w:r w:rsidR="008D7DC5" w:rsidRPr="00BC413D">
        <w:rPr>
          <w:rFonts w:asciiTheme="minorHAnsi" w:hAnsiTheme="minorHAnsi" w:cstheme="minorHAnsi"/>
          <w:color w:val="000000" w:themeColor="text1"/>
        </w:rPr>
        <w:t>.</w:t>
      </w:r>
    </w:p>
    <w:p w14:paraId="2453F914" w14:textId="77777777" w:rsidR="00F87588" w:rsidRPr="00BC413D" w:rsidRDefault="00F87588" w:rsidP="00F87588">
      <w:pPr>
        <w:rPr>
          <w:rFonts w:asciiTheme="minorHAnsi" w:hAnsiTheme="minorHAnsi" w:cstheme="minorHAnsi"/>
          <w:i/>
          <w:color w:val="000000" w:themeColor="text1"/>
        </w:rPr>
      </w:pPr>
      <w:r w:rsidRPr="00BC413D">
        <w:rPr>
          <w:rFonts w:asciiTheme="minorHAnsi" w:hAnsiTheme="minorHAnsi" w:cstheme="minorHAnsi"/>
          <w:i/>
          <w:color w:val="000000" w:themeColor="text1"/>
        </w:rPr>
        <w:t>Ozone Protection and Synthetic Greenhouse Gas Management Act 1898</w:t>
      </w:r>
      <w:r w:rsidRPr="00BC413D">
        <w:rPr>
          <w:rFonts w:asciiTheme="minorHAnsi" w:hAnsiTheme="minorHAnsi" w:cstheme="minorHAnsi"/>
          <w:color w:val="000000" w:themeColor="text1"/>
        </w:rPr>
        <w:t xml:space="preserve"> (Cth)</w:t>
      </w:r>
      <w:r w:rsidR="008D7DC5" w:rsidRPr="00BC413D">
        <w:rPr>
          <w:rFonts w:asciiTheme="minorHAnsi" w:hAnsiTheme="minorHAnsi" w:cstheme="minorHAnsi"/>
          <w:color w:val="000000" w:themeColor="text1"/>
        </w:rPr>
        <w:t>.</w:t>
      </w:r>
    </w:p>
    <w:p w14:paraId="44874CD5"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Partnership for Market Readiness (PMR) 2015,</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Guide for designing mandatory greenhouse gas reporting programs,</w:t>
      </w:r>
      <w:r w:rsidRPr="00BC413D">
        <w:rPr>
          <w:rFonts w:asciiTheme="minorHAnsi" w:hAnsiTheme="minorHAnsi" w:cstheme="minorHAnsi"/>
          <w:color w:val="000000" w:themeColor="text1"/>
        </w:rPr>
        <w:t xml:space="preserve"> World Bank Group, Washington. </w:t>
      </w:r>
    </w:p>
    <w:p w14:paraId="159B55AF" w14:textId="77777777" w:rsidR="00F87588" w:rsidRPr="00BC413D" w:rsidRDefault="00F87588" w:rsidP="004B384D">
      <w:pPr>
        <w:rPr>
          <w:rFonts w:asciiTheme="minorHAnsi" w:hAnsiTheme="minorHAnsi" w:cstheme="minorHAnsi"/>
          <w:color w:val="000000" w:themeColor="text1"/>
        </w:rPr>
      </w:pPr>
      <w:r w:rsidRPr="00BC413D">
        <w:rPr>
          <w:rFonts w:asciiTheme="minorHAnsi" w:hAnsiTheme="minorHAnsi" w:cstheme="minorHAnsi"/>
          <w:i/>
          <w:color w:val="000000" w:themeColor="text1"/>
        </w:rPr>
        <w:t>Petroleum and Other Fuels Reporting Act 2017</w:t>
      </w:r>
      <w:r w:rsidRPr="00BC413D">
        <w:rPr>
          <w:rFonts w:asciiTheme="minorHAnsi" w:hAnsiTheme="minorHAnsi" w:cstheme="minorHAnsi"/>
          <w:color w:val="000000" w:themeColor="text1"/>
        </w:rPr>
        <w:t xml:space="preserve"> (Cth)</w:t>
      </w:r>
      <w:r w:rsidR="008D7DC5" w:rsidRPr="00BC413D">
        <w:rPr>
          <w:rFonts w:asciiTheme="minorHAnsi" w:hAnsiTheme="minorHAnsi" w:cstheme="minorHAnsi"/>
          <w:color w:val="000000" w:themeColor="text1"/>
        </w:rPr>
        <w:t>.</w:t>
      </w:r>
    </w:p>
    <w:p w14:paraId="0332C6F0" w14:textId="5FFB649A"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Prime Minister and Cabinet (PMC) 2015,</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Australian Government Public Data Policy Statement</w:t>
      </w:r>
      <w:r w:rsidR="00AF18CA">
        <w:rPr>
          <w:rFonts w:asciiTheme="minorHAnsi" w:hAnsiTheme="minorHAnsi" w:cstheme="minorHAnsi"/>
          <w:i/>
          <w:color w:val="000000" w:themeColor="text1"/>
        </w:rPr>
        <w:t>,</w:t>
      </w:r>
      <w:r w:rsidR="009F431A">
        <w:rPr>
          <w:rFonts w:asciiTheme="minorHAnsi" w:hAnsiTheme="minorHAnsi" w:cstheme="minorHAnsi"/>
          <w:i/>
          <w:color w:val="000000" w:themeColor="text1"/>
        </w:rPr>
        <w:t xml:space="preserve"> </w:t>
      </w:r>
      <w:r w:rsidR="009F431A">
        <w:rPr>
          <w:rFonts w:asciiTheme="minorHAnsi" w:hAnsiTheme="minorHAnsi" w:cstheme="minorHAnsi"/>
          <w:color w:val="000000" w:themeColor="text1"/>
        </w:rPr>
        <w:t xml:space="preserve">viewed 18 December 2018, </w:t>
      </w:r>
      <w:hyperlink r:id="rId106" w:history="1">
        <w:r w:rsidR="009F431A" w:rsidRPr="009F431A">
          <w:rPr>
            <w:rStyle w:val="Hyperlink"/>
            <w:rFonts w:asciiTheme="minorHAnsi" w:hAnsiTheme="minorHAnsi" w:cstheme="minorHAnsi"/>
          </w:rPr>
          <w:t>https://www.pmc.gov.au/sites/default/files/publications/aust_govt_public_data_policy_statement_1.pdf</w:t>
        </w:r>
      </w:hyperlink>
      <w:r w:rsidRPr="00BC413D">
        <w:rPr>
          <w:rFonts w:asciiTheme="minorHAnsi" w:hAnsiTheme="minorHAnsi" w:cstheme="minorHAnsi"/>
          <w:color w:val="000000" w:themeColor="text1"/>
        </w:rPr>
        <w:t>.</w:t>
      </w:r>
    </w:p>
    <w:p w14:paraId="4E0686AE"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Summerhayes, G 2017,</w:t>
      </w:r>
      <w:r w:rsidRPr="00BC413D">
        <w:rPr>
          <w:rFonts w:asciiTheme="minorHAnsi" w:hAnsiTheme="minorHAnsi" w:cstheme="minorHAnsi"/>
          <w:color w:val="000000" w:themeColor="text1"/>
        </w:rPr>
        <w:t xml:space="preserve"> ‘Australia’s new horizon: Climate change challenges and prudential risk’, </w:t>
      </w:r>
      <w:r w:rsidRPr="00BC413D">
        <w:rPr>
          <w:rFonts w:asciiTheme="minorHAnsi" w:hAnsiTheme="minorHAnsi" w:cstheme="minorHAnsi"/>
          <w:i/>
          <w:color w:val="000000" w:themeColor="text1"/>
        </w:rPr>
        <w:t>Presentation to the Insurance Council of Australia Annual Forum</w:t>
      </w:r>
      <w:r w:rsidRPr="00BC413D">
        <w:rPr>
          <w:rFonts w:asciiTheme="minorHAnsi" w:hAnsiTheme="minorHAnsi" w:cstheme="minorHAnsi"/>
          <w:color w:val="000000" w:themeColor="text1"/>
        </w:rPr>
        <w:t>, Sydney, 17 February.</w:t>
      </w:r>
    </w:p>
    <w:p w14:paraId="6B69A278" w14:textId="77777777" w:rsidR="00832905" w:rsidRPr="00BC413D" w:rsidRDefault="00364AA8" w:rsidP="00364AA8">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Republic of France </w:t>
      </w:r>
      <w:r w:rsidR="00832905" w:rsidRPr="00BC413D">
        <w:rPr>
          <w:rFonts w:asciiTheme="minorHAnsi" w:hAnsiTheme="minorHAnsi" w:cstheme="minorHAnsi"/>
          <w:b/>
          <w:color w:val="000000" w:themeColor="text1"/>
        </w:rPr>
        <w:t xml:space="preserve">Ministry of Environment, Energy and the Sea </w:t>
      </w:r>
      <w:r w:rsidRPr="00BC413D">
        <w:rPr>
          <w:rFonts w:asciiTheme="minorHAnsi" w:hAnsiTheme="minorHAnsi" w:cstheme="minorHAnsi"/>
          <w:b/>
          <w:color w:val="000000" w:themeColor="text1"/>
        </w:rPr>
        <w:t xml:space="preserve">2016, </w:t>
      </w:r>
      <w:r w:rsidRPr="00BC413D">
        <w:rPr>
          <w:rFonts w:asciiTheme="minorHAnsi" w:hAnsiTheme="minorHAnsi" w:cstheme="minorHAnsi"/>
          <w:i/>
          <w:color w:val="000000" w:themeColor="text1"/>
        </w:rPr>
        <w:t>Method for the reali</w:t>
      </w:r>
      <w:r w:rsidR="00832905" w:rsidRPr="00BC413D">
        <w:rPr>
          <w:rFonts w:asciiTheme="minorHAnsi" w:hAnsiTheme="minorHAnsi" w:cstheme="minorHAnsi"/>
          <w:i/>
          <w:color w:val="000000" w:themeColor="text1"/>
        </w:rPr>
        <w:t>s</w:t>
      </w:r>
      <w:r w:rsidRPr="00BC413D">
        <w:rPr>
          <w:rFonts w:asciiTheme="minorHAnsi" w:hAnsiTheme="minorHAnsi" w:cstheme="minorHAnsi"/>
          <w:i/>
          <w:color w:val="000000" w:themeColor="text1"/>
        </w:rPr>
        <w:t>ation of</w:t>
      </w:r>
      <w:r w:rsidR="00936670" w:rsidRPr="00BC413D">
        <w:rPr>
          <w:rFonts w:asciiTheme="minorHAnsi" w:hAnsiTheme="minorHAnsi" w:cstheme="minorHAnsi"/>
          <w:i/>
          <w:color w:val="000000" w:themeColor="text1"/>
        </w:rPr>
        <w:t xml:space="preserve"> </w:t>
      </w:r>
      <w:r w:rsidRPr="00BC413D">
        <w:rPr>
          <w:rFonts w:asciiTheme="minorHAnsi" w:hAnsiTheme="minorHAnsi" w:cstheme="minorHAnsi"/>
          <w:i/>
          <w:color w:val="000000" w:themeColor="text1"/>
        </w:rPr>
        <w:t>balance sheets of greenhouse gas emissions</w:t>
      </w:r>
      <w:r w:rsidR="00936670" w:rsidRPr="00BC413D">
        <w:rPr>
          <w:rFonts w:asciiTheme="minorHAnsi" w:hAnsiTheme="minorHAnsi" w:cstheme="minorHAnsi"/>
          <w:i/>
          <w:color w:val="000000" w:themeColor="text1"/>
        </w:rPr>
        <w:t xml:space="preserve"> </w:t>
      </w:r>
      <w:r w:rsidRPr="00BC413D">
        <w:rPr>
          <w:rFonts w:asciiTheme="minorHAnsi" w:hAnsiTheme="minorHAnsi" w:cstheme="minorHAnsi"/>
          <w:i/>
          <w:color w:val="000000" w:themeColor="text1"/>
        </w:rPr>
        <w:t>in accordance with Article L. 229</w:t>
      </w:r>
      <w:r w:rsidR="00CB69BF" w:rsidRPr="00BC413D">
        <w:rPr>
          <w:rFonts w:asciiTheme="minorHAnsi" w:hAnsiTheme="minorHAnsi" w:cstheme="minorHAnsi"/>
          <w:i/>
          <w:color w:val="000000" w:themeColor="text1"/>
        </w:rPr>
        <w:t>–</w:t>
      </w:r>
      <w:r w:rsidRPr="00BC413D">
        <w:rPr>
          <w:rFonts w:asciiTheme="minorHAnsi" w:hAnsiTheme="minorHAnsi" w:cstheme="minorHAnsi"/>
          <w:i/>
          <w:color w:val="000000" w:themeColor="text1"/>
        </w:rPr>
        <w:t>25</w:t>
      </w:r>
      <w:r w:rsidR="00936670" w:rsidRPr="00BC413D">
        <w:rPr>
          <w:rFonts w:asciiTheme="minorHAnsi" w:hAnsiTheme="minorHAnsi" w:cstheme="minorHAnsi"/>
          <w:i/>
          <w:color w:val="000000" w:themeColor="text1"/>
        </w:rPr>
        <w:t xml:space="preserve"> </w:t>
      </w:r>
      <w:r w:rsidRPr="00BC413D">
        <w:rPr>
          <w:rFonts w:asciiTheme="minorHAnsi" w:hAnsiTheme="minorHAnsi" w:cstheme="minorHAnsi"/>
          <w:i/>
          <w:color w:val="000000" w:themeColor="text1"/>
        </w:rPr>
        <w:t>of the environmental code</w:t>
      </w:r>
      <w:r w:rsidR="00832905" w:rsidRPr="00BC413D">
        <w:rPr>
          <w:rFonts w:asciiTheme="minorHAnsi" w:hAnsiTheme="minorHAnsi" w:cstheme="minorHAnsi"/>
          <w:i/>
          <w:color w:val="000000" w:themeColor="text1"/>
        </w:rPr>
        <w:t xml:space="preserve"> </w:t>
      </w:r>
      <w:r w:rsidRPr="00BC413D">
        <w:rPr>
          <w:rFonts w:asciiTheme="minorHAnsi" w:hAnsiTheme="minorHAnsi" w:cstheme="minorHAnsi"/>
          <w:i/>
          <w:color w:val="000000" w:themeColor="text1"/>
        </w:rPr>
        <w:t>version 4</w:t>
      </w:r>
      <w:r w:rsidR="00832905" w:rsidRPr="00BC413D">
        <w:rPr>
          <w:rFonts w:asciiTheme="minorHAnsi" w:hAnsiTheme="minorHAnsi" w:cstheme="minorHAnsi"/>
          <w:color w:val="000000" w:themeColor="text1"/>
        </w:rPr>
        <w:t xml:space="preserve">, viewed 5 December 2018, </w:t>
      </w:r>
      <w:hyperlink r:id="rId107" w:history="1">
        <w:r w:rsidR="00832905" w:rsidRPr="00BC413D">
          <w:rPr>
            <w:rStyle w:val="Hyperlink"/>
            <w:rFonts w:asciiTheme="minorHAnsi" w:hAnsiTheme="minorHAnsi" w:cstheme="minorHAnsi"/>
            <w:color w:val="000000" w:themeColor="text1"/>
          </w:rPr>
          <w:t>https://www.ecologique-solidaire.gouv.fr/sites/default/files/Guide%20m%C3%A9thodologique%20sp%C3%A9cifique%20pour%20les%20collectivit%C3%A9s%20pour%20la%20r%C3%A9alisation%20du%20bilan%20d%E2%80%99%C3%A9missions%20de%20GES.pdf</w:t>
        </w:r>
      </w:hyperlink>
      <w:r w:rsidR="00832905" w:rsidRPr="00BC413D">
        <w:rPr>
          <w:rFonts w:asciiTheme="minorHAnsi" w:hAnsiTheme="minorHAnsi" w:cstheme="minorHAnsi"/>
          <w:color w:val="000000" w:themeColor="text1"/>
        </w:rPr>
        <w:t>.</w:t>
      </w:r>
    </w:p>
    <w:p w14:paraId="4E8ABD98" w14:textId="77777777" w:rsidR="00605FB0" w:rsidRPr="00BC413D" w:rsidRDefault="00605FB0" w:rsidP="004B384D">
      <w:pPr>
        <w:rPr>
          <w:rFonts w:asciiTheme="minorHAnsi" w:hAnsiTheme="minorHAnsi" w:cstheme="minorHAnsi"/>
          <w:b/>
          <w:color w:val="000000" w:themeColor="text1"/>
        </w:rPr>
      </w:pPr>
      <w:r w:rsidRPr="00BC413D">
        <w:rPr>
          <w:rFonts w:asciiTheme="minorHAnsi" w:hAnsiTheme="minorHAnsi" w:cstheme="minorHAnsi"/>
          <w:b/>
          <w:color w:val="000000" w:themeColor="text1"/>
        </w:rPr>
        <w:t>Republic of Korea Ministry of Environment 2017</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Greenhouse Gas Target Management System</w:t>
      </w:r>
      <w:r w:rsidRPr="00BC413D">
        <w:rPr>
          <w:rFonts w:asciiTheme="minorHAnsi" w:hAnsiTheme="minorHAnsi" w:cstheme="minorHAnsi"/>
          <w:color w:val="000000" w:themeColor="text1"/>
        </w:rPr>
        <w:t xml:space="preserve">, viewed 5 December 2018, </w:t>
      </w:r>
      <w:hyperlink r:id="rId108" w:history="1">
        <w:r w:rsidRPr="00BC413D">
          <w:rPr>
            <w:rStyle w:val="Hyperlink"/>
            <w:rFonts w:asciiTheme="minorHAnsi" w:hAnsiTheme="minorHAnsi" w:cstheme="minorHAnsi"/>
            <w:color w:val="000000" w:themeColor="text1"/>
          </w:rPr>
          <w:t>http://eng.me.go.kr/eng/web/index.do?menuId=207</w:t>
        </w:r>
      </w:hyperlink>
      <w:r w:rsidRPr="00BC413D">
        <w:rPr>
          <w:rFonts w:asciiTheme="minorHAnsi" w:hAnsiTheme="minorHAnsi" w:cstheme="minorHAnsi"/>
          <w:color w:val="000000" w:themeColor="text1"/>
        </w:rPr>
        <w:t>.</w:t>
      </w:r>
    </w:p>
    <w:p w14:paraId="3B984E8E"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Sustainable Business Australia (SBA) 2017,</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Climate Action in 2017, </w:t>
      </w:r>
      <w:r w:rsidR="0021290D" w:rsidRPr="00BC413D">
        <w:rPr>
          <w:rFonts w:asciiTheme="minorHAnsi" w:hAnsiTheme="minorHAnsi" w:cstheme="minorHAnsi"/>
          <w:color w:val="000000" w:themeColor="text1"/>
        </w:rPr>
        <w:t xml:space="preserve">viewed 12 December 2018, </w:t>
      </w:r>
      <w:hyperlink r:id="rId109" w:history="1">
        <w:r w:rsidRPr="00BC413D">
          <w:rPr>
            <w:rStyle w:val="Hyperlink"/>
            <w:rFonts w:asciiTheme="minorHAnsi" w:hAnsiTheme="minorHAnsi" w:cstheme="minorHAnsi"/>
            <w:color w:val="000000" w:themeColor="text1"/>
          </w:rPr>
          <w:t>https://www.slideshare.net/sustainablebusinessaustralia/sba-climate-action-in-2017-report-release</w:t>
        </w:r>
      </w:hyperlink>
      <w:r w:rsidRPr="00BC413D">
        <w:rPr>
          <w:rFonts w:asciiTheme="minorHAnsi" w:hAnsiTheme="minorHAnsi" w:cstheme="minorHAnsi"/>
          <w:color w:val="000000" w:themeColor="text1"/>
        </w:rPr>
        <w:t xml:space="preserve">.  </w:t>
      </w:r>
    </w:p>
    <w:p w14:paraId="5D0A6B5C" w14:textId="7BC943A7" w:rsidR="004B384D" w:rsidRPr="00BC413D" w:rsidRDefault="004B384D" w:rsidP="004B384D">
      <w:pPr>
        <w:rPr>
          <w:rFonts w:asciiTheme="minorHAnsi" w:hAnsiTheme="minorHAnsi" w:cstheme="minorHAnsi"/>
          <w:i/>
          <w:color w:val="000000" w:themeColor="text1"/>
        </w:rPr>
      </w:pPr>
      <w:r w:rsidRPr="00BC413D">
        <w:rPr>
          <w:rFonts w:asciiTheme="minorHAnsi" w:hAnsiTheme="minorHAnsi" w:cstheme="minorHAnsi"/>
          <w:b/>
          <w:color w:val="000000" w:themeColor="text1"/>
        </w:rPr>
        <w:t xml:space="preserve">Task Force on Climate-related Financial Disclosures (TCFD) 2017a, </w:t>
      </w:r>
      <w:r w:rsidRPr="00BC413D">
        <w:rPr>
          <w:rFonts w:asciiTheme="minorHAnsi" w:hAnsiTheme="minorHAnsi" w:cstheme="minorHAnsi"/>
          <w:i/>
          <w:color w:val="000000" w:themeColor="text1"/>
        </w:rPr>
        <w:t>Final report – recommendations of the Task Force on Climate-related Financial Disclosures</w:t>
      </w:r>
      <w:r w:rsidR="00AF18CA">
        <w:rPr>
          <w:rFonts w:asciiTheme="minorHAnsi" w:hAnsiTheme="minorHAnsi" w:cstheme="minorHAnsi"/>
          <w:i/>
          <w:color w:val="000000" w:themeColor="text1"/>
        </w:rPr>
        <w:t>,</w:t>
      </w:r>
      <w:r w:rsidR="009F431A">
        <w:rPr>
          <w:rFonts w:asciiTheme="minorHAnsi" w:hAnsiTheme="minorHAnsi" w:cstheme="minorHAnsi"/>
          <w:i/>
          <w:color w:val="000000" w:themeColor="text1"/>
        </w:rPr>
        <w:t xml:space="preserve"> </w:t>
      </w:r>
      <w:r w:rsidR="009F431A">
        <w:rPr>
          <w:rFonts w:asciiTheme="minorHAnsi" w:hAnsiTheme="minorHAnsi" w:cstheme="minorHAnsi"/>
          <w:color w:val="000000" w:themeColor="text1"/>
        </w:rPr>
        <w:t xml:space="preserve">viewed 18 December 2018, </w:t>
      </w:r>
      <w:hyperlink r:id="rId110" w:history="1">
        <w:r w:rsidR="009F431A" w:rsidRPr="009F431A">
          <w:rPr>
            <w:rStyle w:val="Hyperlink"/>
            <w:rFonts w:asciiTheme="minorHAnsi" w:hAnsiTheme="minorHAnsi" w:cstheme="minorHAnsi"/>
          </w:rPr>
          <w:t>https://www.fsb-tcfd.org/wp-content/uploads/2017/06/FINAL-2017-TCFD-Report-11052018.pdf</w:t>
        </w:r>
      </w:hyperlink>
      <w:r w:rsidRPr="00BC413D">
        <w:rPr>
          <w:rFonts w:asciiTheme="minorHAnsi" w:hAnsiTheme="minorHAnsi" w:cstheme="minorHAnsi"/>
          <w:i/>
          <w:color w:val="000000" w:themeColor="text1"/>
        </w:rPr>
        <w:t>.</w:t>
      </w:r>
    </w:p>
    <w:p w14:paraId="73C59717" w14:textId="1347A5A2"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TCFD 2017b,</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Implementing the Recommendations of the Task Force on Climate-related Financial Disclosures</w:t>
      </w:r>
      <w:r w:rsidR="00AF18CA">
        <w:rPr>
          <w:rFonts w:asciiTheme="minorHAnsi" w:hAnsiTheme="minorHAnsi" w:cstheme="minorHAnsi"/>
          <w:i/>
          <w:color w:val="000000" w:themeColor="text1"/>
        </w:rPr>
        <w:t>,</w:t>
      </w:r>
      <w:r w:rsidR="009F431A">
        <w:rPr>
          <w:rFonts w:asciiTheme="minorHAnsi" w:hAnsiTheme="minorHAnsi" w:cstheme="minorHAnsi"/>
          <w:i/>
          <w:color w:val="000000" w:themeColor="text1"/>
        </w:rPr>
        <w:t xml:space="preserve"> </w:t>
      </w:r>
      <w:r w:rsidR="009F431A">
        <w:rPr>
          <w:rFonts w:asciiTheme="minorHAnsi" w:hAnsiTheme="minorHAnsi" w:cstheme="minorHAnsi"/>
          <w:color w:val="000000" w:themeColor="text1"/>
        </w:rPr>
        <w:t xml:space="preserve">viewed 18 December 2018, </w:t>
      </w:r>
      <w:hyperlink r:id="rId111" w:history="1">
        <w:r w:rsidR="009F431A" w:rsidRPr="009F431A">
          <w:rPr>
            <w:rStyle w:val="Hyperlink"/>
            <w:rFonts w:asciiTheme="minorHAnsi" w:hAnsiTheme="minorHAnsi" w:cstheme="minorHAnsi"/>
          </w:rPr>
          <w:t>https://www.fsb-tcfd.org/wp-content/uploads/2017/12/FINAL-TCFD-Annex-Amended-121517.pdf</w:t>
        </w:r>
      </w:hyperlink>
      <w:r w:rsidRPr="00BC413D">
        <w:rPr>
          <w:rFonts w:asciiTheme="minorHAnsi" w:hAnsiTheme="minorHAnsi" w:cstheme="minorHAnsi"/>
          <w:color w:val="000000" w:themeColor="text1"/>
        </w:rPr>
        <w:t xml:space="preserve">. </w:t>
      </w:r>
    </w:p>
    <w:p w14:paraId="7E42320E" w14:textId="77777777"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The Auditor-General 2012,</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 xml:space="preserve">Administration of the National Greenhouse and Energy Reporting Scheme, </w:t>
      </w:r>
      <w:r w:rsidRPr="00BC413D">
        <w:rPr>
          <w:rFonts w:asciiTheme="minorHAnsi" w:hAnsiTheme="minorHAnsi" w:cstheme="minorHAnsi"/>
          <w:color w:val="000000" w:themeColor="text1"/>
        </w:rPr>
        <w:t>Australian National Audit Office, Canberra.</w:t>
      </w:r>
    </w:p>
    <w:p w14:paraId="4C874815" w14:textId="42BF593B"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The Greenhouse Gas Protocol n.d.,</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A Corporate Accounting and Reporting Standard</w:t>
      </w:r>
      <w:r w:rsidR="00AF18CA">
        <w:rPr>
          <w:rFonts w:asciiTheme="minorHAnsi" w:hAnsiTheme="minorHAnsi" w:cstheme="minorHAnsi"/>
          <w:i/>
          <w:color w:val="000000" w:themeColor="text1"/>
        </w:rPr>
        <w:t>,</w:t>
      </w:r>
      <w:r w:rsidR="009F431A">
        <w:rPr>
          <w:rFonts w:asciiTheme="minorHAnsi" w:hAnsiTheme="minorHAnsi" w:cstheme="minorHAnsi"/>
          <w:color w:val="000000" w:themeColor="text1"/>
        </w:rPr>
        <w:t xml:space="preserve"> viewed 18 December 2018, </w:t>
      </w:r>
      <w:hyperlink r:id="rId112" w:history="1">
        <w:r w:rsidR="009F431A" w:rsidRPr="009F431A">
          <w:rPr>
            <w:rStyle w:val="Hyperlink"/>
            <w:rFonts w:asciiTheme="minorHAnsi" w:hAnsiTheme="minorHAnsi" w:cstheme="minorHAnsi"/>
          </w:rPr>
          <w:t>https://ghgprotocol.org/sites/default/files/standards/ghg-protocol-revised.pdf</w:t>
        </w:r>
      </w:hyperlink>
      <w:r w:rsidRPr="00BC413D">
        <w:rPr>
          <w:rFonts w:asciiTheme="minorHAnsi" w:hAnsiTheme="minorHAnsi" w:cstheme="minorHAnsi"/>
          <w:color w:val="000000" w:themeColor="text1"/>
        </w:rPr>
        <w:t xml:space="preserve">. </w:t>
      </w:r>
    </w:p>
    <w:p w14:paraId="7CE53759" w14:textId="4596C3BE" w:rsidR="004B384D" w:rsidRPr="00BC413D" w:rsidRDefault="004B384D" w:rsidP="004B384D">
      <w:pPr>
        <w:rPr>
          <w:rFonts w:asciiTheme="minorHAnsi" w:hAnsiTheme="minorHAnsi" w:cstheme="minorHAnsi"/>
          <w:color w:val="000000" w:themeColor="text1"/>
        </w:rPr>
      </w:pPr>
      <w:r w:rsidRPr="00BC413D">
        <w:rPr>
          <w:rFonts w:asciiTheme="minorHAnsi" w:hAnsiTheme="minorHAnsi" w:cstheme="minorHAnsi"/>
          <w:b/>
          <w:color w:val="000000" w:themeColor="text1"/>
        </w:rPr>
        <w:t>United National Framework Convention on Climate Change (UNFCCC) Compliance Committee 2018,</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Report of the individual review of the annual submission of Australia submitted in 2017</w:t>
      </w:r>
      <w:r w:rsidR="00AF18CA">
        <w:rPr>
          <w:rFonts w:asciiTheme="minorHAnsi" w:hAnsiTheme="minorHAnsi" w:cstheme="minorHAnsi"/>
          <w:i/>
          <w:color w:val="000000" w:themeColor="text1"/>
        </w:rPr>
        <w:t>,</w:t>
      </w:r>
      <w:r w:rsidR="009F431A">
        <w:rPr>
          <w:rFonts w:asciiTheme="minorHAnsi" w:hAnsiTheme="minorHAnsi" w:cstheme="minorHAnsi"/>
          <w:i/>
          <w:color w:val="000000" w:themeColor="text1"/>
        </w:rPr>
        <w:t xml:space="preserve"> </w:t>
      </w:r>
      <w:r w:rsidR="009F431A">
        <w:rPr>
          <w:rFonts w:asciiTheme="minorHAnsi" w:hAnsiTheme="minorHAnsi" w:cstheme="minorHAnsi"/>
          <w:color w:val="000000" w:themeColor="text1"/>
        </w:rPr>
        <w:t xml:space="preserve">viewed 18 December 2018, </w:t>
      </w:r>
      <w:hyperlink r:id="rId113" w:history="1">
        <w:r w:rsidR="009F431A" w:rsidRPr="009F431A">
          <w:rPr>
            <w:rStyle w:val="Hyperlink"/>
            <w:rFonts w:asciiTheme="minorHAnsi" w:hAnsiTheme="minorHAnsi" w:cstheme="minorHAnsi"/>
          </w:rPr>
          <w:t>https://unfccc.int/sites/default/files/resource/2017%20ARR%20of%20AUS_complete.pdf</w:t>
        </w:r>
      </w:hyperlink>
      <w:r w:rsidRPr="00BC413D">
        <w:rPr>
          <w:rFonts w:asciiTheme="minorHAnsi" w:hAnsiTheme="minorHAnsi" w:cstheme="minorHAnsi"/>
          <w:color w:val="000000" w:themeColor="text1"/>
        </w:rPr>
        <w:t xml:space="preserve">. </w:t>
      </w:r>
    </w:p>
    <w:p w14:paraId="00895CDA" w14:textId="77777777" w:rsidR="00BC413D" w:rsidRPr="00BC413D" w:rsidRDefault="00BC413D" w:rsidP="00BC413D">
      <w:pPr>
        <w:rPr>
          <w:rFonts w:asciiTheme="minorHAnsi" w:hAnsiTheme="minorHAnsi" w:cstheme="minorHAnsi"/>
          <w:color w:val="000000" w:themeColor="text1"/>
        </w:rPr>
      </w:pPr>
      <w:r w:rsidRPr="00BC413D">
        <w:rPr>
          <w:rFonts w:asciiTheme="minorHAnsi" w:hAnsiTheme="minorHAnsi" w:cstheme="minorHAnsi"/>
          <w:b/>
          <w:color w:val="000000" w:themeColor="text1"/>
        </w:rPr>
        <w:t>UNFCCC 2011,</w:t>
      </w:r>
      <w:r w:rsidRPr="00BC413D">
        <w:rPr>
          <w:rFonts w:asciiTheme="minorHAnsi" w:hAnsiTheme="minorHAnsi" w:cstheme="minorHAnsi"/>
          <w:color w:val="000000" w:themeColor="text1"/>
        </w:rPr>
        <w:t xml:space="preserve"> </w:t>
      </w:r>
      <w:r w:rsidRPr="00BC413D">
        <w:rPr>
          <w:rFonts w:asciiTheme="minorHAnsi" w:hAnsiTheme="minorHAnsi" w:cstheme="minorHAnsi"/>
          <w:i/>
          <w:color w:val="000000" w:themeColor="text1"/>
        </w:rPr>
        <w:t>Decision 4/CMP.7 Decisions adopted by the Conference of the Parties serving as the meeting of the Parties to the Kyoto Protocol,</w:t>
      </w:r>
      <w:r w:rsidRPr="00BC413D">
        <w:rPr>
          <w:rFonts w:asciiTheme="minorHAnsi" w:hAnsiTheme="minorHAnsi" w:cstheme="minorHAnsi"/>
          <w:color w:val="000000" w:themeColor="text1"/>
        </w:rPr>
        <w:t xml:space="preserve"> FCCC/KP/CMP/2011/10/Add.1, viewed 16 December 2018, </w:t>
      </w:r>
      <w:hyperlink r:id="rId114" w:history="1">
        <w:r w:rsidRPr="00BC413D">
          <w:rPr>
            <w:rStyle w:val="Hyperlink"/>
            <w:rFonts w:asciiTheme="minorHAnsi" w:hAnsiTheme="minorHAnsi" w:cstheme="minorHAnsi"/>
            <w:color w:val="000000" w:themeColor="text1"/>
          </w:rPr>
          <w:t>https://unfccc.int/resource/docs/2011/cmp7/eng/10a01.pdf</w:t>
        </w:r>
      </w:hyperlink>
    </w:p>
    <w:p w14:paraId="30BBD310" w14:textId="77777777" w:rsidR="00931D34" w:rsidRPr="00BC413D" w:rsidRDefault="007814BE" w:rsidP="00BC413D">
      <w:pPr>
        <w:rPr>
          <w:rFonts w:asciiTheme="minorHAnsi" w:hAnsiTheme="minorHAnsi" w:cstheme="minorHAnsi"/>
          <w:color w:val="000000" w:themeColor="text1"/>
        </w:rPr>
      </w:pPr>
      <w:r w:rsidRPr="00BC413D">
        <w:rPr>
          <w:rFonts w:asciiTheme="minorHAnsi" w:hAnsiTheme="minorHAnsi" w:cstheme="minorHAnsi"/>
          <w:b/>
          <w:color w:val="000000" w:themeColor="text1"/>
        </w:rPr>
        <w:t xml:space="preserve">UNFCCC </w:t>
      </w:r>
      <w:r w:rsidR="00C208C1" w:rsidRPr="00BC413D">
        <w:rPr>
          <w:rFonts w:asciiTheme="minorHAnsi" w:hAnsiTheme="minorHAnsi" w:cstheme="minorHAnsi"/>
          <w:b/>
          <w:color w:val="000000" w:themeColor="text1"/>
        </w:rPr>
        <w:t>1997,</w:t>
      </w:r>
      <w:r w:rsidR="00C208C1" w:rsidRPr="00BC413D">
        <w:rPr>
          <w:rFonts w:asciiTheme="minorHAnsi" w:hAnsiTheme="minorHAnsi" w:cstheme="minorHAnsi"/>
          <w:i/>
          <w:color w:val="000000" w:themeColor="text1"/>
        </w:rPr>
        <w:t xml:space="preserve"> </w:t>
      </w:r>
      <w:r w:rsidRPr="00BC413D">
        <w:rPr>
          <w:rFonts w:asciiTheme="minorHAnsi" w:hAnsiTheme="minorHAnsi" w:cstheme="minorHAnsi"/>
          <w:i/>
          <w:color w:val="000000" w:themeColor="text1"/>
        </w:rPr>
        <w:t xml:space="preserve">Decision 2/CP.3 Methodological issues related to the Kyoto Protocol, </w:t>
      </w:r>
      <w:r w:rsidRPr="00BC413D">
        <w:rPr>
          <w:rFonts w:asciiTheme="minorHAnsi" w:hAnsiTheme="minorHAnsi" w:cstheme="minorHAnsi"/>
          <w:color w:val="000000" w:themeColor="text1"/>
        </w:rPr>
        <w:t>FCCC/CP/1997/7/Add.1, viewed 13 December 2018, https://unfccc.int/resource/docs/cop3/07a01.pdf.</w:t>
      </w:r>
    </w:p>
    <w:p w14:paraId="309CEBAD" w14:textId="77777777" w:rsidR="0044532C" w:rsidRPr="00BC413D" w:rsidRDefault="004B384D" w:rsidP="00BC413D">
      <w:pPr>
        <w:rPr>
          <w:rFonts w:asciiTheme="minorHAnsi" w:hAnsiTheme="minorHAnsi" w:cstheme="minorHAnsi"/>
          <w:i/>
          <w:color w:val="000000" w:themeColor="text1"/>
        </w:rPr>
      </w:pPr>
      <w:r w:rsidRPr="00BC413D">
        <w:rPr>
          <w:rFonts w:asciiTheme="minorHAnsi" w:hAnsiTheme="minorHAnsi" w:cstheme="minorHAnsi"/>
          <w:b/>
          <w:color w:val="000000" w:themeColor="text1"/>
        </w:rPr>
        <w:t>United States Environment Protection Agency (US EPA) 2009,</w:t>
      </w:r>
      <w:r w:rsidRPr="00BC413D">
        <w:rPr>
          <w:rFonts w:asciiTheme="minorHAnsi" w:hAnsiTheme="minorHAnsi" w:cstheme="minorHAnsi"/>
          <w:i/>
          <w:color w:val="000000" w:themeColor="text1"/>
        </w:rPr>
        <w:t xml:space="preserve"> Mandatory Greenhouse Gas Reporting Rule: EPA’s Response to Public Comments, </w:t>
      </w:r>
      <w:r w:rsidRPr="00BC413D">
        <w:rPr>
          <w:rFonts w:asciiTheme="minorHAnsi" w:hAnsiTheme="minorHAnsi" w:cstheme="minorHAnsi"/>
          <w:color w:val="000000" w:themeColor="text1"/>
        </w:rPr>
        <w:t>Washington</w:t>
      </w:r>
    </w:p>
    <w:p w14:paraId="0F0A092E" w14:textId="77777777" w:rsidR="00654F87" w:rsidRPr="00BC413D" w:rsidRDefault="00654F87" w:rsidP="00BC413D">
      <w:pPr>
        <w:rPr>
          <w:rFonts w:asciiTheme="minorHAnsi" w:hAnsiTheme="minorHAnsi" w:cstheme="minorHAnsi"/>
          <w:color w:val="000000" w:themeColor="text1"/>
        </w:rPr>
      </w:pPr>
      <w:r w:rsidRPr="00BC413D">
        <w:rPr>
          <w:rFonts w:asciiTheme="minorHAnsi" w:hAnsiTheme="minorHAnsi" w:cstheme="minorHAnsi"/>
          <w:b/>
          <w:color w:val="000000" w:themeColor="text1"/>
        </w:rPr>
        <w:t>US EPA n.d.</w:t>
      </w:r>
      <w:r w:rsidRPr="00BC413D">
        <w:rPr>
          <w:rFonts w:asciiTheme="minorHAnsi" w:hAnsiTheme="minorHAnsi" w:cstheme="minorHAnsi"/>
          <w:i/>
          <w:color w:val="000000" w:themeColor="text1"/>
        </w:rPr>
        <w:t xml:space="preserve"> Greenhouse Gas Reporting Program (GHGRP), </w:t>
      </w:r>
      <w:r w:rsidRPr="00BC413D">
        <w:rPr>
          <w:rFonts w:asciiTheme="minorHAnsi" w:hAnsiTheme="minorHAnsi" w:cstheme="minorHAnsi"/>
          <w:color w:val="000000" w:themeColor="text1"/>
        </w:rPr>
        <w:t xml:space="preserve">viewed 5 December 2018, </w:t>
      </w:r>
      <w:hyperlink r:id="rId115" w:history="1">
        <w:r w:rsidRPr="00BC413D">
          <w:t>https://www.epa.gov/ghgreporting</w:t>
        </w:r>
      </w:hyperlink>
      <w:r w:rsidRPr="00BC413D">
        <w:rPr>
          <w:rFonts w:asciiTheme="minorHAnsi" w:hAnsiTheme="minorHAnsi" w:cstheme="minorHAnsi"/>
          <w:color w:val="000000" w:themeColor="text1"/>
        </w:rPr>
        <w:t>.</w:t>
      </w:r>
    </w:p>
    <w:p w14:paraId="0F0EE3D2" w14:textId="49C382E3" w:rsidR="0074091F" w:rsidRPr="00BC413D" w:rsidRDefault="0074091F" w:rsidP="00BC413D">
      <w:pPr>
        <w:rPr>
          <w:rFonts w:asciiTheme="minorHAnsi" w:hAnsiTheme="minorHAnsi" w:cstheme="minorHAnsi"/>
          <w:i/>
          <w:color w:val="000000" w:themeColor="text1"/>
        </w:rPr>
      </w:pPr>
      <w:r w:rsidRPr="00BC413D">
        <w:rPr>
          <w:rFonts w:asciiTheme="minorHAnsi" w:hAnsiTheme="minorHAnsi" w:cstheme="minorHAnsi"/>
          <w:b/>
          <w:color w:val="000000" w:themeColor="text1"/>
        </w:rPr>
        <w:t>World Resources Institute 2013,</w:t>
      </w:r>
      <w:r w:rsidRPr="00BC413D">
        <w:rPr>
          <w:rFonts w:asciiTheme="minorHAnsi" w:hAnsiTheme="minorHAnsi" w:cstheme="minorHAnsi"/>
          <w:i/>
          <w:color w:val="000000" w:themeColor="text1"/>
        </w:rPr>
        <w:t xml:space="preserve"> Designing greenhouse gas reporting systems: learning from existing programs, Working Paper</w:t>
      </w:r>
      <w:r w:rsidR="00AF18CA">
        <w:rPr>
          <w:rFonts w:asciiTheme="minorHAnsi" w:hAnsiTheme="minorHAnsi" w:cstheme="minorHAnsi"/>
          <w:i/>
          <w:color w:val="000000" w:themeColor="text1"/>
        </w:rPr>
        <w:t>,</w:t>
      </w:r>
      <w:r w:rsidR="009F431A">
        <w:rPr>
          <w:rFonts w:asciiTheme="minorHAnsi" w:hAnsiTheme="minorHAnsi" w:cstheme="minorHAnsi"/>
          <w:i/>
          <w:color w:val="000000" w:themeColor="text1"/>
        </w:rPr>
        <w:t xml:space="preserve"> </w:t>
      </w:r>
      <w:r w:rsidR="009F431A">
        <w:rPr>
          <w:rFonts w:asciiTheme="minorHAnsi" w:hAnsiTheme="minorHAnsi" w:cstheme="minorHAnsi"/>
          <w:color w:val="000000" w:themeColor="text1"/>
        </w:rPr>
        <w:t xml:space="preserve">viewed 18 December 2018, </w:t>
      </w:r>
      <w:hyperlink r:id="rId116" w:history="1">
        <w:r w:rsidR="009F431A" w:rsidRPr="009F431A">
          <w:rPr>
            <w:rStyle w:val="Hyperlink"/>
            <w:rFonts w:asciiTheme="minorHAnsi" w:hAnsiTheme="minorHAnsi" w:cstheme="minorHAnsi"/>
          </w:rPr>
          <w:t>https://wriorg.s3.amazonaws.com/s3fs-public/designing_greenhouse_gas_reporting_systems.pdf?_ga=2.238027392.1488601087.1545095048-595207551.1545095048</w:t>
        </w:r>
      </w:hyperlink>
      <w:r w:rsidRPr="00BC413D">
        <w:rPr>
          <w:rFonts w:asciiTheme="minorHAnsi" w:hAnsiTheme="minorHAnsi" w:cstheme="minorHAnsi"/>
          <w:i/>
          <w:color w:val="000000" w:themeColor="text1"/>
        </w:rPr>
        <w:t>.</w:t>
      </w:r>
    </w:p>
    <w:p w14:paraId="4946B0AA" w14:textId="77777777" w:rsidR="0044532C" w:rsidRPr="00BC413D" w:rsidRDefault="00522D12" w:rsidP="00BC413D">
      <w:pPr>
        <w:rPr>
          <w:rFonts w:asciiTheme="minorHAnsi" w:hAnsiTheme="minorHAnsi" w:cstheme="minorHAnsi"/>
          <w:i/>
          <w:color w:val="000000" w:themeColor="text1"/>
        </w:rPr>
      </w:pPr>
      <w:r w:rsidRPr="00BC413D">
        <w:rPr>
          <w:rFonts w:asciiTheme="minorHAnsi" w:hAnsiTheme="minorHAnsi" w:cstheme="minorHAnsi"/>
          <w:b/>
          <w:color w:val="000000" w:themeColor="text1"/>
        </w:rPr>
        <w:t>World Resources Institute 2015,</w:t>
      </w:r>
      <w:r w:rsidRPr="00BC413D">
        <w:rPr>
          <w:rFonts w:asciiTheme="minorHAnsi" w:hAnsiTheme="minorHAnsi" w:cstheme="minorHAnsi"/>
          <w:i/>
          <w:color w:val="000000" w:themeColor="text1"/>
        </w:rPr>
        <w:t xml:space="preserve"> Guide for Designing Mandatory Greenhouse Gas Reporting Programs, </w:t>
      </w:r>
      <w:r w:rsidRPr="00BC413D">
        <w:rPr>
          <w:rFonts w:asciiTheme="minorHAnsi" w:hAnsiTheme="minorHAnsi" w:cstheme="minorHAnsi"/>
          <w:color w:val="000000" w:themeColor="text1"/>
        </w:rPr>
        <w:t>The World Bank, Washington</w:t>
      </w:r>
      <w:r w:rsidRPr="00BC413D">
        <w:rPr>
          <w:rFonts w:asciiTheme="minorHAnsi" w:hAnsiTheme="minorHAnsi" w:cstheme="minorHAnsi"/>
          <w:i/>
          <w:color w:val="000000" w:themeColor="text1"/>
        </w:rPr>
        <w:t>.</w:t>
      </w:r>
    </w:p>
    <w:sectPr w:rsidR="0044532C" w:rsidRPr="00BC413D" w:rsidSect="00041493">
      <w:headerReference w:type="even" r:id="rId117"/>
      <w:pgSz w:w="11907" w:h="16840" w:code="9"/>
      <w:pgMar w:top="1418" w:right="1077" w:bottom="851" w:left="1077" w:header="850" w:footer="720" w:gutter="0"/>
      <w:pgNumType w:chapStyle="1" w:chapSep="emDash"/>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0EB70E" w16cid:durableId="1FB4C36D"/>
  <w16cid:commentId w16cid:paraId="383E6D3B" w16cid:durableId="1FB7F3EF"/>
  <w16cid:commentId w16cid:paraId="27A5FE99" w16cid:durableId="1FBA2A4A"/>
  <w16cid:commentId w16cid:paraId="3B0E8BD3" w16cid:durableId="1FB7F405"/>
  <w16cid:commentId w16cid:paraId="2D77994B" w16cid:durableId="1FB4C767"/>
  <w16cid:commentId w16cid:paraId="20BA50BB" w16cid:durableId="1FB4F9B6"/>
  <w16cid:commentId w16cid:paraId="7FD084B1" w16cid:durableId="1FB4C5AD"/>
  <w16cid:commentId w16cid:paraId="17D07929" w16cid:durableId="1FBA188E"/>
  <w16cid:commentId w16cid:paraId="7ABBFB24" w16cid:durableId="1FB8EC3D"/>
  <w16cid:commentId w16cid:paraId="344B7BB8" w16cid:durableId="1FB4CC35"/>
  <w16cid:commentId w16cid:paraId="5E8B6E7C" w16cid:durableId="1FB4F1E0"/>
  <w16cid:commentId w16cid:paraId="532C7C7F" w16cid:durableId="1FB4F52D"/>
  <w16cid:commentId w16cid:paraId="2901A474" w16cid:durableId="1FB4F53D"/>
  <w16cid:commentId w16cid:paraId="56BEBEA0" w16cid:durableId="1FB4F547"/>
  <w16cid:commentId w16cid:paraId="47DB16AD" w16cid:durableId="1FB4CC58"/>
  <w16cid:commentId w16cid:paraId="5BE9F061" w16cid:durableId="1FB4F689"/>
  <w16cid:commentId w16cid:paraId="2254D56D" w16cid:durableId="1FB4F4BC"/>
  <w16cid:commentId w16cid:paraId="433DD90E" w16cid:durableId="1FBA2C01"/>
  <w16cid:commentId w16cid:paraId="2609A82A" w16cid:durableId="1FB4F557"/>
  <w16cid:commentId w16cid:paraId="0E43A499" w16cid:durableId="1FB4F562"/>
  <w16cid:commentId w16cid:paraId="1DC4AEB4" w16cid:durableId="1FB50106"/>
  <w16cid:commentId w16cid:paraId="7F171137" w16cid:durableId="1FB54A8B"/>
  <w16cid:commentId w16cid:paraId="7308BA25" w16cid:durableId="1FB54F05"/>
  <w16cid:commentId w16cid:paraId="268FC7C3" w16cid:durableId="1FB54FD9"/>
  <w16cid:commentId w16cid:paraId="7E38A6A8" w16cid:durableId="1FB7F606"/>
  <w16cid:commentId w16cid:paraId="2EBAA450" w16cid:durableId="1FB5561A"/>
  <w16cid:commentId w16cid:paraId="46DBEE2C" w16cid:durableId="1FBA3073"/>
  <w16cid:commentId w16cid:paraId="610CDBFD" w16cid:durableId="1FB55B10"/>
  <w16cid:commentId w16cid:paraId="54302D4F" w16cid:durableId="1FB55B44"/>
  <w16cid:commentId w16cid:paraId="178BFE24" w16cid:durableId="1FB560D2"/>
  <w16cid:commentId w16cid:paraId="7A9795B1" w16cid:durableId="1FB56170"/>
  <w16cid:commentId w16cid:paraId="546D3649" w16cid:durableId="1FB561A8"/>
  <w16cid:commentId w16cid:paraId="6D295DB6" w16cid:durableId="1FB7E5CE"/>
  <w16cid:commentId w16cid:paraId="120DA423" w16cid:durableId="1FB7E838"/>
  <w16cid:commentId w16cid:paraId="6A1FD6DE" w16cid:durableId="1FBA31F1"/>
  <w16cid:commentId w16cid:paraId="26927C8A" w16cid:durableId="1FB65AD8"/>
  <w16cid:commentId w16cid:paraId="06E8CC1F" w16cid:durableId="1FB65B79"/>
  <w16cid:commentId w16cid:paraId="2A6C587B" w16cid:durableId="1FBA1794"/>
  <w16cid:commentId w16cid:paraId="592E575C" w16cid:durableId="1FB66D76"/>
  <w16cid:commentId w16cid:paraId="5876B17F" w16cid:durableId="1FB67247"/>
  <w16cid:commentId w16cid:paraId="5263C583" w16cid:durableId="1FB6772F"/>
  <w16cid:commentId w16cid:paraId="731DEF04" w16cid:durableId="1FB67815"/>
  <w16cid:commentId w16cid:paraId="6E36CBF2" w16cid:durableId="1FB8FC92"/>
  <w16cid:commentId w16cid:paraId="3ECF1B39" w16cid:durableId="1FB7D79D"/>
  <w16cid:commentId w16cid:paraId="65524221" w16cid:durableId="1FB693AF"/>
  <w16cid:commentId w16cid:paraId="7D91A9B4" w16cid:durableId="1FBA3B04"/>
  <w16cid:commentId w16cid:paraId="1E88FB6C" w16cid:durableId="1FB6985B"/>
  <w16cid:commentId w16cid:paraId="2DBBD563" w16cid:durableId="1FB699E6"/>
  <w16cid:commentId w16cid:paraId="0A3F6FD2" w16cid:durableId="1FB69B54"/>
  <w16cid:commentId w16cid:paraId="38DBD9B4" w16cid:durableId="1FB69EF3"/>
  <w16cid:commentId w16cid:paraId="473BB33E" w16cid:durableId="1FB8EE71"/>
  <w16cid:commentId w16cid:paraId="0A896AF2" w16cid:durableId="1FB6A852"/>
  <w16cid:commentId w16cid:paraId="3E40F18A" w16cid:durableId="1FB6A0E9"/>
  <w16cid:commentId w16cid:paraId="45E16011" w16cid:durableId="1FB7CD2D"/>
  <w16cid:commentId w16cid:paraId="0B00B0CB" w16cid:durableId="1FBA1590"/>
  <w16cid:commentId w16cid:paraId="0055550B" w16cid:durableId="1FB8FDCF"/>
  <w16cid:commentId w16cid:paraId="0A5C8A46" w16cid:durableId="1FBA1611"/>
  <w16cid:commentId w16cid:paraId="386A60EB" w16cid:durableId="1FB903D9"/>
  <w16cid:commentId w16cid:paraId="71C34DD1" w16cid:durableId="1FBA3B36"/>
  <w16cid:commentId w16cid:paraId="64D45C4B" w16cid:durableId="1FBA3B57"/>
  <w16cid:commentId w16cid:paraId="1634954B" w16cid:durableId="1FB8F420"/>
  <w16cid:commentId w16cid:paraId="6D26A691" w16cid:durableId="1FB7D701"/>
  <w16cid:commentId w16cid:paraId="32F978EA" w16cid:durableId="1FB7D7EC"/>
  <w16cid:commentId w16cid:paraId="648C5EBF" w16cid:durableId="1FB7D968"/>
  <w16cid:commentId w16cid:paraId="173FEDBD" w16cid:durableId="1FB8F4F3"/>
  <w16cid:commentId w16cid:paraId="0E383C6B" w16cid:durableId="1FB8F789"/>
  <w16cid:commentId w16cid:paraId="53DE49CB" w16cid:durableId="1FB8F6B8"/>
  <w16cid:commentId w16cid:paraId="2794B31B" w16cid:durableId="1FB90792"/>
  <w16cid:commentId w16cid:paraId="4FEC9AC1" w16cid:durableId="1FB7F3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19F0C" w14:textId="77777777" w:rsidR="00EE6F63" w:rsidRDefault="00EE6F63" w:rsidP="00057F62">
      <w:pPr>
        <w:spacing w:after="0" w:line="240" w:lineRule="auto"/>
      </w:pPr>
      <w:r>
        <w:separator/>
      </w:r>
    </w:p>
  </w:endnote>
  <w:endnote w:type="continuationSeparator" w:id="0">
    <w:p w14:paraId="40A6D044" w14:textId="77777777" w:rsidR="00EE6F63" w:rsidRDefault="00EE6F63" w:rsidP="00057F62">
      <w:pPr>
        <w:spacing w:after="0" w:line="240" w:lineRule="auto"/>
      </w:pPr>
      <w:r>
        <w:continuationSeparator/>
      </w:r>
    </w:p>
  </w:endnote>
  <w:endnote w:type="continuationNotice" w:id="1">
    <w:p w14:paraId="77BF4117" w14:textId="77777777" w:rsidR="00EE6F63" w:rsidRDefault="00EE6F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charset w:val="00"/>
    <w:family w:val="auto"/>
    <w:pitch w:val="variable"/>
    <w:sig w:usb0="00000001" w:usb1="00000001" w:usb2="00000000" w:usb3="00000000" w:csb0="0000019F" w:csb1="00000000"/>
  </w:font>
  <w:font w:name="Neutraface Text Book">
    <w:charset w:val="00"/>
    <w:family w:val="auto"/>
    <w:pitch w:val="variable"/>
    <w:sig w:usb0="800000AF" w:usb1="5000204A" w:usb2="00000000" w:usb3="00000000" w:csb0="0000009B" w:csb1="00000000"/>
  </w:font>
  <w:font w:name="Lato">
    <w:altName w:val="Lat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5120A" w14:textId="77777777" w:rsidR="00EE6F63" w:rsidRPr="00B240C0" w:rsidRDefault="00EE6F63" w:rsidP="004A6379">
    <w:pPr>
      <w:pStyle w:val="Footer"/>
      <w:jc w:val="center"/>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085585"/>
      <w:docPartObj>
        <w:docPartGallery w:val="Page Numbers (Bottom of Page)"/>
        <w:docPartUnique/>
      </w:docPartObj>
    </w:sdtPr>
    <w:sdtEndPr>
      <w:rPr>
        <w:noProof/>
      </w:rPr>
    </w:sdtEndPr>
    <w:sdtContent>
      <w:p w14:paraId="4AEE93E7" w14:textId="77777777" w:rsidR="00EE6F63" w:rsidRDefault="00EE6F63">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3DACE7C0" w14:textId="77777777" w:rsidR="00EE6F63" w:rsidRDefault="00EE6F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CE8C5" w14:textId="77777777" w:rsidR="00EE6F63" w:rsidRDefault="00EE6F63" w:rsidP="00057F62">
      <w:pPr>
        <w:spacing w:after="0" w:line="240" w:lineRule="auto"/>
      </w:pPr>
      <w:r>
        <w:separator/>
      </w:r>
    </w:p>
  </w:footnote>
  <w:footnote w:type="continuationSeparator" w:id="0">
    <w:p w14:paraId="43167D30" w14:textId="77777777" w:rsidR="00EE6F63" w:rsidRDefault="00EE6F63" w:rsidP="00057F62">
      <w:pPr>
        <w:spacing w:after="0" w:line="240" w:lineRule="auto"/>
      </w:pPr>
      <w:r>
        <w:continuationSeparator/>
      </w:r>
    </w:p>
  </w:footnote>
  <w:footnote w:type="continuationNotice" w:id="1">
    <w:p w14:paraId="7465BFCD" w14:textId="77777777" w:rsidR="00EE6F63" w:rsidRDefault="00EE6F63">
      <w:pPr>
        <w:spacing w:after="0" w:line="240" w:lineRule="auto"/>
      </w:pPr>
    </w:p>
  </w:footnote>
  <w:footnote w:id="2">
    <w:p w14:paraId="634D5DDE" w14:textId="5ED9CEB3" w:rsidR="00EE6F63" w:rsidRDefault="00EE6F63">
      <w:pPr>
        <w:pStyle w:val="FootnoteText"/>
      </w:pPr>
      <w:r>
        <w:rPr>
          <w:rStyle w:val="FootnoteReference"/>
        </w:rPr>
        <w:footnoteRef/>
      </w:r>
      <w:r>
        <w:t xml:space="preserve"> </w:t>
      </w:r>
      <w:r w:rsidRPr="000B02D3">
        <w:t xml:space="preserve">Submissions, as well as a summary of the issues raised across all consultations, can be found on the Authority’s website at </w:t>
      </w:r>
      <w:hyperlink r:id="rId1" w:history="1">
        <w:r w:rsidRPr="00A90A91">
          <w:rPr>
            <w:rStyle w:val="Hyperlink"/>
          </w:rPr>
          <w:t>http://www.climatechangeauthority.gov.au/summary-submissions-review-national-greenhouse-and-energy-reporting-legislation</w:t>
        </w:r>
      </w:hyperlink>
      <w:r>
        <w:t>.</w:t>
      </w:r>
    </w:p>
  </w:footnote>
  <w:footnote w:id="3">
    <w:p w14:paraId="2A16F87F" w14:textId="77777777" w:rsidR="00EE6F63" w:rsidRDefault="00EE6F63" w:rsidP="00565BF2">
      <w:pPr>
        <w:pStyle w:val="FootnoteText"/>
      </w:pPr>
      <w:r>
        <w:rPr>
          <w:rStyle w:val="FootnoteReference"/>
        </w:rPr>
        <w:footnoteRef/>
      </w:r>
      <w:r>
        <w:t xml:space="preserve"> There were 836 reporters in 2016–17; however, 88 of those were below reporting thresholds and thus their data is not included in the dataset on emissions and energy.</w:t>
      </w:r>
    </w:p>
  </w:footnote>
  <w:footnote w:id="4">
    <w:p w14:paraId="4E47FAB9" w14:textId="77777777" w:rsidR="00EE6F63" w:rsidRDefault="00EE6F63">
      <w:pPr>
        <w:pStyle w:val="FootnoteText"/>
      </w:pPr>
      <w:r>
        <w:rPr>
          <w:rStyle w:val="FootnoteReference"/>
        </w:rPr>
        <w:footnoteRef/>
      </w:r>
      <w:r>
        <w:t xml:space="preserve"> Low coverage of emissions from waste and transport </w:t>
      </w:r>
      <w:r w:rsidRPr="005A5EF0">
        <w:t>is mostly due to the need for reporters to be constitutional corporations. Many sources of waste emissions (landfills) are owned by local councils that do not meet the definition of a constitutional corporation. Other waste emissions that are not covered include those from landfills that are below the reporting threshold. In the transport sector, many of the emissions arise from light vehicles owned by individuals who do not need to report</w:t>
      </w:r>
      <w:r>
        <w:t>.</w:t>
      </w:r>
    </w:p>
  </w:footnote>
  <w:footnote w:id="5">
    <w:p w14:paraId="3A6A7C33" w14:textId="71E6674C" w:rsidR="00EE6F63" w:rsidRDefault="00EE6F63">
      <w:pPr>
        <w:pStyle w:val="FootnoteText"/>
      </w:pPr>
      <w:r>
        <w:rPr>
          <w:rStyle w:val="FootnoteReference"/>
        </w:rPr>
        <w:footnoteRef/>
      </w:r>
      <w:r>
        <w:t xml:space="preserve"> Net energy consumption is the total energy consumed at a facility minus the energy content of secondary fuels and energy commodities produced. Secondary fuels and energy commodities produced is defined as energy made from other energy sources (for example electricity).</w:t>
      </w:r>
    </w:p>
  </w:footnote>
  <w:footnote w:id="6">
    <w:p w14:paraId="222B8712" w14:textId="77777777" w:rsidR="00EE6F63" w:rsidRDefault="00EE6F63" w:rsidP="00E00CAC">
      <w:pPr>
        <w:pStyle w:val="FootnoteText"/>
      </w:pPr>
      <w:r>
        <w:rPr>
          <w:rStyle w:val="FootnoteReference"/>
        </w:rPr>
        <w:footnoteRef/>
      </w:r>
      <w:r>
        <w:t xml:space="preserve"> </w:t>
      </w:r>
      <w:r w:rsidRPr="00E00CAC">
        <w:t>The thresholds for reporting transfer certificate holders are emissions equal to or greater than 25</w:t>
      </w:r>
      <w:r>
        <w:t>,000</w:t>
      </w:r>
      <w:r w:rsidRPr="00E00CAC">
        <w:t xml:space="preserve"> t CO</w:t>
      </w:r>
      <w:r w:rsidRPr="0021290D">
        <w:rPr>
          <w:vertAlign w:val="subscript"/>
        </w:rPr>
        <w:t>2</w:t>
      </w:r>
      <w:r w:rsidRPr="00E00CAC">
        <w:t>-e or production or consumption of energy of 100 terajoules or more per year</w:t>
      </w:r>
      <w:r>
        <w:t>. Reporting transfer certificate holders are companies that have taken on reporting obligations from the controlling corporation.</w:t>
      </w:r>
    </w:p>
  </w:footnote>
  <w:footnote w:id="7">
    <w:p w14:paraId="7AE98F82" w14:textId="34678C39" w:rsidR="00EE6F63" w:rsidRDefault="00EE6F63">
      <w:pPr>
        <w:pStyle w:val="FootnoteText"/>
      </w:pPr>
      <w:r>
        <w:rPr>
          <w:rStyle w:val="FootnoteReference"/>
        </w:rPr>
        <w:footnoteRef/>
      </w:r>
      <w:r>
        <w:t xml:space="preserve"> There are 284 electricity generators in the sectoral baseline which includes generators with scope 1 emissions of 0, such as renewable generators. Fifty-eight of the 284 grid-connected electricity generators had emissions above 100,000 t CO</w:t>
      </w:r>
      <w:r w:rsidRPr="00D10EF0">
        <w:rPr>
          <w:vertAlign w:val="subscript"/>
        </w:rPr>
        <w:t>2</w:t>
      </w:r>
      <w:r>
        <w:t>-e in    2016–17.</w:t>
      </w:r>
    </w:p>
  </w:footnote>
  <w:footnote w:id="8">
    <w:p w14:paraId="6D33637D" w14:textId="77777777" w:rsidR="00EE6F63" w:rsidRDefault="00EE6F63" w:rsidP="00565BF2">
      <w:pPr>
        <w:pStyle w:val="FootnoteText"/>
      </w:pPr>
      <w:r w:rsidRPr="00F95EA6">
        <w:rPr>
          <w:rStyle w:val="FootnoteReference"/>
        </w:rPr>
        <w:footnoteRef/>
      </w:r>
      <w:r>
        <w:t xml:space="preserve"> A large facility is defined as a facility, which is not a grid-connected electricity generator, whose annual direct emissions are expected to exceed 2 Mt CO</w:t>
      </w:r>
      <w:r w:rsidRPr="00AD052F">
        <w:rPr>
          <w:vertAlign w:val="subscript"/>
        </w:rPr>
        <w:t>2</w:t>
      </w:r>
      <w:r>
        <w:t>-e within five years after the baseline starts.</w:t>
      </w:r>
    </w:p>
  </w:footnote>
  <w:footnote w:id="9">
    <w:p w14:paraId="677C9696" w14:textId="77777777" w:rsidR="00EE6F63" w:rsidRDefault="00EE6F63" w:rsidP="00074EE4">
      <w:pPr>
        <w:pStyle w:val="FootnoteText"/>
      </w:pPr>
      <w:r>
        <w:rPr>
          <w:rStyle w:val="FootnoteReference"/>
        </w:rPr>
        <w:footnoteRef/>
      </w:r>
      <w:r>
        <w:t xml:space="preserve"> Calculated baselines that commence from 1 July 2020 will need to use the Government-determined production variables and associated default emissions intensities. </w:t>
      </w:r>
    </w:p>
  </w:footnote>
  <w:footnote w:id="10">
    <w:p w14:paraId="31A9F327" w14:textId="77777777" w:rsidR="00EE6F63" w:rsidRDefault="00EE6F63" w:rsidP="00074EE4">
      <w:pPr>
        <w:pStyle w:val="FootnoteText"/>
      </w:pPr>
      <w:r>
        <w:rPr>
          <w:rStyle w:val="FootnoteReference"/>
        </w:rPr>
        <w:footnoteRef/>
      </w:r>
      <w:r>
        <w:t xml:space="preserve"> Grid-connected electricity generators are exempt from the requirement to move onto a calculated baseline until the sectoral baseline is exceeded.</w:t>
      </w:r>
    </w:p>
  </w:footnote>
  <w:footnote w:id="11">
    <w:p w14:paraId="5FE1DFE8" w14:textId="77777777" w:rsidR="00EE6F63" w:rsidRDefault="00EE6F63" w:rsidP="00565BF2">
      <w:pPr>
        <w:pStyle w:val="FootnoteText"/>
      </w:pPr>
      <w:r>
        <w:rPr>
          <w:rStyle w:val="FootnoteReference"/>
        </w:rPr>
        <w:footnoteRef/>
      </w:r>
      <w:r>
        <w:t xml:space="preserve"> Facilities in the mining and oil and gas sector with variable emissions can apply for calculated baselines twice until 2025. </w:t>
      </w:r>
    </w:p>
  </w:footnote>
  <w:footnote w:id="12">
    <w:p w14:paraId="77579EB8" w14:textId="77777777" w:rsidR="00EE6F63" w:rsidRDefault="00EE6F63">
      <w:pPr>
        <w:pStyle w:val="FootnoteText"/>
      </w:pPr>
      <w:r>
        <w:rPr>
          <w:rStyle w:val="FootnoteReference"/>
        </w:rPr>
        <w:footnoteRef/>
      </w:r>
      <w:r>
        <w:t xml:space="preserve"> If they use the Government-determined annually adjusted production variables.</w:t>
      </w:r>
    </w:p>
  </w:footnote>
  <w:footnote w:id="13">
    <w:p w14:paraId="7770F812" w14:textId="77777777" w:rsidR="00EE6F63" w:rsidRDefault="00EE6F63" w:rsidP="00074EE4">
      <w:pPr>
        <w:pStyle w:val="FootnoteText"/>
      </w:pPr>
      <w:r>
        <w:rPr>
          <w:rStyle w:val="FootnoteReference"/>
        </w:rPr>
        <w:footnoteRef/>
      </w:r>
      <w:r>
        <w:t xml:space="preserve"> Calculated baselines that commence from 1 July 2020 will need to use the Government-determined production variables and associated default emissions intensities and will no longer be able to use site-specific values (with the exception of facilities in the mining and oil and gas sectors with variable emissions).</w:t>
      </w:r>
    </w:p>
  </w:footnote>
  <w:footnote w:id="14">
    <w:p w14:paraId="43E9B4DD" w14:textId="77777777" w:rsidR="00EE6F63" w:rsidRDefault="00EE6F63" w:rsidP="009B51E8">
      <w:pPr>
        <w:pStyle w:val="FootnoteText"/>
      </w:pPr>
      <w:r>
        <w:rPr>
          <w:rStyle w:val="FootnoteReference"/>
        </w:rPr>
        <w:footnoteRef/>
      </w:r>
      <w:r>
        <w:t xml:space="preserve"> Statistics provided to these fora are used to inform policies and analysis by </w:t>
      </w:r>
      <w:r w:rsidRPr="00E21592">
        <w:t>the Clean Energy Ministerial, the International Partnership for Energy Efficiency Cooperation and the G20 Sustainability Working Group</w:t>
      </w:r>
      <w:r>
        <w:t>.</w:t>
      </w:r>
    </w:p>
  </w:footnote>
  <w:footnote w:id="15">
    <w:p w14:paraId="77CC5288" w14:textId="77777777" w:rsidR="00EE6F63" w:rsidRDefault="00EE6F63">
      <w:pPr>
        <w:pStyle w:val="FootnoteText"/>
      </w:pPr>
      <w:r>
        <w:rPr>
          <w:rStyle w:val="FootnoteReference"/>
        </w:rPr>
        <w:footnoteRef/>
      </w:r>
      <w:r>
        <w:t xml:space="preserve"> This includes both grid-connected and non-grid generators where the </w:t>
      </w:r>
      <w:r w:rsidRPr="0069520D">
        <w:t>princip</w:t>
      </w:r>
      <w:r>
        <w:t>al</w:t>
      </w:r>
      <w:r w:rsidRPr="0069520D">
        <w:t xml:space="preserve"> activity is electricity production. Facilities that generate electricity for their own use or as a secondary activity are not included in this </w:t>
      </w:r>
      <w:r>
        <w:t>dataset.</w:t>
      </w:r>
    </w:p>
  </w:footnote>
  <w:footnote w:id="16">
    <w:p w14:paraId="748719D9" w14:textId="77777777" w:rsidR="00EE6F63" w:rsidRDefault="00EE6F63" w:rsidP="00F97127">
      <w:pPr>
        <w:pStyle w:val="FootnoteText"/>
      </w:pPr>
      <w:r>
        <w:rPr>
          <w:rStyle w:val="FootnoteReference"/>
        </w:rPr>
        <w:footnoteRef/>
      </w:r>
      <w:r>
        <w:t xml:space="preserve"> Scope 3 emissions </w:t>
      </w:r>
      <w:r w:rsidRPr="00F626EE">
        <w:t>are indirect emissions (not included in scope 2) that occur in the value chain of the report</w:t>
      </w:r>
      <w:r>
        <w:t>er</w:t>
      </w:r>
      <w:r w:rsidRPr="00F626EE">
        <w:t>, including both upstream and downstream emissions</w:t>
      </w:r>
      <w:r>
        <w:t>.</w:t>
      </w:r>
    </w:p>
  </w:footnote>
  <w:footnote w:id="17">
    <w:p w14:paraId="7DF79024" w14:textId="77777777" w:rsidR="00EE6F63" w:rsidRDefault="00EE6F63" w:rsidP="00565BF2">
      <w:pPr>
        <w:pStyle w:val="FootnoteText"/>
      </w:pPr>
      <w:r>
        <w:rPr>
          <w:rStyle w:val="FootnoteReference"/>
        </w:rPr>
        <w:footnoteRef/>
      </w:r>
      <w:r>
        <w:t xml:space="preserve"> </w:t>
      </w:r>
      <w:r w:rsidRPr="00852E76">
        <w:t>The maximum penalty for unlawful disclosure of greenhouse and energy information or audit information is set at imprisonment for 2 years or a fine of $25,200.</w:t>
      </w:r>
    </w:p>
  </w:footnote>
  <w:footnote w:id="18">
    <w:p w14:paraId="1D61AE17" w14:textId="7727886C" w:rsidR="00EE6F63" w:rsidRDefault="00EE6F63">
      <w:pPr>
        <w:pStyle w:val="FootnoteText"/>
      </w:pPr>
      <w:r>
        <w:rPr>
          <w:rStyle w:val="FootnoteReference"/>
        </w:rPr>
        <w:footnoteRef/>
      </w:r>
      <w:r>
        <w:t xml:space="preserve"> The updated measurement determination applies from the beginning of the reporting year (1 July) for emissions reported by 31 October the following year (i.e. 15 months after the start date for the determination). The compiled determination, which is a consolidated version of the already registered updates made to the determination, is often registered in early July. The timing for compilation and registration is affected by Office of Parliamentary Counsel resourcing and prioritisation constraints.</w:t>
      </w:r>
    </w:p>
  </w:footnote>
  <w:footnote w:id="19">
    <w:p w14:paraId="47606951" w14:textId="77777777" w:rsidR="00EE6F63" w:rsidRDefault="00EE6F63" w:rsidP="00F97127">
      <w:pPr>
        <w:pStyle w:val="FootnoteText"/>
      </w:pPr>
      <w:r>
        <w:rPr>
          <w:rStyle w:val="FootnoteReference"/>
        </w:rPr>
        <w:footnoteRef/>
      </w:r>
      <w:r>
        <w:t xml:space="preserve"> Forty reporters is 5 per cent of all reporters, and total emissions reported using the small facilities provision is less than 0.02 per cent of all reported emissions.</w:t>
      </w:r>
    </w:p>
  </w:footnote>
  <w:footnote w:id="20">
    <w:p w14:paraId="58B534C5" w14:textId="77777777" w:rsidR="00EE6F63" w:rsidRDefault="00EE6F63" w:rsidP="00F97127">
      <w:pPr>
        <w:pStyle w:val="FootnoteText"/>
      </w:pPr>
      <w:r>
        <w:rPr>
          <w:rStyle w:val="FootnoteReference"/>
        </w:rPr>
        <w:footnoteRef/>
      </w:r>
      <w:r>
        <w:t xml:space="preserve"> Incidental emissions and energy are defined in terms of a maximum amount of emissions or energy production or use, specified for a single source and all incidental sources combined. These are set out in Section 4.27 of the </w:t>
      </w:r>
      <w:r w:rsidRPr="00945AD7">
        <w:rPr>
          <w:i/>
        </w:rPr>
        <w:t>National Greenhouse and Energy Reporting Regulations 2008</w:t>
      </w:r>
      <w:r>
        <w:rPr>
          <w:i/>
        </w:rPr>
        <w:t xml:space="preserve"> </w:t>
      </w:r>
      <w:r w:rsidRPr="006E75C1">
        <w:t>(Cth)</w:t>
      </w:r>
      <w:r>
        <w:t>.</w:t>
      </w:r>
    </w:p>
  </w:footnote>
  <w:footnote w:id="21">
    <w:p w14:paraId="3AB65C6F" w14:textId="77777777" w:rsidR="00EE6F63" w:rsidRDefault="00EE6F63" w:rsidP="00F97127">
      <w:pPr>
        <w:pStyle w:val="FootnoteText"/>
      </w:pPr>
      <w:r>
        <w:rPr>
          <w:rStyle w:val="FootnoteReference"/>
        </w:rPr>
        <w:footnoteRef/>
      </w:r>
      <w:r>
        <w:t xml:space="preserve"> One hundred and fifty-seven reporters is 21 per cent of all reporters, and total emissions reported using the incidental emissions provision is less than 0.05 per cent of all reported emissions.</w:t>
      </w:r>
    </w:p>
  </w:footnote>
  <w:footnote w:id="22">
    <w:p w14:paraId="0104D343" w14:textId="77777777" w:rsidR="00EE6F63" w:rsidRDefault="00EE6F63" w:rsidP="000649B0">
      <w:pPr>
        <w:pStyle w:val="FootnoteText"/>
      </w:pPr>
      <w:r>
        <w:rPr>
          <w:rStyle w:val="FootnoteReference"/>
        </w:rPr>
        <w:footnoteRef/>
      </w:r>
      <w:r>
        <w:t xml:space="preserve"> In its submission, the Australian Sugar Milling Council supported an alternative approach to determining reporting obligations by focusing on the highest energy-consuming and producing and carbon-emitting industry sectors, and excluding the sugar milling sector.</w:t>
      </w:r>
    </w:p>
  </w:footnote>
  <w:footnote w:id="23">
    <w:p w14:paraId="31296903" w14:textId="77777777" w:rsidR="00EE6F63" w:rsidRDefault="00EE6F63" w:rsidP="00FA578E">
      <w:pPr>
        <w:pStyle w:val="FootnoteText"/>
      </w:pPr>
      <w:r>
        <w:rPr>
          <w:rStyle w:val="FootnoteReference"/>
        </w:rPr>
        <w:footnoteRef/>
      </w:r>
      <w:r>
        <w:t xml:space="preserve"> The key inputs into the original analysis were the distribution of emissions across sources and the number of businesses in each sector of the economy. The scheme currently covers 70 per cent of emissions, excluding agriculture and land use emissions, very similar to the estimate of 71 per cent in the original analysis. Note that coverage is 63 per cent of </w:t>
      </w:r>
      <w:r w:rsidRPr="00B60F06">
        <w:rPr>
          <w:i/>
        </w:rPr>
        <w:t>total</w:t>
      </w:r>
      <w:r>
        <w:t xml:space="preserve"> Australian emissions </w:t>
      </w:r>
      <w:r w:rsidRPr="00FA578E">
        <w:rPr>
          <w:i/>
        </w:rPr>
        <w:t>including</w:t>
      </w:r>
      <w:r>
        <w:t xml:space="preserve"> emissions from agriculture and land use.</w:t>
      </w:r>
    </w:p>
  </w:footnote>
  <w:footnote w:id="24">
    <w:p w14:paraId="1CAE705C" w14:textId="77777777" w:rsidR="00EE6F63" w:rsidRDefault="00EE6F63" w:rsidP="0008217B">
      <w:pPr>
        <w:pStyle w:val="FootnoteText"/>
      </w:pPr>
      <w:r>
        <w:rPr>
          <w:rStyle w:val="FootnoteReference"/>
        </w:rPr>
        <w:footnoteRef/>
      </w:r>
      <w:r>
        <w:t xml:space="preserve"> Agricultural businesses are not currently excluded from the scheme if their energy use, or emissions from energy and waste, meet the current thresholds. There are currently around 23 reporters under the scheme that report on their energy use, and energy and waste emissions from agricultural activities. There are no methods for reporting of emissions from agricultural sources in the measurement determination.</w:t>
      </w:r>
    </w:p>
  </w:footnote>
  <w:footnote w:id="25">
    <w:p w14:paraId="6B193759" w14:textId="77777777" w:rsidR="00EE6F63" w:rsidRDefault="00EE6F63">
      <w:pPr>
        <w:pStyle w:val="FootnoteText"/>
      </w:pPr>
      <w:r>
        <w:rPr>
          <w:rStyle w:val="FootnoteReference"/>
        </w:rPr>
        <w:footnoteRef/>
      </w:r>
      <w:r>
        <w:t xml:space="preserve"> Other schemes include emissions from energy and industrial processes by agricultural companies (for example Canada).</w:t>
      </w:r>
    </w:p>
  </w:footnote>
  <w:footnote w:id="26">
    <w:p w14:paraId="416D4330" w14:textId="4A016A5F" w:rsidR="00EE6F63" w:rsidRDefault="00EE6F63" w:rsidP="00652A1E">
      <w:pPr>
        <w:pStyle w:val="FootnoteText"/>
      </w:pPr>
      <w:r>
        <w:rPr>
          <w:rStyle w:val="FootnoteReference"/>
        </w:rPr>
        <w:footnoteRef/>
      </w:r>
      <w:r>
        <w:t xml:space="preserve"> C</w:t>
      </w:r>
      <w:r w:rsidRPr="00985B92">
        <w:t>arbon monoxide (CO), oxides of nitrogen (NO</w:t>
      </w:r>
      <w:r>
        <w:t>x</w:t>
      </w:r>
      <w:r w:rsidRPr="00985B92">
        <w:t>), and non-methane volatile organic compounds (NMVOCs)</w:t>
      </w:r>
      <w:r>
        <w:t xml:space="preserve"> are </w:t>
      </w:r>
      <w:r w:rsidRPr="00985B92">
        <w:t>indirect greenhouse gases</w:t>
      </w:r>
      <w:r>
        <w:t xml:space="preserve">. </w:t>
      </w:r>
      <w:r w:rsidRPr="00985B92">
        <w:t>Sulphur dioxide (SO</w:t>
      </w:r>
      <w:r w:rsidRPr="00F23B72">
        <w:rPr>
          <w:vertAlign w:val="subscript"/>
        </w:rPr>
        <w:t>2</w:t>
      </w:r>
      <w:r w:rsidRPr="00985B92">
        <w:t>)</w:t>
      </w:r>
      <w:r>
        <w:t xml:space="preserve"> is an </w:t>
      </w:r>
      <w:r w:rsidRPr="00985B92">
        <w:t>aerosol precursor</w:t>
      </w:r>
      <w:r>
        <w:t xml:space="preserve"> and also </w:t>
      </w:r>
      <w:r w:rsidRPr="00985B92">
        <w:t>influence</w:t>
      </w:r>
      <w:r>
        <w:t>s</w:t>
      </w:r>
      <w:r w:rsidRPr="00985B92">
        <w:t xml:space="preserve"> global warming.</w:t>
      </w:r>
      <w:r>
        <w:t xml:space="preserve"> Information on these gases and aerosols are included in the national inventory as supporting information and not included in total greenhouse gas emissions figures. This is because there are no internationally agreed global warming potentials assigned to these gases (UNFCCC 2011, Decision 4/CMP.7 and IPCC 2007).</w:t>
      </w:r>
    </w:p>
  </w:footnote>
  <w:footnote w:id="27">
    <w:p w14:paraId="17B74F3F" w14:textId="77777777" w:rsidR="00EE6F63" w:rsidRDefault="00EE6F63" w:rsidP="009E592F">
      <w:pPr>
        <w:pStyle w:val="FootnoteText"/>
      </w:pPr>
      <w:r>
        <w:rPr>
          <w:rStyle w:val="FootnoteReference"/>
        </w:rPr>
        <w:footnoteRef/>
      </w:r>
      <w:r>
        <w:t xml:space="preserve"> </w:t>
      </w:r>
      <w:r w:rsidRPr="00814C60">
        <w:t>Black carbon is an airborne particle that is emitted when carbon-based fuels are not fully combusted. This includes fossil fuels as well as biofuels. It is a short</w:t>
      </w:r>
      <w:r>
        <w:t>-</w:t>
      </w:r>
      <w:r w:rsidRPr="00814C60">
        <w:t>lived greenhouse gas (</w:t>
      </w:r>
      <w:r w:rsidRPr="00E32F9B">
        <w:t>IPCC TFI WGI 2018</w:t>
      </w:r>
      <w:r w:rsidRPr="00814C60">
        <w:t>).</w:t>
      </w:r>
    </w:p>
  </w:footnote>
  <w:footnote w:id="28">
    <w:p w14:paraId="6E67F050" w14:textId="77777777" w:rsidR="00EE6F63" w:rsidRDefault="00EE6F63" w:rsidP="00652A1E">
      <w:pPr>
        <w:pStyle w:val="FootnoteText"/>
      </w:pPr>
      <w:r>
        <w:rPr>
          <w:rStyle w:val="FootnoteReference"/>
        </w:rPr>
        <w:footnoteRef/>
      </w:r>
      <w:r>
        <w:t xml:space="preserve"> Offset scope 2 emissions are total scope 2 emissions minus any renewable energy certificates that are surrendered.</w:t>
      </w:r>
    </w:p>
  </w:footnote>
  <w:footnote w:id="29">
    <w:p w14:paraId="247B1165" w14:textId="77777777" w:rsidR="00EE6F63" w:rsidRDefault="00EE6F63" w:rsidP="00555413">
      <w:pPr>
        <w:pStyle w:val="FootnoteText"/>
      </w:pPr>
      <w:r>
        <w:rPr>
          <w:rStyle w:val="FootnoteReference"/>
        </w:rPr>
        <w:footnoteRef/>
      </w:r>
      <w:r>
        <w:t xml:space="preserve"> The </w:t>
      </w:r>
      <w:r w:rsidRPr="0061528E">
        <w:rPr>
          <w:i/>
        </w:rPr>
        <w:t>Clean Energy (Consequential Amendments) Regulation</w:t>
      </w:r>
      <w:r>
        <w:t xml:space="preserve"> </w:t>
      </w:r>
      <w:r w:rsidRPr="0061528E">
        <w:rPr>
          <w:i/>
        </w:rPr>
        <w:t>2012</w:t>
      </w:r>
      <w:r>
        <w:rPr>
          <w:i/>
        </w:rPr>
        <w:t xml:space="preserve"> </w:t>
      </w:r>
      <w:r w:rsidRPr="006E75C1">
        <w:t>(Cth)</w:t>
      </w:r>
      <w:r w:rsidRPr="000725F6">
        <w:t xml:space="preserve"> </w:t>
      </w:r>
      <w:r>
        <w:t>was implemented as part of a bill to transition functions from other bodies such as the Greenhouse and Energy Data Officer to the Clean Energy Regulator.</w:t>
      </w:r>
    </w:p>
  </w:footnote>
  <w:footnote w:id="30">
    <w:p w14:paraId="20570B90" w14:textId="02510322" w:rsidR="00EE6F63" w:rsidRDefault="00EE6F63">
      <w:pPr>
        <w:pStyle w:val="FootnoteText"/>
      </w:pPr>
      <w:r>
        <w:rPr>
          <w:rStyle w:val="FootnoteReference"/>
        </w:rPr>
        <w:footnoteRef/>
      </w:r>
      <w:r>
        <w:t xml:space="preserve"> The Registry holds units issued under the Kyoto Protocol (such as </w:t>
      </w:r>
      <w:r w:rsidRPr="004904BF">
        <w:t>assigned amount unit</w:t>
      </w:r>
      <w:r>
        <w:t xml:space="preserve">s and </w:t>
      </w:r>
      <w:r w:rsidRPr="004904BF">
        <w:t>certified emission reduction units</w:t>
      </w:r>
      <w:r>
        <w:t>) and Australian Carbon Credit Units (CER 2016d)).</w:t>
      </w:r>
    </w:p>
  </w:footnote>
  <w:footnote w:id="31">
    <w:p w14:paraId="46634BCF" w14:textId="77777777" w:rsidR="00EE6F63" w:rsidRDefault="00EE6F63">
      <w:pPr>
        <w:pStyle w:val="FootnoteText"/>
      </w:pPr>
      <w:r>
        <w:rPr>
          <w:rStyle w:val="FootnoteReference"/>
        </w:rPr>
        <w:footnoteRef/>
      </w:r>
      <w:r>
        <w:t xml:space="preserve"> It was noted that </w:t>
      </w:r>
      <w:r w:rsidRPr="00146929">
        <w:t>it is difficult to evaluate the effectiveness of the mechanism after such a short period of operation</w:t>
      </w:r>
      <w:r>
        <w:t>.</w:t>
      </w:r>
    </w:p>
  </w:footnote>
  <w:footnote w:id="32">
    <w:p w14:paraId="6A601C63" w14:textId="77777777" w:rsidR="00EE6F63" w:rsidRDefault="00EE6F63" w:rsidP="006D43EA">
      <w:pPr>
        <w:pStyle w:val="FootnoteText"/>
      </w:pPr>
      <w:r>
        <w:rPr>
          <w:rStyle w:val="FootnoteReference"/>
        </w:rPr>
        <w:footnoteRef/>
      </w:r>
      <w:r>
        <w:t xml:space="preserve"> The Regulator may amend baselines to account for updates to global warming potentials specified in the </w:t>
      </w:r>
      <w:r w:rsidRPr="001242FD">
        <w:rPr>
          <w:i/>
        </w:rPr>
        <w:t>National Greenhouse and Energy Reporting Regulations 2008</w:t>
      </w:r>
      <w:r>
        <w:t xml:space="preserve"> (Cth) (Section 56 of the Safeguard Rule). Global warming potentials convert different greenhouse gas emissions into a single carbon dioxide-equivalent (CO</w:t>
      </w:r>
      <w:r w:rsidRPr="006E75C1">
        <w:rPr>
          <w:vertAlign w:val="subscript"/>
        </w:rPr>
        <w:t>2</w:t>
      </w:r>
      <w:r>
        <w:t>-e) metric that would produce the same warming effect as carbon dioxide over a 100 year period. Global warming potentials may be updated from time to time as the science improves, based on the findings of the Intergovernmental Panel on Climate Change.</w:t>
      </w:r>
    </w:p>
  </w:footnote>
  <w:footnote w:id="33">
    <w:p w14:paraId="042DFA27" w14:textId="77777777" w:rsidR="00EE6F63" w:rsidRDefault="00EE6F63" w:rsidP="00363A50">
      <w:pPr>
        <w:pStyle w:val="FootnoteText"/>
      </w:pPr>
      <w:r>
        <w:rPr>
          <w:rStyle w:val="FootnoteReference"/>
        </w:rPr>
        <w:footnoteRef/>
      </w:r>
      <w:r>
        <w:t xml:space="preserve"> This indicates around 8 per cent of reports submitted under the reporting scheme included a voluntary audit. Other reporters may have completed voluntary audits but did not provide the reports to the Regulator.</w:t>
      </w:r>
    </w:p>
  </w:footnote>
  <w:footnote w:id="34">
    <w:p w14:paraId="72E26B21" w14:textId="24D71AD7" w:rsidR="00EE6F63" w:rsidRDefault="00EE6F63" w:rsidP="00EA2686">
      <w:pPr>
        <w:pStyle w:val="FootnoteText"/>
      </w:pPr>
      <w:r>
        <w:rPr>
          <w:rStyle w:val="FootnoteReference"/>
        </w:rPr>
        <w:footnoteRef/>
      </w:r>
      <w:r>
        <w:t xml:space="preserve"> These projections are indicative estimates and are revised over time. </w:t>
      </w:r>
      <w:r w:rsidRPr="0058519F">
        <w:t>The Department’s business-as-usual projections include current policies and measures including the Emissions Reduction Fund, the large-scale Renewable Energy Target, National Energy Productivity Plan and legislated phase-down of hydrofluorocarbons. In its Intended Nationally Determined Contribution submission to the UNFCCC in 2015, Australia indicated it would translate the 2030 economy-wide target into an emissions budget covering the period 2021-2030. The Department’s business-as-usual emissions projections (Commonwealth of Australia 201</w:t>
      </w:r>
      <w:r>
        <w:t>8e</w:t>
      </w:r>
      <w:r w:rsidRPr="0058519F">
        <w:t>) indicate that Australia’s cumulative emissions over the 2021-2030 period will be 5</w:t>
      </w:r>
      <w:r>
        <w:t>487</w:t>
      </w:r>
      <w:r w:rsidRPr="0058519F">
        <w:t xml:space="preserve"> Mt CO</w:t>
      </w:r>
      <w:r w:rsidRPr="0058519F">
        <w:rPr>
          <w:vertAlign w:val="subscript"/>
        </w:rPr>
        <w:t>2</w:t>
      </w:r>
      <w:r w:rsidRPr="0058519F">
        <w:t>-e relative to the estimated emissions budget of 4</w:t>
      </w:r>
      <w:r>
        <w:t>733-</w:t>
      </w:r>
      <w:r w:rsidRPr="0058519F">
        <w:t>4</w:t>
      </w:r>
      <w:r>
        <w:t>800</w:t>
      </w:r>
      <w:r w:rsidRPr="0058519F">
        <w:t xml:space="preserve"> Mt CO</w:t>
      </w:r>
      <w:r w:rsidRPr="0058519F">
        <w:rPr>
          <w:vertAlign w:val="subscript"/>
        </w:rPr>
        <w:t>2</w:t>
      </w:r>
      <w:r w:rsidRPr="0058519F">
        <w:t>-e.</w:t>
      </w:r>
    </w:p>
  </w:footnote>
  <w:footnote w:id="35">
    <w:p w14:paraId="7334BD55" w14:textId="741C34F4" w:rsidR="00EE6F63" w:rsidRDefault="00EE6F63" w:rsidP="004F4F1B">
      <w:pPr>
        <w:pStyle w:val="FootnoteText"/>
      </w:pPr>
      <w:r>
        <w:rPr>
          <w:rStyle w:val="FootnoteReference"/>
        </w:rPr>
        <w:footnoteRef/>
      </w:r>
      <w:r>
        <w:t xml:space="preserve"> Industrial and transport safeguard facilities accounted for almost half the emissions in the industrial sector in 2016–17 (Commonwealth of Australia 2018d, CER 2018j).</w:t>
      </w:r>
    </w:p>
  </w:footnote>
  <w:footnote w:id="36">
    <w:p w14:paraId="3F1E6551" w14:textId="77777777" w:rsidR="00EE6F63" w:rsidRDefault="00EE6F63" w:rsidP="00172423">
      <w:pPr>
        <w:pStyle w:val="FootnoteText"/>
      </w:pPr>
      <w:r>
        <w:rPr>
          <w:rStyle w:val="FootnoteReference"/>
        </w:rPr>
        <w:footnoteRef/>
      </w:r>
      <w:r>
        <w:t xml:space="preserve"> This figure is for 2016 and based on the now outdated threshold of </w:t>
      </w:r>
      <w:r w:rsidRPr="002D33F4">
        <w:t>50 kt CO</w:t>
      </w:r>
      <w:r w:rsidRPr="00AF2E0A">
        <w:rPr>
          <w:vertAlign w:val="subscript"/>
        </w:rPr>
        <w:t>2</w:t>
      </w:r>
      <w:r w:rsidRPr="002D33F4">
        <w:t>-e per year</w:t>
      </w:r>
      <w:r>
        <w:t xml:space="preserve">. The percent of national emissions covered is expected to increase with the lowered facility threshold of 10 </w:t>
      </w:r>
      <w:r w:rsidRPr="002D33F4">
        <w:t>kt CO</w:t>
      </w:r>
      <w:r w:rsidRPr="00AF2E0A">
        <w:rPr>
          <w:vertAlign w:val="subscript"/>
        </w:rPr>
        <w:t>2</w:t>
      </w:r>
      <w:r w:rsidRPr="002D33F4">
        <w:t>-e per year</w:t>
      </w:r>
      <w:r>
        <w:t xml:space="preserve"> starting with the 2017 data reported by companies in 2018.</w:t>
      </w:r>
    </w:p>
  </w:footnote>
  <w:footnote w:id="37">
    <w:p w14:paraId="0C21BB88" w14:textId="77777777" w:rsidR="00EE6F63" w:rsidRDefault="00EE6F63" w:rsidP="00172423">
      <w:pPr>
        <w:pStyle w:val="FootnoteText"/>
      </w:pPr>
      <w:r>
        <w:rPr>
          <w:rStyle w:val="FootnoteReference"/>
        </w:rPr>
        <w:footnoteRef/>
      </w:r>
      <w:r>
        <w:t xml:space="preserve"> EU and Iceland, Liechtenstein, Norway</w:t>
      </w:r>
    </w:p>
  </w:footnote>
  <w:footnote w:id="38">
    <w:p w14:paraId="0524017D" w14:textId="77777777" w:rsidR="00EE6F63" w:rsidRDefault="00EE6F63" w:rsidP="00172423">
      <w:pPr>
        <w:pStyle w:val="FootnoteText"/>
      </w:pPr>
      <w:r>
        <w:rPr>
          <w:rStyle w:val="FootnoteReference"/>
        </w:rPr>
        <w:footnoteRef/>
      </w:r>
      <w:r>
        <w:t xml:space="preserve"> Hospitals and facilities below this threshold can be</w:t>
      </w:r>
      <w:r w:rsidRPr="00857741">
        <w:t xml:space="preserve"> excluded where equivalent measures for emissions reduction are in place</w:t>
      </w:r>
      <w:r>
        <w:t xml:space="preserve"> (European Commission n.d).</w:t>
      </w:r>
    </w:p>
  </w:footnote>
  <w:footnote w:id="39">
    <w:p w14:paraId="5159CAE9" w14:textId="77777777" w:rsidR="00EE6F63" w:rsidRDefault="00EE6F63" w:rsidP="00172423">
      <w:pPr>
        <w:pStyle w:val="FootnoteText"/>
      </w:pPr>
      <w:r>
        <w:rPr>
          <w:rStyle w:val="FootnoteReference"/>
        </w:rPr>
        <w:footnoteRef/>
      </w:r>
      <w:r>
        <w:t xml:space="preserve"> This figure is direct emissions only, based on a 2012 assessment (World Resources Institute 2013). </w:t>
      </w:r>
    </w:p>
  </w:footnote>
  <w:footnote w:id="40">
    <w:p w14:paraId="7CCA36D1" w14:textId="77777777" w:rsidR="00EE6F63" w:rsidRDefault="00EE6F63" w:rsidP="00172423">
      <w:pPr>
        <w:pStyle w:val="FootnoteText"/>
      </w:pPr>
      <w:r>
        <w:rPr>
          <w:rStyle w:val="FootnoteReference"/>
        </w:rPr>
        <w:footnoteRef/>
      </w:r>
      <w:r>
        <w:t xml:space="preserve"> This figure is for 2012 based on higher thresholds.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4C5B6" w14:textId="77777777" w:rsidR="00EE6F63" w:rsidRPr="00B240C0" w:rsidRDefault="00EE6F63" w:rsidP="00600B6F">
    <w:pPr>
      <w:pStyle w:val="Header"/>
      <w:rPr>
        <w:color w:val="auto"/>
      </w:rPr>
    </w:pPr>
    <w:r>
      <w:rPr>
        <w:noProof/>
        <w:lang w:eastAsia="en-AU"/>
      </w:rPr>
      <mc:AlternateContent>
        <mc:Choice Requires="wps">
          <w:drawing>
            <wp:anchor distT="0" distB="0" distL="114300" distR="114300" simplePos="0" relativeHeight="251659776" behindDoc="0" locked="0" layoutInCell="1" allowOverlap="1" wp14:anchorId="113E874C" wp14:editId="26D92935">
              <wp:simplePos x="0" y="0"/>
              <wp:positionH relativeFrom="column">
                <wp:posOffset>2351405</wp:posOffset>
              </wp:positionH>
              <wp:positionV relativeFrom="paragraph">
                <wp:posOffset>3478530</wp:posOffset>
              </wp:positionV>
              <wp:extent cx="5531485" cy="52070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520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635F4" id="Rectangle 4" o:spid="_x0000_s1026" style="position:absolute;margin-left:185.15pt;margin-top:273.9pt;width:435.55pt;height: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" fillcolor="#00b0f0" stroked="f"/>
          </w:pict>
        </mc:Fallback>
      </mc:AlternateContent>
    </w:r>
    <w:r>
      <w:rPr>
        <w:noProof/>
        <w:lang w:eastAsia="en-AU"/>
      </w:rPr>
      <mc:AlternateContent>
        <mc:Choice Requires="wps">
          <w:drawing>
            <wp:anchor distT="0" distB="0" distL="114300" distR="114300" simplePos="0" relativeHeight="251656704" behindDoc="0" locked="0" layoutInCell="1" allowOverlap="1" wp14:anchorId="740E8B60" wp14:editId="6D05D9C2">
              <wp:simplePos x="0" y="0"/>
              <wp:positionH relativeFrom="column">
                <wp:posOffset>2157095</wp:posOffset>
              </wp:positionH>
              <wp:positionV relativeFrom="paragraph">
                <wp:posOffset>3478530</wp:posOffset>
              </wp:positionV>
              <wp:extent cx="201295" cy="520700"/>
              <wp:effectExtent l="0" t="0" r="8255" b="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520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5AF2F" id="Rectangle 11" o:spid="_x0000_s1026" style="position:absolute;margin-left:169.85pt;margin-top:273.9pt;width:15.85pt;height: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" fillcolor="#92d050" stroked="f"/>
          </w:pict>
        </mc:Fallback>
      </mc:AlternateContent>
    </w:r>
    <w:r w:rsidRPr="00A64C17">
      <w:rPr>
        <w:noProof/>
        <w:lang w:eastAsia="en-AU"/>
      </w:rPr>
      <w:drawing>
        <wp:anchor distT="0" distB="0" distL="114300" distR="114300" simplePos="0" relativeHeight="251655680" behindDoc="1" locked="0" layoutInCell="1" allowOverlap="1" wp14:anchorId="147FD94C" wp14:editId="07BFE8CB">
          <wp:simplePos x="0" y="0"/>
          <wp:positionH relativeFrom="column">
            <wp:posOffset>-416560</wp:posOffset>
          </wp:positionH>
          <wp:positionV relativeFrom="paragraph">
            <wp:posOffset>-121285</wp:posOffset>
          </wp:positionV>
          <wp:extent cx="29337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r w:rsidRPr="00A64C17">
      <w:rPr>
        <w:noProof/>
        <w:lang w:eastAsia="en-AU"/>
      </w:rPr>
      <w:drawing>
        <wp:anchor distT="0" distB="0" distL="114300" distR="114300" simplePos="0" relativeHeight="251654656" behindDoc="1" locked="0" layoutInCell="1" allowOverlap="1" wp14:anchorId="68525F5A" wp14:editId="3B20F4F5">
          <wp:simplePos x="0" y="0"/>
          <wp:positionH relativeFrom="column">
            <wp:posOffset>-2580005</wp:posOffset>
          </wp:positionH>
          <wp:positionV relativeFrom="paragraph">
            <wp:posOffset>4491355</wp:posOffset>
          </wp:positionV>
          <wp:extent cx="9114318" cy="9112102"/>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cstate="print"/>
                  <a:srcRect/>
                  <a:stretch>
                    <a:fillRect/>
                  </a:stretch>
                </pic:blipFill>
                <pic:spPr bwMode="auto">
                  <a:xfrm>
                    <a:off x="0" y="0"/>
                    <a:ext cx="9114318" cy="9112102"/>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EBE88" w14:textId="77777777" w:rsidR="00EE6F63" w:rsidRPr="001017B0" w:rsidRDefault="00EE6F63" w:rsidP="008227B5">
    <w:pPr>
      <w:pStyle w:val="Footereven"/>
      <w:rPr>
        <w:rFonts w:asciiTheme="minorHAnsi" w:hAnsiTheme="minorHAnsi" w:cstheme="minorHAnsi"/>
        <w:b w:val="0"/>
        <w:color w:val="auto"/>
        <w:sz w:val="16"/>
        <w:szCs w:val="16"/>
      </w:rPr>
    </w:pPr>
    <w:r w:rsidRPr="001017B0">
      <w:rPr>
        <w:rStyle w:val="Textbold"/>
        <w:rFonts w:asciiTheme="minorHAnsi" w:hAnsiTheme="minorHAnsi" w:cstheme="minorHAnsi"/>
        <w:b/>
        <w:color w:val="auto"/>
        <w:sz w:val="16"/>
        <w:szCs w:val="16"/>
      </w:rPr>
      <w:fldChar w:fldCharType="begin"/>
    </w:r>
    <w:r w:rsidRPr="001017B0">
      <w:rPr>
        <w:rStyle w:val="Textbold"/>
        <w:rFonts w:asciiTheme="minorHAnsi" w:hAnsiTheme="minorHAnsi" w:cstheme="minorHAnsi"/>
        <w:b/>
        <w:color w:val="auto"/>
        <w:sz w:val="16"/>
        <w:szCs w:val="16"/>
      </w:rPr>
      <w:instrText xml:space="preserve"> PAGE   \* MERGEFORMAT </w:instrText>
    </w:r>
    <w:r w:rsidRPr="001017B0">
      <w:rPr>
        <w:rStyle w:val="Textbold"/>
        <w:rFonts w:asciiTheme="minorHAnsi" w:hAnsiTheme="minorHAnsi" w:cstheme="minorHAnsi"/>
        <w:b/>
        <w:color w:val="auto"/>
        <w:sz w:val="16"/>
        <w:szCs w:val="16"/>
      </w:rPr>
      <w:fldChar w:fldCharType="separate"/>
    </w:r>
    <w:r w:rsidR="00F23AB7">
      <w:rPr>
        <w:rStyle w:val="Textbold"/>
        <w:rFonts w:asciiTheme="minorHAnsi" w:hAnsiTheme="minorHAnsi" w:cstheme="minorHAnsi"/>
        <w:b/>
        <w:color w:val="auto"/>
        <w:sz w:val="16"/>
        <w:szCs w:val="16"/>
      </w:rPr>
      <w:t>12</w:t>
    </w:r>
    <w:r w:rsidRPr="001017B0">
      <w:rPr>
        <w:rStyle w:val="Textbold"/>
        <w:rFonts w:asciiTheme="minorHAnsi" w:hAnsiTheme="minorHAnsi" w:cstheme="minorHAnsi"/>
        <w:b/>
        <w:color w:val="auto"/>
        <w:sz w:val="16"/>
        <w:szCs w:val="16"/>
      </w:rPr>
      <w:fldChar w:fldCharType="end"/>
    </w:r>
    <w:r w:rsidRPr="001017B0">
      <w:rPr>
        <w:rStyle w:val="Textbold"/>
        <w:rFonts w:asciiTheme="minorHAnsi" w:hAnsiTheme="minorHAnsi" w:cstheme="minorHAnsi"/>
        <w:b/>
        <w:color w:val="auto"/>
        <w:sz w:val="16"/>
        <w:szCs w:val="16"/>
      </w:rPr>
      <w:t xml:space="preserve"> </w:t>
    </w:r>
    <w:r w:rsidRPr="001017B0">
      <w:rPr>
        <w:rStyle w:val="Textbold"/>
        <w:rFonts w:asciiTheme="minorHAnsi" w:hAnsiTheme="minorHAnsi" w:cstheme="minorHAnsi"/>
        <w:b/>
        <w:color w:val="auto"/>
        <w:sz w:val="16"/>
        <w:szCs w:val="16"/>
      </w:rPr>
      <w:tab/>
    </w:r>
    <w:r>
      <w:rPr>
        <w:rStyle w:val="Textbold"/>
        <w:rFonts w:asciiTheme="minorHAnsi" w:hAnsiTheme="minorHAnsi" w:cstheme="minorHAnsi"/>
        <w:color w:val="309CC8" w:themeColor="accent1"/>
        <w:sz w:val="16"/>
        <w:szCs w:val="16"/>
      </w:rPr>
      <w:fldChar w:fldCharType="begin"/>
    </w:r>
    <w:r>
      <w:rPr>
        <w:rStyle w:val="Textbold"/>
        <w:rFonts w:asciiTheme="minorHAnsi" w:hAnsiTheme="minorHAnsi" w:cstheme="minorHAnsi"/>
        <w:color w:val="309CC8" w:themeColor="accent1"/>
        <w:sz w:val="16"/>
        <w:szCs w:val="16"/>
      </w:rPr>
      <w:instrText xml:space="preserve"> STYLEREF  "CCA heading 1 no number"  \* MERGEFORMAT </w:instrText>
    </w:r>
    <w:r>
      <w:rPr>
        <w:rStyle w:val="Textbold"/>
        <w:rFonts w:asciiTheme="minorHAnsi" w:hAnsiTheme="minorHAnsi" w:cstheme="minorHAnsi"/>
        <w:color w:val="309CC8" w:themeColor="accent1"/>
        <w:sz w:val="16"/>
        <w:szCs w:val="16"/>
      </w:rPr>
      <w:fldChar w:fldCharType="separate"/>
    </w:r>
    <w:r w:rsidR="00F23AB7">
      <w:rPr>
        <w:rStyle w:val="Textbold"/>
        <w:rFonts w:asciiTheme="minorHAnsi" w:hAnsiTheme="minorHAnsi" w:cstheme="minorHAnsi"/>
        <w:color w:val="309CC8" w:themeColor="accent1"/>
        <w:sz w:val="16"/>
        <w:szCs w:val="16"/>
      </w:rPr>
      <w:t>What did The Authority recommend?</w:t>
    </w:r>
    <w:r>
      <w:rPr>
        <w:rStyle w:val="Textbold"/>
        <w:rFonts w:asciiTheme="minorHAnsi" w:hAnsiTheme="minorHAnsi" w:cstheme="minorHAnsi"/>
        <w:color w:val="309CC8" w:themeColor="accent1"/>
        <w:sz w:val="16"/>
        <w:szCs w:val="16"/>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F9F5C" w14:textId="77777777" w:rsidR="00EE6F63" w:rsidRPr="001017B0" w:rsidRDefault="00EE6F63" w:rsidP="008227B5">
    <w:pPr>
      <w:pStyle w:val="Footereven"/>
      <w:rPr>
        <w:rFonts w:asciiTheme="minorHAnsi" w:hAnsiTheme="minorHAnsi" w:cstheme="minorHAnsi"/>
        <w:b w:val="0"/>
        <w:color w:val="auto"/>
        <w:sz w:val="16"/>
        <w:szCs w:val="16"/>
      </w:rPr>
    </w:pPr>
    <w:r w:rsidRPr="001017B0">
      <w:rPr>
        <w:rStyle w:val="Textbold"/>
        <w:rFonts w:asciiTheme="minorHAnsi" w:hAnsiTheme="minorHAnsi" w:cstheme="minorHAnsi"/>
        <w:b/>
        <w:color w:val="auto"/>
        <w:sz w:val="16"/>
        <w:szCs w:val="16"/>
      </w:rPr>
      <w:fldChar w:fldCharType="begin"/>
    </w:r>
    <w:r w:rsidRPr="001017B0">
      <w:rPr>
        <w:rStyle w:val="Textbold"/>
        <w:rFonts w:asciiTheme="minorHAnsi" w:hAnsiTheme="minorHAnsi" w:cstheme="minorHAnsi"/>
        <w:b/>
        <w:color w:val="auto"/>
        <w:sz w:val="16"/>
        <w:szCs w:val="16"/>
      </w:rPr>
      <w:instrText xml:space="preserve"> PAGE   \* MERGEFORMAT </w:instrText>
    </w:r>
    <w:r w:rsidRPr="001017B0">
      <w:rPr>
        <w:rStyle w:val="Textbold"/>
        <w:rFonts w:asciiTheme="minorHAnsi" w:hAnsiTheme="minorHAnsi" w:cstheme="minorHAnsi"/>
        <w:b/>
        <w:color w:val="auto"/>
        <w:sz w:val="16"/>
        <w:szCs w:val="16"/>
      </w:rPr>
      <w:fldChar w:fldCharType="separate"/>
    </w:r>
    <w:r w:rsidR="00F23AB7">
      <w:rPr>
        <w:rStyle w:val="Textbold"/>
        <w:rFonts w:asciiTheme="minorHAnsi" w:hAnsiTheme="minorHAnsi" w:cstheme="minorHAnsi"/>
        <w:b/>
        <w:color w:val="auto"/>
        <w:sz w:val="16"/>
        <w:szCs w:val="16"/>
      </w:rPr>
      <w:t>52</w:t>
    </w:r>
    <w:r w:rsidRPr="001017B0">
      <w:rPr>
        <w:rStyle w:val="Textbold"/>
        <w:rFonts w:asciiTheme="minorHAnsi" w:hAnsiTheme="minorHAnsi" w:cstheme="minorHAnsi"/>
        <w:b/>
        <w:color w:val="auto"/>
        <w:sz w:val="16"/>
        <w:szCs w:val="16"/>
      </w:rPr>
      <w:fldChar w:fldCharType="end"/>
    </w:r>
    <w:r w:rsidRPr="001017B0">
      <w:rPr>
        <w:rStyle w:val="Textbold"/>
        <w:rFonts w:asciiTheme="minorHAnsi" w:hAnsiTheme="minorHAnsi" w:cstheme="minorHAnsi"/>
        <w:b/>
        <w:color w:val="auto"/>
        <w:sz w:val="16"/>
        <w:szCs w:val="16"/>
      </w:rPr>
      <w:t xml:space="preserve"> </w:t>
    </w:r>
    <w:r w:rsidRPr="001017B0">
      <w:rPr>
        <w:rStyle w:val="Textbold"/>
        <w:rFonts w:asciiTheme="minorHAnsi" w:hAnsiTheme="minorHAnsi" w:cstheme="minorHAnsi"/>
        <w:b/>
        <w:color w:val="auto"/>
        <w:sz w:val="16"/>
        <w:szCs w:val="16"/>
      </w:rPr>
      <w:tab/>
    </w:r>
    <w:r w:rsidRPr="00655028">
      <w:rPr>
        <w:rFonts w:asciiTheme="minorHAnsi" w:hAnsiTheme="minorHAnsi" w:cstheme="minorHAnsi"/>
        <w:b w:val="0"/>
        <w:color w:val="309CC8" w:themeColor="text2"/>
        <w:sz w:val="16"/>
        <w:szCs w:val="16"/>
      </w:rPr>
      <w:t xml:space="preserve"> </w:t>
    </w:r>
    <w:r w:rsidRPr="00655028">
      <w:rPr>
        <w:rFonts w:asciiTheme="minorHAnsi" w:hAnsiTheme="minorHAnsi" w:cstheme="minorHAnsi"/>
        <w:b w:val="0"/>
        <w:color w:val="309CC8" w:themeColor="text2"/>
        <w:sz w:val="16"/>
        <w:szCs w:val="16"/>
      </w:rPr>
      <w:fldChar w:fldCharType="begin"/>
    </w:r>
    <w:r w:rsidRPr="00655028">
      <w:rPr>
        <w:rFonts w:asciiTheme="minorHAnsi" w:hAnsiTheme="minorHAnsi" w:cstheme="minorHAnsi"/>
        <w:b w:val="0"/>
        <w:color w:val="309CC8" w:themeColor="text2"/>
        <w:sz w:val="16"/>
        <w:szCs w:val="16"/>
      </w:rPr>
      <w:instrText xml:space="preserve"> STYLEREF  "CCA Heading 1"  \* MERGEFORMAT </w:instrText>
    </w:r>
    <w:r w:rsidRPr="00655028">
      <w:rPr>
        <w:rFonts w:asciiTheme="minorHAnsi" w:hAnsiTheme="minorHAnsi" w:cstheme="minorHAnsi"/>
        <w:b w:val="0"/>
        <w:color w:val="309CC8" w:themeColor="text2"/>
        <w:sz w:val="16"/>
        <w:szCs w:val="16"/>
      </w:rPr>
      <w:fldChar w:fldCharType="separate"/>
    </w:r>
    <w:r w:rsidR="00F23AB7">
      <w:rPr>
        <w:rFonts w:asciiTheme="minorHAnsi" w:hAnsiTheme="minorHAnsi" w:cstheme="minorHAnsi"/>
        <w:b w:val="0"/>
        <w:color w:val="309CC8" w:themeColor="text2"/>
        <w:sz w:val="16"/>
        <w:szCs w:val="16"/>
      </w:rPr>
      <w:t>The reporting scheme: What could be improved?</w:t>
    </w:r>
    <w:r w:rsidRPr="00655028">
      <w:rPr>
        <w:rFonts w:asciiTheme="minorHAnsi" w:hAnsiTheme="minorHAnsi" w:cstheme="minorHAnsi"/>
        <w:b w:val="0"/>
        <w:color w:val="309CC8" w:themeColor="text2"/>
        <w:sz w:val="16"/>
        <w:szCs w:val="16"/>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EBC52" w14:textId="77777777" w:rsidR="00EE6F63" w:rsidRPr="001017B0" w:rsidRDefault="00EE6F63" w:rsidP="00866270">
    <w:pPr>
      <w:pStyle w:val="Footer"/>
      <w:rPr>
        <w:color w:val="auto"/>
        <w:sz w:val="16"/>
        <w:szCs w:val="16"/>
      </w:rPr>
    </w:pPr>
    <w:r w:rsidRPr="001017B0">
      <w:rPr>
        <w:rStyle w:val="TextColour"/>
        <w:rFonts w:asciiTheme="minorHAnsi" w:hAnsiTheme="minorHAnsi" w:cstheme="minorHAnsi"/>
        <w:b w:val="0"/>
        <w:sz w:val="16"/>
        <w:szCs w:val="16"/>
      </w:rPr>
      <w:t>Review of the National Greenhouse and Energy REporting legislation</w:t>
    </w:r>
    <w:r w:rsidRPr="001017B0">
      <w:rPr>
        <w:rFonts w:asciiTheme="minorHAnsi" w:hAnsiTheme="minorHAnsi" w:cstheme="minorHAnsi"/>
        <w:b w:val="0"/>
        <w:caps w:val="0"/>
        <w:color w:val="auto"/>
        <w:sz w:val="16"/>
        <w:szCs w:val="16"/>
      </w:rPr>
      <w:tab/>
      <w:t>Final Report</w:t>
    </w:r>
    <w:r w:rsidRPr="001017B0">
      <w:rPr>
        <w:rFonts w:asciiTheme="minorHAnsi" w:hAnsiTheme="minorHAnsi" w:cstheme="minorHAnsi"/>
        <w:b w:val="0"/>
        <w:color w:val="auto"/>
        <w:sz w:val="16"/>
        <w:szCs w:val="16"/>
      </w:rPr>
      <w:tab/>
    </w:r>
    <w:r w:rsidRPr="001017B0">
      <w:rPr>
        <w:rFonts w:asciiTheme="minorHAnsi" w:hAnsiTheme="minorHAnsi" w:cstheme="minorHAnsi"/>
        <w:b w:val="0"/>
        <w:color w:val="auto"/>
        <w:sz w:val="16"/>
        <w:szCs w:val="16"/>
      </w:rPr>
      <w:fldChar w:fldCharType="begin"/>
    </w:r>
    <w:r w:rsidRPr="001017B0">
      <w:rPr>
        <w:rFonts w:asciiTheme="minorHAnsi" w:hAnsiTheme="minorHAnsi" w:cstheme="minorHAnsi"/>
        <w:b w:val="0"/>
        <w:color w:val="auto"/>
        <w:sz w:val="16"/>
        <w:szCs w:val="16"/>
      </w:rPr>
      <w:instrText xml:space="preserve"> PAGE   \* MERGEFORMAT </w:instrText>
    </w:r>
    <w:r w:rsidRPr="001017B0">
      <w:rPr>
        <w:rFonts w:asciiTheme="minorHAnsi" w:hAnsiTheme="minorHAnsi" w:cstheme="minorHAnsi"/>
        <w:b w:val="0"/>
        <w:color w:val="auto"/>
        <w:sz w:val="16"/>
        <w:szCs w:val="16"/>
      </w:rPr>
      <w:fldChar w:fldCharType="separate"/>
    </w:r>
    <w:r w:rsidR="00F23AB7">
      <w:rPr>
        <w:rFonts w:asciiTheme="minorHAnsi" w:hAnsiTheme="minorHAnsi" w:cstheme="minorHAnsi"/>
        <w:b w:val="0"/>
        <w:noProof/>
        <w:color w:val="auto"/>
        <w:sz w:val="16"/>
        <w:szCs w:val="16"/>
      </w:rPr>
      <w:t>51</w:t>
    </w:r>
    <w:r w:rsidRPr="001017B0">
      <w:rPr>
        <w:rFonts w:asciiTheme="minorHAnsi" w:hAnsiTheme="minorHAnsi" w:cstheme="minorHAnsi"/>
        <w:b w:val="0"/>
        <w:noProof/>
        <w:color w:val="auto"/>
        <w:sz w:val="16"/>
        <w:szCs w:val="16"/>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45014" w14:textId="77777777" w:rsidR="00EE6F63" w:rsidRPr="00655028" w:rsidRDefault="00EE6F63" w:rsidP="008227B5">
    <w:pPr>
      <w:pStyle w:val="Footereven"/>
      <w:rPr>
        <w:rFonts w:asciiTheme="minorHAnsi" w:hAnsiTheme="minorHAnsi" w:cstheme="minorHAnsi"/>
        <w:b w:val="0"/>
        <w:color w:val="309CC8" w:themeColor="text2"/>
        <w:sz w:val="16"/>
        <w:szCs w:val="16"/>
      </w:rPr>
    </w:pPr>
    <w:r w:rsidRPr="001017B0">
      <w:rPr>
        <w:rStyle w:val="Textbold"/>
        <w:rFonts w:asciiTheme="minorHAnsi" w:hAnsiTheme="minorHAnsi" w:cstheme="minorHAnsi"/>
        <w:b/>
        <w:color w:val="auto"/>
        <w:sz w:val="16"/>
        <w:szCs w:val="16"/>
      </w:rPr>
      <w:fldChar w:fldCharType="begin"/>
    </w:r>
    <w:r w:rsidRPr="001017B0">
      <w:rPr>
        <w:rStyle w:val="Textbold"/>
        <w:rFonts w:asciiTheme="minorHAnsi" w:hAnsiTheme="minorHAnsi" w:cstheme="minorHAnsi"/>
        <w:b/>
        <w:color w:val="auto"/>
        <w:sz w:val="16"/>
        <w:szCs w:val="16"/>
      </w:rPr>
      <w:instrText xml:space="preserve"> PAGE   \* MERGEFORMAT </w:instrText>
    </w:r>
    <w:r w:rsidRPr="001017B0">
      <w:rPr>
        <w:rStyle w:val="Textbold"/>
        <w:rFonts w:asciiTheme="minorHAnsi" w:hAnsiTheme="minorHAnsi" w:cstheme="minorHAnsi"/>
        <w:b/>
        <w:color w:val="auto"/>
        <w:sz w:val="16"/>
        <w:szCs w:val="16"/>
      </w:rPr>
      <w:fldChar w:fldCharType="separate"/>
    </w:r>
    <w:r w:rsidR="009A203A">
      <w:rPr>
        <w:rStyle w:val="Textbold"/>
        <w:rFonts w:asciiTheme="minorHAnsi" w:hAnsiTheme="minorHAnsi" w:cstheme="minorHAnsi"/>
        <w:b/>
        <w:color w:val="auto"/>
        <w:sz w:val="16"/>
        <w:szCs w:val="16"/>
      </w:rPr>
      <w:t>74</w:t>
    </w:r>
    <w:r w:rsidRPr="001017B0">
      <w:rPr>
        <w:rStyle w:val="Textbold"/>
        <w:rFonts w:asciiTheme="minorHAnsi" w:hAnsiTheme="minorHAnsi" w:cstheme="minorHAnsi"/>
        <w:b/>
        <w:color w:val="auto"/>
        <w:sz w:val="16"/>
        <w:szCs w:val="16"/>
      </w:rPr>
      <w:fldChar w:fldCharType="end"/>
    </w:r>
    <w:r w:rsidRPr="001017B0">
      <w:rPr>
        <w:rStyle w:val="Textbold"/>
        <w:rFonts w:asciiTheme="minorHAnsi" w:hAnsiTheme="minorHAnsi" w:cstheme="minorHAnsi"/>
        <w:b/>
        <w:color w:val="auto"/>
        <w:sz w:val="16"/>
        <w:szCs w:val="16"/>
      </w:rPr>
      <w:t xml:space="preserve"> </w:t>
    </w:r>
    <w:r w:rsidRPr="001017B0">
      <w:rPr>
        <w:rStyle w:val="Textbold"/>
        <w:rFonts w:asciiTheme="minorHAnsi" w:hAnsiTheme="minorHAnsi" w:cstheme="minorHAnsi"/>
        <w:b/>
        <w:color w:val="auto"/>
        <w:sz w:val="16"/>
        <w:szCs w:val="16"/>
      </w:rPr>
      <w:tab/>
    </w:r>
    <w:r w:rsidRPr="001017B0" w:rsidDel="002C3B6E">
      <w:rPr>
        <w:rFonts w:asciiTheme="minorHAnsi" w:hAnsiTheme="minorHAnsi" w:cstheme="minorHAnsi"/>
        <w:b w:val="0"/>
        <w:color w:val="auto"/>
        <w:sz w:val="16"/>
        <w:szCs w:val="16"/>
      </w:rPr>
      <w:t xml:space="preserve"> </w:t>
    </w:r>
    <w:r w:rsidRPr="00655028">
      <w:rPr>
        <w:rFonts w:asciiTheme="minorHAnsi" w:hAnsiTheme="minorHAnsi" w:cstheme="minorHAnsi"/>
        <w:b w:val="0"/>
        <w:color w:val="309CC8" w:themeColor="text2"/>
        <w:sz w:val="16"/>
        <w:szCs w:val="16"/>
      </w:rPr>
      <w:fldChar w:fldCharType="begin"/>
    </w:r>
    <w:r w:rsidRPr="00655028">
      <w:rPr>
        <w:rFonts w:asciiTheme="minorHAnsi" w:hAnsiTheme="minorHAnsi" w:cstheme="minorHAnsi"/>
        <w:b w:val="0"/>
        <w:color w:val="309CC8" w:themeColor="text2"/>
        <w:sz w:val="16"/>
        <w:szCs w:val="16"/>
      </w:rPr>
      <w:instrText xml:space="preserve"> STYLEREF  "CCA Appendix Heading"  \* MERGEFORMAT </w:instrText>
    </w:r>
    <w:r w:rsidRPr="00655028">
      <w:rPr>
        <w:rFonts w:asciiTheme="minorHAnsi" w:hAnsiTheme="minorHAnsi" w:cstheme="minorHAnsi"/>
        <w:b w:val="0"/>
        <w:color w:val="309CC8" w:themeColor="text2"/>
        <w:sz w:val="16"/>
        <w:szCs w:val="16"/>
      </w:rPr>
      <w:fldChar w:fldCharType="separate"/>
    </w:r>
    <w:r w:rsidR="009A203A">
      <w:rPr>
        <w:rFonts w:asciiTheme="minorHAnsi" w:hAnsiTheme="minorHAnsi" w:cstheme="minorHAnsi"/>
        <w:b w:val="0"/>
        <w:color w:val="309CC8" w:themeColor="text2"/>
        <w:sz w:val="16"/>
        <w:szCs w:val="16"/>
      </w:rPr>
      <w:t>Guiding principles for this review</w:t>
    </w:r>
    <w:r w:rsidRPr="00655028">
      <w:rPr>
        <w:rFonts w:asciiTheme="minorHAnsi" w:hAnsiTheme="minorHAnsi" w:cstheme="minorHAnsi"/>
        <w:b w:val="0"/>
        <w:color w:val="309CC8" w:themeColor="text2"/>
        <w:sz w:val="16"/>
        <w:szCs w:val="16"/>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56017" w14:textId="77777777" w:rsidR="00EE6F63" w:rsidRPr="001017B0" w:rsidRDefault="00EE6F63" w:rsidP="008227B5">
    <w:pPr>
      <w:pStyle w:val="Footereven"/>
      <w:rPr>
        <w:rFonts w:asciiTheme="minorHAnsi" w:hAnsiTheme="minorHAnsi" w:cstheme="minorHAnsi"/>
        <w:b w:val="0"/>
        <w:color w:val="auto"/>
        <w:sz w:val="16"/>
        <w:szCs w:val="16"/>
      </w:rPr>
    </w:pPr>
    <w:r w:rsidRPr="001017B0">
      <w:rPr>
        <w:rStyle w:val="Textbold"/>
        <w:rFonts w:asciiTheme="minorHAnsi" w:hAnsiTheme="minorHAnsi" w:cstheme="minorHAnsi"/>
        <w:b/>
        <w:color w:val="auto"/>
        <w:sz w:val="16"/>
        <w:szCs w:val="16"/>
      </w:rPr>
      <w:fldChar w:fldCharType="begin"/>
    </w:r>
    <w:r w:rsidRPr="001017B0">
      <w:rPr>
        <w:rStyle w:val="Textbold"/>
        <w:rFonts w:asciiTheme="minorHAnsi" w:hAnsiTheme="minorHAnsi" w:cstheme="minorHAnsi"/>
        <w:b/>
        <w:color w:val="auto"/>
        <w:sz w:val="16"/>
        <w:szCs w:val="16"/>
      </w:rPr>
      <w:instrText xml:space="preserve"> PAGE   \* MERGEFORMAT </w:instrText>
    </w:r>
    <w:r w:rsidRPr="001017B0">
      <w:rPr>
        <w:rStyle w:val="Textbold"/>
        <w:rFonts w:asciiTheme="minorHAnsi" w:hAnsiTheme="minorHAnsi" w:cstheme="minorHAnsi"/>
        <w:b/>
        <w:color w:val="auto"/>
        <w:sz w:val="16"/>
        <w:szCs w:val="16"/>
      </w:rPr>
      <w:fldChar w:fldCharType="separate"/>
    </w:r>
    <w:r w:rsidR="009A203A">
      <w:rPr>
        <w:rStyle w:val="Textbold"/>
        <w:rFonts w:asciiTheme="minorHAnsi" w:hAnsiTheme="minorHAnsi" w:cstheme="minorHAnsi"/>
        <w:b/>
        <w:color w:val="auto"/>
        <w:sz w:val="16"/>
        <w:szCs w:val="16"/>
      </w:rPr>
      <w:t>98</w:t>
    </w:r>
    <w:r w:rsidRPr="001017B0">
      <w:rPr>
        <w:rStyle w:val="Textbold"/>
        <w:rFonts w:asciiTheme="minorHAnsi" w:hAnsiTheme="minorHAnsi" w:cstheme="minorHAnsi"/>
        <w:b/>
        <w:color w:val="auto"/>
        <w:sz w:val="16"/>
        <w:szCs w:val="16"/>
      </w:rPr>
      <w:fldChar w:fldCharType="end"/>
    </w:r>
    <w:r w:rsidRPr="001017B0">
      <w:rPr>
        <w:rStyle w:val="Textbold"/>
        <w:rFonts w:asciiTheme="minorHAnsi" w:hAnsiTheme="minorHAnsi" w:cstheme="minorHAnsi"/>
        <w:b/>
        <w:color w:val="auto"/>
        <w:sz w:val="16"/>
        <w:szCs w:val="16"/>
      </w:rPr>
      <w:t xml:space="preserve"> </w:t>
    </w:r>
    <w:r w:rsidRPr="001017B0">
      <w:rPr>
        <w:rStyle w:val="Textbold"/>
        <w:rFonts w:asciiTheme="minorHAnsi" w:hAnsiTheme="minorHAnsi" w:cstheme="minorHAnsi"/>
        <w:b/>
        <w:color w:val="auto"/>
        <w:sz w:val="16"/>
        <w:szCs w:val="16"/>
      </w:rPr>
      <w:tab/>
    </w:r>
    <w:r w:rsidRPr="00655028" w:rsidDel="002C3B6E">
      <w:rPr>
        <w:rFonts w:asciiTheme="minorHAnsi" w:hAnsiTheme="minorHAnsi" w:cstheme="minorHAnsi"/>
        <w:b w:val="0"/>
        <w:color w:val="309CC8" w:themeColor="accent1"/>
        <w:sz w:val="16"/>
        <w:szCs w:val="16"/>
      </w:rPr>
      <w:t xml:space="preserve"> </w:t>
    </w:r>
    <w:r w:rsidRPr="00655028">
      <w:rPr>
        <w:rFonts w:asciiTheme="minorHAnsi" w:hAnsiTheme="minorHAnsi" w:cstheme="minorHAnsi"/>
        <w:b w:val="0"/>
        <w:color w:val="309CC8" w:themeColor="accent1"/>
        <w:sz w:val="16"/>
        <w:szCs w:val="16"/>
      </w:rPr>
      <w:fldChar w:fldCharType="begin"/>
    </w:r>
    <w:r w:rsidRPr="00655028">
      <w:rPr>
        <w:rFonts w:asciiTheme="minorHAnsi" w:hAnsiTheme="minorHAnsi" w:cstheme="minorHAnsi"/>
        <w:b w:val="0"/>
        <w:color w:val="309CC8" w:themeColor="accent1"/>
        <w:sz w:val="16"/>
        <w:szCs w:val="16"/>
      </w:rPr>
      <w:instrText xml:space="preserve"> STYLEREF  "CCA heading 1 no number"  \* MERGEFORMAT </w:instrText>
    </w:r>
    <w:r w:rsidRPr="00655028">
      <w:rPr>
        <w:rFonts w:asciiTheme="minorHAnsi" w:hAnsiTheme="minorHAnsi" w:cstheme="minorHAnsi"/>
        <w:b w:val="0"/>
        <w:color w:val="309CC8" w:themeColor="accent1"/>
        <w:sz w:val="16"/>
        <w:szCs w:val="16"/>
      </w:rPr>
      <w:fldChar w:fldCharType="separate"/>
    </w:r>
    <w:r w:rsidR="009A203A">
      <w:rPr>
        <w:rFonts w:asciiTheme="minorHAnsi" w:hAnsiTheme="minorHAnsi" w:cstheme="minorHAnsi"/>
        <w:b w:val="0"/>
        <w:color w:val="309CC8" w:themeColor="accent1"/>
        <w:sz w:val="16"/>
        <w:szCs w:val="16"/>
      </w:rPr>
      <w:t>References</w:t>
    </w:r>
    <w:r w:rsidRPr="00655028">
      <w:rPr>
        <w:rFonts w:asciiTheme="minorHAnsi" w:hAnsiTheme="minorHAnsi" w:cstheme="minorHAnsi"/>
        <w:b w:val="0"/>
        <w:color w:val="309CC8" w:themeColor="accent1"/>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4747C" w14:textId="77777777" w:rsidR="00EE6F63" w:rsidRPr="00B240C0" w:rsidRDefault="00EE6F63" w:rsidP="008B2B23">
    <w:pPr>
      <w:pStyle w:val="Header"/>
      <w:jc w:val="left"/>
      <w:rPr>
        <w:color w:val="auto"/>
      </w:rPr>
    </w:pPr>
    <w:r w:rsidRPr="00A64C17">
      <w:rPr>
        <w:noProof/>
        <w:lang w:eastAsia="en-AU"/>
      </w:rPr>
      <w:drawing>
        <wp:anchor distT="0" distB="0" distL="114300" distR="114300" simplePos="0" relativeHeight="251658752" behindDoc="1" locked="0" layoutInCell="1" allowOverlap="1" wp14:anchorId="7A623F1B" wp14:editId="261BE26D">
          <wp:simplePos x="0" y="0"/>
          <wp:positionH relativeFrom="margin">
            <wp:posOffset>-1552954</wp:posOffset>
          </wp:positionH>
          <wp:positionV relativeFrom="paragraph">
            <wp:posOffset>4089293</wp:posOffset>
          </wp:positionV>
          <wp:extent cx="9115200" cy="911160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rcRect/>
                  <a:stretch>
                    <a:fillRect/>
                  </a:stretch>
                </pic:blipFill>
                <pic:spPr bwMode="auto">
                  <a:xfrm>
                    <a:off x="0" y="0"/>
                    <a:ext cx="9115200" cy="91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4C17">
      <w:rPr>
        <w:noProof/>
        <w:lang w:eastAsia="en-AU"/>
      </w:rPr>
      <w:drawing>
        <wp:anchor distT="0" distB="0" distL="114300" distR="114300" simplePos="0" relativeHeight="251657728" behindDoc="1" locked="0" layoutInCell="1" allowOverlap="1" wp14:anchorId="16CA2D91" wp14:editId="6542CF77">
          <wp:simplePos x="0" y="0"/>
          <wp:positionH relativeFrom="page">
            <wp:posOffset>347980</wp:posOffset>
          </wp:positionH>
          <wp:positionV relativeFrom="page">
            <wp:posOffset>720090</wp:posOffset>
          </wp:positionV>
          <wp:extent cx="2311200" cy="72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cstate="print"/>
                  <a:srcRect/>
                  <a:stretch>
                    <a:fillRect/>
                  </a:stretch>
                </pic:blipFill>
                <pic:spPr bwMode="auto">
                  <a:xfrm>
                    <a:off x="0" y="0"/>
                    <a:ext cx="23112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CBCCB" w14:textId="77777777" w:rsidR="00EE6F63" w:rsidRPr="001017B0" w:rsidRDefault="00EE6F63" w:rsidP="00BC77DA">
    <w:pPr>
      <w:pStyle w:val="Footereven"/>
      <w:rPr>
        <w:rFonts w:asciiTheme="minorHAnsi" w:hAnsiTheme="minorHAnsi" w:cstheme="minorHAnsi"/>
        <w:b w:val="0"/>
        <w:color w:val="auto"/>
        <w:sz w:val="16"/>
        <w:szCs w:val="16"/>
      </w:rPr>
    </w:pPr>
    <w:r w:rsidRPr="001017B0">
      <w:rPr>
        <w:rFonts w:asciiTheme="minorHAnsi" w:hAnsiTheme="minorHAnsi" w:cstheme="minorHAnsi"/>
        <w:b w:val="0"/>
        <w:color w:val="auto"/>
        <w:sz w:val="16"/>
        <w:szCs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482F1" w14:textId="77777777" w:rsidR="00EE6F63" w:rsidRPr="001017B0" w:rsidRDefault="00EE6F63" w:rsidP="00866270">
    <w:pPr>
      <w:pStyle w:val="Footer"/>
      <w:rPr>
        <w:color w:val="auto"/>
        <w:sz w:val="16"/>
        <w:szCs w:val="16"/>
      </w:rPr>
    </w:pPr>
    <w:r w:rsidRPr="00866270">
      <w:rPr>
        <w:rStyle w:val="TextColour"/>
        <w:rFonts w:asciiTheme="minorHAnsi" w:hAnsiTheme="minorHAnsi" w:cstheme="minorHAnsi"/>
        <w:b w:val="0"/>
        <w:sz w:val="13"/>
        <w:szCs w:val="13"/>
      </w:rPr>
      <w:t xml:space="preserve"> </w:t>
    </w:r>
    <w:r w:rsidRPr="001017B0">
      <w:rPr>
        <w:rStyle w:val="TextColour"/>
        <w:rFonts w:asciiTheme="minorHAnsi" w:hAnsiTheme="minorHAnsi" w:cstheme="minorHAnsi"/>
        <w:b w:val="0"/>
        <w:sz w:val="16"/>
        <w:szCs w:val="16"/>
      </w:rPr>
      <w:t>Review of the NAtional Greenhouse and Energy Reporting Legislation</w:t>
    </w:r>
    <w:r w:rsidRPr="001017B0">
      <w:rPr>
        <w:rStyle w:val="TextColour"/>
        <w:rFonts w:asciiTheme="minorHAnsi" w:hAnsiTheme="minorHAnsi" w:cstheme="minorHAnsi"/>
        <w:b w:val="0"/>
        <w:color w:val="309CC8" w:themeColor="accent1"/>
        <w:sz w:val="16"/>
        <w:szCs w:val="16"/>
      </w:rPr>
      <w:t xml:space="preserve"> </w:t>
    </w:r>
    <w:r w:rsidRPr="001017B0">
      <w:rPr>
        <w:rFonts w:asciiTheme="minorHAnsi" w:hAnsiTheme="minorHAnsi" w:cstheme="minorHAnsi"/>
        <w:b w:val="0"/>
        <w:caps w:val="0"/>
        <w:color w:val="auto"/>
        <w:sz w:val="16"/>
        <w:szCs w:val="16"/>
      </w:rPr>
      <w:tab/>
      <w:t>Final Report</w:t>
    </w:r>
    <w:r w:rsidRPr="001017B0">
      <w:rPr>
        <w:rFonts w:asciiTheme="minorHAnsi" w:hAnsiTheme="minorHAnsi" w:cstheme="minorHAnsi"/>
        <w:b w:val="0"/>
        <w:color w:val="auto"/>
        <w:sz w:val="16"/>
        <w:szCs w:val="16"/>
      </w:rPr>
      <w:tab/>
    </w:r>
    <w:r w:rsidRPr="001017B0">
      <w:rPr>
        <w:rFonts w:asciiTheme="minorHAnsi" w:hAnsiTheme="minorHAnsi" w:cstheme="minorHAnsi"/>
        <w:b w:val="0"/>
        <w:color w:val="auto"/>
        <w:sz w:val="16"/>
        <w:szCs w:val="16"/>
      </w:rPr>
      <w:fldChar w:fldCharType="begin"/>
    </w:r>
    <w:r w:rsidRPr="001017B0">
      <w:rPr>
        <w:rFonts w:asciiTheme="minorHAnsi" w:hAnsiTheme="minorHAnsi" w:cstheme="minorHAnsi"/>
        <w:b w:val="0"/>
        <w:color w:val="auto"/>
        <w:sz w:val="16"/>
        <w:szCs w:val="16"/>
      </w:rPr>
      <w:instrText xml:space="preserve"> PAGE   \* MERGEFORMAT </w:instrText>
    </w:r>
    <w:r w:rsidRPr="001017B0">
      <w:rPr>
        <w:rFonts w:asciiTheme="minorHAnsi" w:hAnsiTheme="minorHAnsi" w:cstheme="minorHAnsi"/>
        <w:b w:val="0"/>
        <w:color w:val="auto"/>
        <w:sz w:val="16"/>
        <w:szCs w:val="16"/>
      </w:rPr>
      <w:fldChar w:fldCharType="separate"/>
    </w:r>
    <w:r>
      <w:rPr>
        <w:rFonts w:asciiTheme="minorHAnsi" w:hAnsiTheme="minorHAnsi" w:cstheme="minorHAnsi"/>
        <w:b w:val="0"/>
        <w:noProof/>
        <w:color w:val="auto"/>
        <w:sz w:val="16"/>
        <w:szCs w:val="16"/>
      </w:rPr>
      <w:t>iii</w:t>
    </w:r>
    <w:r w:rsidRPr="001017B0">
      <w:rPr>
        <w:rFonts w:asciiTheme="minorHAnsi" w:hAnsiTheme="minorHAnsi" w:cstheme="minorHAnsi"/>
        <w:b w:val="0"/>
        <w:color w:val="auto"/>
        <w:sz w:val="16"/>
        <w:szCs w:val="16"/>
      </w:rPr>
      <w:fldChar w:fldCharType="end"/>
    </w:r>
    <w:r w:rsidRPr="001017B0">
      <w:rPr>
        <w:color w:val="auto"/>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17A17" w14:textId="77777777" w:rsidR="00EE6F63" w:rsidRPr="00BC77DA" w:rsidRDefault="00EE6F63" w:rsidP="007F0277">
    <w:pPr>
      <w:pStyle w:val="Footer"/>
      <w:rPr>
        <w:rFonts w:asciiTheme="minorHAnsi" w:hAnsiTheme="minorHAnsi" w:cstheme="minorHAnsi"/>
        <w:b w:val="0"/>
        <w:color w:val="auto"/>
        <w:sz w:val="13"/>
        <w:szCs w:val="13"/>
      </w:rPr>
    </w:pPr>
    <w:r w:rsidRPr="00BC77DA">
      <w:rPr>
        <w:rStyle w:val="TextColour"/>
        <w:rFonts w:asciiTheme="minorHAnsi" w:hAnsiTheme="minorHAnsi" w:cstheme="minorHAnsi"/>
        <w:b w:val="0"/>
        <w:sz w:val="13"/>
        <w:szCs w:val="13"/>
      </w:rPr>
      <w:t>Action on the land</w:t>
    </w:r>
    <w:r w:rsidRPr="00BC77DA">
      <w:rPr>
        <w:rStyle w:val="TextColour"/>
        <w:rFonts w:asciiTheme="minorHAnsi" w:hAnsiTheme="minorHAnsi" w:cstheme="minorHAnsi"/>
        <w:b w:val="0"/>
        <w:color w:val="309CC8" w:themeColor="accent1"/>
        <w:sz w:val="13"/>
        <w:szCs w:val="13"/>
      </w:rPr>
      <w:t>: Reducing emissions, conserving natural capital and improving farm profitability</w:t>
    </w:r>
    <w:r w:rsidRPr="00BC77DA">
      <w:rPr>
        <w:rFonts w:asciiTheme="minorHAnsi" w:hAnsiTheme="minorHAnsi" w:cstheme="minorHAnsi"/>
        <w:b w:val="0"/>
        <w:caps w:val="0"/>
        <w:color w:val="auto"/>
        <w:sz w:val="13"/>
        <w:szCs w:val="13"/>
      </w:rPr>
      <w:tab/>
      <w:t>Final report</w:t>
    </w:r>
    <w:r w:rsidRPr="00BC77DA">
      <w:rPr>
        <w:rFonts w:asciiTheme="minorHAnsi" w:hAnsiTheme="minorHAnsi" w:cstheme="minorHAnsi"/>
        <w:b w:val="0"/>
        <w:color w:val="auto"/>
        <w:sz w:val="13"/>
        <w:szCs w:val="13"/>
      </w:rPr>
      <w:tab/>
    </w:r>
    <w:r w:rsidRPr="00BC77DA">
      <w:rPr>
        <w:rFonts w:asciiTheme="minorHAnsi" w:hAnsiTheme="minorHAnsi" w:cstheme="minorHAnsi"/>
        <w:b w:val="0"/>
        <w:color w:val="auto"/>
        <w:sz w:val="13"/>
        <w:szCs w:val="13"/>
      </w:rPr>
      <w:fldChar w:fldCharType="begin"/>
    </w:r>
    <w:r w:rsidRPr="00BC77DA">
      <w:rPr>
        <w:rFonts w:asciiTheme="minorHAnsi" w:hAnsiTheme="minorHAnsi" w:cstheme="minorHAnsi"/>
        <w:b w:val="0"/>
        <w:color w:val="auto"/>
        <w:sz w:val="13"/>
        <w:szCs w:val="13"/>
      </w:rPr>
      <w:instrText xml:space="preserve"> PAGE   \* MERGEFORMAT </w:instrText>
    </w:r>
    <w:r w:rsidRPr="00BC77DA">
      <w:rPr>
        <w:rFonts w:asciiTheme="minorHAnsi" w:hAnsiTheme="minorHAnsi" w:cstheme="minorHAnsi"/>
        <w:b w:val="0"/>
        <w:color w:val="auto"/>
        <w:sz w:val="13"/>
        <w:szCs w:val="13"/>
      </w:rPr>
      <w:fldChar w:fldCharType="separate"/>
    </w:r>
    <w:r>
      <w:rPr>
        <w:rFonts w:asciiTheme="minorHAnsi" w:hAnsiTheme="minorHAnsi" w:cstheme="minorHAnsi"/>
        <w:b w:val="0"/>
        <w:noProof/>
        <w:color w:val="auto"/>
        <w:sz w:val="13"/>
        <w:szCs w:val="13"/>
      </w:rPr>
      <w:t>i</w:t>
    </w:r>
    <w:r w:rsidRPr="00BC77DA">
      <w:rPr>
        <w:rFonts w:asciiTheme="minorHAnsi" w:hAnsiTheme="minorHAnsi" w:cstheme="minorHAnsi"/>
        <w:b w:val="0"/>
        <w:noProof/>
        <w:color w:val="auto"/>
        <w:sz w:val="13"/>
        <w:szCs w:val="13"/>
      </w:rPr>
      <w:fldChar w:fldCharType="end"/>
    </w:r>
  </w:p>
  <w:p w14:paraId="0995AE02" w14:textId="77777777" w:rsidR="00EE6F63" w:rsidRPr="00B240C0" w:rsidRDefault="00EE6F63" w:rsidP="007F0277">
    <w:pPr>
      <w:pStyle w:val="Header"/>
      <w:tabs>
        <w:tab w:val="clear" w:pos="9360"/>
        <w:tab w:val="right" w:pos="9639"/>
      </w:tabs>
      <w:rPr>
        <w:color w:val="aut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B2CE" w14:textId="77777777" w:rsidR="00EE6F63" w:rsidRPr="00BC77DA" w:rsidRDefault="00EE6F63" w:rsidP="00D94376">
    <w:pPr>
      <w:pStyle w:val="Footereven"/>
      <w:tabs>
        <w:tab w:val="center" w:pos="4819"/>
      </w:tabs>
      <w:rPr>
        <w:rFonts w:asciiTheme="minorHAnsi" w:hAnsiTheme="minorHAnsi" w:cstheme="minorHAnsi"/>
        <w:b w:val="0"/>
        <w:color w:val="auto"/>
        <w:sz w:val="13"/>
        <w:szCs w:val="13"/>
      </w:rPr>
    </w:pPr>
    <w:r w:rsidRPr="00866270">
      <w:rPr>
        <w:rStyle w:val="TextColour"/>
        <w:rFonts w:asciiTheme="minorHAnsi" w:hAnsiTheme="minorHAnsi" w:cstheme="minorHAnsi"/>
        <w:b w:val="0"/>
        <w:sz w:val="13"/>
        <w:szCs w:val="13"/>
      </w:rPr>
      <w:t xml:space="preserve"> </w:t>
    </w:r>
    <w:r w:rsidRPr="00BC77DA">
      <w:rPr>
        <w:rFonts w:asciiTheme="minorHAnsi" w:hAnsiTheme="minorHAnsi" w:cstheme="minorHAnsi"/>
        <w:b w:val="0"/>
        <w:color w:val="auto"/>
        <w:sz w:val="13"/>
        <w:szCs w:val="13"/>
      </w:rPr>
      <w:fldChar w:fldCharType="begin"/>
    </w:r>
    <w:r w:rsidRPr="00BC77DA">
      <w:rPr>
        <w:rFonts w:asciiTheme="minorHAnsi" w:hAnsiTheme="minorHAnsi" w:cstheme="minorHAnsi"/>
        <w:b w:val="0"/>
        <w:color w:val="auto"/>
        <w:sz w:val="13"/>
        <w:szCs w:val="13"/>
      </w:rPr>
      <w:instrText xml:space="preserve"> PAGE   \* MERGEFORMAT </w:instrText>
    </w:r>
    <w:r w:rsidRPr="00BC77DA">
      <w:rPr>
        <w:rFonts w:asciiTheme="minorHAnsi" w:hAnsiTheme="minorHAnsi" w:cstheme="minorHAnsi"/>
        <w:b w:val="0"/>
        <w:color w:val="auto"/>
        <w:sz w:val="13"/>
        <w:szCs w:val="13"/>
      </w:rPr>
      <w:fldChar w:fldCharType="separate"/>
    </w:r>
    <w:r w:rsidR="00F23AB7">
      <w:rPr>
        <w:rFonts w:asciiTheme="minorHAnsi" w:hAnsiTheme="minorHAnsi" w:cstheme="minorHAnsi"/>
        <w:b w:val="0"/>
        <w:color w:val="auto"/>
        <w:sz w:val="13"/>
        <w:szCs w:val="13"/>
      </w:rPr>
      <w:t>iv</w:t>
    </w:r>
    <w:r w:rsidRPr="00BC77DA">
      <w:rPr>
        <w:rFonts w:asciiTheme="minorHAnsi" w:hAnsiTheme="minorHAnsi" w:cstheme="minorHAnsi"/>
        <w:b w:val="0"/>
        <w:color w:val="auto"/>
        <w:sz w:val="13"/>
        <w:szCs w:val="13"/>
      </w:rPr>
      <w:fldChar w:fldCharType="end"/>
    </w:r>
    <w:r>
      <w:rPr>
        <w:rFonts w:asciiTheme="minorHAnsi" w:hAnsiTheme="minorHAnsi" w:cstheme="minorHAnsi"/>
        <w:b w:val="0"/>
        <w:color w:val="auto"/>
        <w:sz w:val="13"/>
        <w:szCs w:val="13"/>
      </w:rPr>
      <w:tab/>
    </w:r>
    <w:r w:rsidRPr="00581982">
      <w:rPr>
        <w:rFonts w:asciiTheme="minorHAnsi" w:hAnsiTheme="minorHAnsi" w:cstheme="minorHAnsi"/>
        <w:color w:val="309CC8" w:themeColor="accent1"/>
        <w:sz w:val="13"/>
        <w:szCs w:val="13"/>
      </w:rPr>
      <w:fldChar w:fldCharType="begin"/>
    </w:r>
    <w:r w:rsidRPr="00581982">
      <w:rPr>
        <w:rFonts w:asciiTheme="minorHAnsi" w:hAnsiTheme="minorHAnsi" w:cstheme="minorHAnsi"/>
        <w:color w:val="309CC8" w:themeColor="accent1"/>
        <w:sz w:val="13"/>
        <w:szCs w:val="13"/>
      </w:rPr>
      <w:instrText xml:space="preserve"> STYLEREF  "CCA contents heading"  \* MERGEFORMAT </w:instrText>
    </w:r>
    <w:r w:rsidRPr="00581982">
      <w:rPr>
        <w:rFonts w:asciiTheme="minorHAnsi" w:hAnsiTheme="minorHAnsi" w:cstheme="minorHAnsi"/>
        <w:color w:val="309CC8" w:themeColor="accent1"/>
        <w:sz w:val="13"/>
        <w:szCs w:val="13"/>
      </w:rPr>
      <w:fldChar w:fldCharType="separate"/>
    </w:r>
    <w:r w:rsidR="00F23AB7">
      <w:rPr>
        <w:rFonts w:asciiTheme="minorHAnsi" w:hAnsiTheme="minorHAnsi" w:cstheme="minorHAnsi"/>
        <w:color w:val="309CC8" w:themeColor="accent1"/>
        <w:sz w:val="13"/>
        <w:szCs w:val="13"/>
      </w:rPr>
      <w:t>Contents</w:t>
    </w:r>
    <w:r w:rsidRPr="00581982">
      <w:rPr>
        <w:rFonts w:asciiTheme="minorHAnsi" w:hAnsiTheme="minorHAnsi" w:cstheme="minorHAnsi"/>
        <w:color w:val="309CC8" w:themeColor="accent1"/>
        <w:sz w:val="13"/>
        <w:szCs w:val="13"/>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AB6C8" w14:textId="77777777" w:rsidR="00EE6F63" w:rsidRPr="001017B0" w:rsidRDefault="00EE6F63" w:rsidP="00866270">
    <w:pPr>
      <w:pStyle w:val="Footer"/>
      <w:rPr>
        <w:color w:val="auto"/>
        <w:sz w:val="16"/>
        <w:szCs w:val="16"/>
      </w:rPr>
    </w:pPr>
    <w:r w:rsidRPr="001017B0">
      <w:rPr>
        <w:rStyle w:val="TextColour"/>
        <w:rFonts w:asciiTheme="minorHAnsi" w:hAnsiTheme="minorHAnsi" w:cstheme="minorHAnsi"/>
        <w:b w:val="0"/>
        <w:sz w:val="16"/>
        <w:szCs w:val="16"/>
      </w:rPr>
      <w:t>Review of the National Greenhouse and Energy REporting legislation</w:t>
    </w:r>
    <w:r w:rsidRPr="001017B0">
      <w:rPr>
        <w:rFonts w:asciiTheme="minorHAnsi" w:hAnsiTheme="minorHAnsi" w:cstheme="minorHAnsi"/>
        <w:b w:val="0"/>
        <w:caps w:val="0"/>
        <w:color w:val="auto"/>
        <w:sz w:val="16"/>
        <w:szCs w:val="16"/>
      </w:rPr>
      <w:tab/>
      <w:t>Final Report</w:t>
    </w:r>
    <w:r>
      <w:rPr>
        <w:rFonts w:asciiTheme="minorHAnsi" w:hAnsiTheme="minorHAnsi" w:cstheme="minorHAnsi"/>
        <w:b w:val="0"/>
        <w:caps w:val="0"/>
        <w:color w:val="auto"/>
        <w:sz w:val="16"/>
        <w:szCs w:val="16"/>
      </w:rPr>
      <w:tab/>
    </w:r>
    <w:r w:rsidRPr="001017B0">
      <w:rPr>
        <w:rFonts w:asciiTheme="minorHAnsi" w:hAnsiTheme="minorHAnsi" w:cstheme="minorHAnsi"/>
        <w:b w:val="0"/>
        <w:color w:val="auto"/>
        <w:sz w:val="16"/>
        <w:szCs w:val="16"/>
      </w:rPr>
      <w:tab/>
    </w:r>
    <w:r w:rsidRPr="001017B0">
      <w:rPr>
        <w:rFonts w:asciiTheme="minorHAnsi" w:hAnsiTheme="minorHAnsi" w:cstheme="minorHAnsi"/>
        <w:b w:val="0"/>
        <w:color w:val="auto"/>
        <w:sz w:val="16"/>
        <w:szCs w:val="16"/>
      </w:rPr>
      <w:fldChar w:fldCharType="begin"/>
    </w:r>
    <w:r w:rsidRPr="00BC77DA">
      <w:rPr>
        <w:rFonts w:asciiTheme="minorHAnsi" w:hAnsiTheme="minorHAnsi" w:cstheme="minorHAnsi"/>
        <w:b w:val="0"/>
        <w:color w:val="auto"/>
        <w:sz w:val="13"/>
        <w:szCs w:val="13"/>
      </w:rPr>
      <w:instrText xml:space="preserve"> PAGE   \* MERGEFORMAT </w:instrText>
    </w:r>
    <w:r w:rsidRPr="001017B0">
      <w:rPr>
        <w:rFonts w:asciiTheme="minorHAnsi" w:hAnsiTheme="minorHAnsi" w:cstheme="minorHAnsi"/>
        <w:b w:val="0"/>
        <w:color w:val="auto"/>
        <w:sz w:val="16"/>
        <w:szCs w:val="16"/>
      </w:rPr>
      <w:fldChar w:fldCharType="separate"/>
    </w:r>
    <w:r w:rsidR="00F23AB7">
      <w:rPr>
        <w:rFonts w:asciiTheme="minorHAnsi" w:hAnsiTheme="minorHAnsi" w:cstheme="minorHAnsi"/>
        <w:b w:val="0"/>
        <w:noProof/>
        <w:color w:val="auto"/>
        <w:sz w:val="13"/>
        <w:szCs w:val="13"/>
      </w:rPr>
      <w:t>iii</w:t>
    </w:r>
    <w:r w:rsidRPr="001017B0">
      <w:rPr>
        <w:rFonts w:asciiTheme="minorHAnsi" w:hAnsiTheme="minorHAnsi" w:cstheme="minorHAnsi"/>
        <w:b w:val="0"/>
        <w:color w:val="auto"/>
        <w:sz w:val="16"/>
        <w:szCs w:val="16"/>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90188" w14:textId="034687F9" w:rsidR="00EE6F63" w:rsidRPr="00BC77DA" w:rsidRDefault="00F23AB7" w:rsidP="007F0277">
    <w:pPr>
      <w:pStyle w:val="Footer"/>
      <w:rPr>
        <w:rFonts w:asciiTheme="minorHAnsi" w:hAnsiTheme="minorHAnsi" w:cstheme="minorHAnsi"/>
        <w:b w:val="0"/>
        <w:color w:val="auto"/>
        <w:sz w:val="13"/>
        <w:szCs w:val="13"/>
      </w:rPr>
    </w:pPr>
    <w:r>
      <w:rPr>
        <w:rFonts w:asciiTheme="minorHAnsi" w:hAnsiTheme="minorHAnsi" w:cstheme="minorHAnsi"/>
        <w:b w:val="0"/>
        <w:noProof/>
        <w:sz w:val="13"/>
        <w:szCs w:val="13"/>
        <w:lang w:eastAsia="en-AU"/>
      </w:rPr>
      <mc:AlternateContent>
        <mc:Choice Requires="wps">
          <w:drawing>
            <wp:anchor distT="0" distB="0" distL="114300" distR="114300" simplePos="0" relativeHeight="251660800" behindDoc="1" locked="0" layoutInCell="0" allowOverlap="1" wp14:anchorId="4F1E067C" wp14:editId="7812C618">
              <wp:simplePos x="0" y="0"/>
              <wp:positionH relativeFrom="margin">
                <wp:align>center</wp:align>
              </wp:positionH>
              <wp:positionV relativeFrom="margin">
                <wp:align>center</wp:align>
              </wp:positionV>
              <wp:extent cx="6163945" cy="2465070"/>
              <wp:effectExtent l="0" t="1666875" r="0" b="135445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EF5D1F" w14:textId="77777777" w:rsidR="00F23AB7" w:rsidRDefault="00F23AB7" w:rsidP="00F23AB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1E067C" id="_x0000_t202" coordsize="21600,21600" o:spt="202" path="m,l,21600r21600,l21600,xe">
              <v:stroke joinstyle="miter"/>
              <v:path gradientshapeok="t" o:connecttype="rect"/>
            </v:shapetype>
            <v:shape id="WordArt 3" o:spid="_x0000_s1027" type="#_x0000_t202" style="position:absolute;left:0;text-align:left;margin-left:0;margin-top:0;width:485.35pt;height:194.1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" o:allowincell="f" filled="f" stroked="f">
              <v:stroke joinstyle="round"/>
              <o:lock v:ext="edit" shapetype="t"/>
              <v:textbox style="mso-fit-shape-to-text:t">
                <w:txbxContent>
                  <w:p w14:paraId="1AEF5D1F" w14:textId="77777777" w:rsidR="00F23AB7" w:rsidRDefault="00F23AB7" w:rsidP="00F23AB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E6F63" w:rsidRPr="00BC77DA">
      <w:rPr>
        <w:rStyle w:val="TextColour"/>
        <w:rFonts w:asciiTheme="minorHAnsi" w:hAnsiTheme="minorHAnsi" w:cstheme="minorHAnsi"/>
        <w:b w:val="0"/>
        <w:sz w:val="13"/>
        <w:szCs w:val="13"/>
      </w:rPr>
      <w:t>Action on the land</w:t>
    </w:r>
    <w:r w:rsidR="00EE6F63" w:rsidRPr="00BC77DA">
      <w:rPr>
        <w:rStyle w:val="TextColour"/>
        <w:rFonts w:asciiTheme="minorHAnsi" w:hAnsiTheme="minorHAnsi" w:cstheme="minorHAnsi"/>
        <w:b w:val="0"/>
        <w:color w:val="309CC8" w:themeColor="accent1"/>
        <w:sz w:val="13"/>
        <w:szCs w:val="13"/>
      </w:rPr>
      <w:t>: Reducing emissions, conserving natural capital and improving farm profitability</w:t>
    </w:r>
    <w:r w:rsidR="00EE6F63" w:rsidRPr="00BC77DA">
      <w:rPr>
        <w:rFonts w:asciiTheme="minorHAnsi" w:hAnsiTheme="minorHAnsi" w:cstheme="minorHAnsi"/>
        <w:b w:val="0"/>
        <w:caps w:val="0"/>
        <w:color w:val="auto"/>
        <w:sz w:val="13"/>
        <w:szCs w:val="13"/>
      </w:rPr>
      <w:tab/>
      <w:t>Final report</w:t>
    </w:r>
    <w:r w:rsidR="00EE6F63" w:rsidRPr="00BC77DA">
      <w:rPr>
        <w:rFonts w:asciiTheme="minorHAnsi" w:hAnsiTheme="minorHAnsi" w:cstheme="minorHAnsi"/>
        <w:b w:val="0"/>
        <w:color w:val="auto"/>
        <w:sz w:val="13"/>
        <w:szCs w:val="13"/>
      </w:rPr>
      <w:tab/>
    </w:r>
    <w:r w:rsidR="00EE6F63" w:rsidRPr="00BC77DA">
      <w:rPr>
        <w:rFonts w:asciiTheme="minorHAnsi" w:hAnsiTheme="minorHAnsi" w:cstheme="minorHAnsi"/>
        <w:b w:val="0"/>
        <w:color w:val="auto"/>
        <w:sz w:val="13"/>
        <w:szCs w:val="13"/>
      </w:rPr>
      <w:fldChar w:fldCharType="begin"/>
    </w:r>
    <w:r w:rsidR="00EE6F63" w:rsidRPr="00BC77DA">
      <w:rPr>
        <w:rFonts w:asciiTheme="minorHAnsi" w:hAnsiTheme="minorHAnsi" w:cstheme="minorHAnsi"/>
        <w:b w:val="0"/>
        <w:color w:val="auto"/>
        <w:sz w:val="13"/>
        <w:szCs w:val="13"/>
      </w:rPr>
      <w:instrText xml:space="preserve"> PAGE   \* MERGEFORMAT </w:instrText>
    </w:r>
    <w:r w:rsidR="00EE6F63" w:rsidRPr="00BC77DA">
      <w:rPr>
        <w:rFonts w:asciiTheme="minorHAnsi" w:hAnsiTheme="minorHAnsi" w:cstheme="minorHAnsi"/>
        <w:b w:val="0"/>
        <w:color w:val="auto"/>
        <w:sz w:val="13"/>
        <w:szCs w:val="13"/>
      </w:rPr>
      <w:fldChar w:fldCharType="separate"/>
    </w:r>
    <w:r w:rsidR="00EE6F63">
      <w:rPr>
        <w:rFonts w:asciiTheme="minorHAnsi" w:hAnsiTheme="minorHAnsi" w:cstheme="minorHAnsi"/>
        <w:b w:val="0"/>
        <w:noProof/>
        <w:color w:val="auto"/>
        <w:sz w:val="13"/>
        <w:szCs w:val="13"/>
      </w:rPr>
      <w:t>0</w:t>
    </w:r>
    <w:r w:rsidR="00EE6F63" w:rsidRPr="00BC77DA">
      <w:rPr>
        <w:rFonts w:asciiTheme="minorHAnsi" w:hAnsiTheme="minorHAnsi" w:cstheme="minorHAnsi"/>
        <w:b w:val="0"/>
        <w:noProof/>
        <w:color w:val="auto"/>
        <w:sz w:val="13"/>
        <w:szCs w:val="13"/>
      </w:rPr>
      <w:fldChar w:fldCharType="end"/>
    </w:r>
  </w:p>
  <w:p w14:paraId="3E1C9C97" w14:textId="77777777" w:rsidR="00EE6F63" w:rsidRPr="00B240C0" w:rsidRDefault="00EE6F63" w:rsidP="007F0277">
    <w:pPr>
      <w:pStyle w:val="Header"/>
      <w:tabs>
        <w:tab w:val="clear" w:pos="9360"/>
        <w:tab w:val="right" w:pos="9639"/>
      </w:tabs>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39700" w14:textId="77777777" w:rsidR="00EE6F63" w:rsidRPr="001017B0" w:rsidRDefault="00EE6F63" w:rsidP="008227B5">
    <w:pPr>
      <w:pStyle w:val="Footereven"/>
      <w:rPr>
        <w:rFonts w:asciiTheme="minorHAnsi" w:hAnsiTheme="minorHAnsi" w:cstheme="minorHAnsi"/>
        <w:b w:val="0"/>
        <w:color w:val="auto"/>
        <w:sz w:val="16"/>
        <w:szCs w:val="16"/>
      </w:rPr>
    </w:pPr>
    <w:r w:rsidRPr="001017B0">
      <w:rPr>
        <w:rStyle w:val="Textbold"/>
        <w:rFonts w:asciiTheme="minorHAnsi" w:hAnsiTheme="minorHAnsi" w:cstheme="minorHAnsi"/>
        <w:b/>
        <w:color w:val="auto"/>
        <w:sz w:val="16"/>
        <w:szCs w:val="16"/>
      </w:rPr>
      <w:fldChar w:fldCharType="begin"/>
    </w:r>
    <w:r w:rsidRPr="001017B0">
      <w:rPr>
        <w:rStyle w:val="Textbold"/>
        <w:rFonts w:asciiTheme="minorHAnsi" w:hAnsiTheme="minorHAnsi" w:cstheme="minorHAnsi"/>
        <w:b/>
        <w:color w:val="auto"/>
        <w:sz w:val="16"/>
        <w:szCs w:val="16"/>
      </w:rPr>
      <w:instrText xml:space="preserve"> PAGE   \* MERGEFORMAT </w:instrText>
    </w:r>
    <w:r w:rsidRPr="001017B0">
      <w:rPr>
        <w:rStyle w:val="Textbold"/>
        <w:rFonts w:asciiTheme="minorHAnsi" w:hAnsiTheme="minorHAnsi" w:cstheme="minorHAnsi"/>
        <w:b/>
        <w:color w:val="auto"/>
        <w:sz w:val="16"/>
        <w:szCs w:val="16"/>
      </w:rPr>
      <w:fldChar w:fldCharType="separate"/>
    </w:r>
    <w:r w:rsidR="00F23AB7">
      <w:rPr>
        <w:rStyle w:val="Textbold"/>
        <w:rFonts w:asciiTheme="minorHAnsi" w:hAnsiTheme="minorHAnsi" w:cstheme="minorHAnsi"/>
        <w:b/>
        <w:color w:val="auto"/>
        <w:sz w:val="16"/>
        <w:szCs w:val="16"/>
      </w:rPr>
      <w:t>6</w:t>
    </w:r>
    <w:r w:rsidRPr="001017B0">
      <w:rPr>
        <w:rStyle w:val="Textbold"/>
        <w:rFonts w:asciiTheme="minorHAnsi" w:hAnsiTheme="minorHAnsi" w:cstheme="minorHAnsi"/>
        <w:b/>
        <w:color w:val="auto"/>
        <w:sz w:val="16"/>
        <w:szCs w:val="16"/>
      </w:rPr>
      <w:fldChar w:fldCharType="end"/>
    </w:r>
    <w:r w:rsidRPr="001017B0">
      <w:rPr>
        <w:rStyle w:val="Textbold"/>
        <w:rFonts w:asciiTheme="minorHAnsi" w:hAnsiTheme="minorHAnsi" w:cstheme="minorHAnsi"/>
        <w:b/>
        <w:color w:val="auto"/>
        <w:sz w:val="16"/>
        <w:szCs w:val="16"/>
      </w:rPr>
      <w:t xml:space="preserve"> </w:t>
    </w:r>
    <w:r w:rsidRPr="001017B0">
      <w:rPr>
        <w:rStyle w:val="Textbold"/>
        <w:rFonts w:asciiTheme="minorHAnsi" w:hAnsiTheme="minorHAnsi" w:cstheme="minorHAnsi"/>
        <w:b/>
        <w:color w:val="auto"/>
        <w:sz w:val="16"/>
        <w:szCs w:val="16"/>
      </w:rPr>
      <w:tab/>
    </w:r>
    <w:r w:rsidRPr="001017B0">
      <w:rPr>
        <w:rStyle w:val="Textbold"/>
        <w:rFonts w:asciiTheme="minorHAnsi" w:hAnsiTheme="minorHAnsi" w:cstheme="minorHAnsi"/>
        <w:color w:val="309CC8" w:themeColor="accent1"/>
        <w:sz w:val="16"/>
        <w:szCs w:val="16"/>
      </w:rPr>
      <w:t>CHair’s Foreword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E864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E427C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90C0B1C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47766E7"/>
    <w:multiLevelType w:val="hybridMultilevel"/>
    <w:tmpl w:val="2AB2798C"/>
    <w:lvl w:ilvl="0" w:tplc="5DDE7216">
      <w:start w:val="1"/>
      <w:numFmt w:val="decimal"/>
      <w:pStyle w:val="Appendixtableheader"/>
      <w:lvlText w:val="Table A%1"/>
      <w:lvlJc w:val="left"/>
      <w:pPr>
        <w:ind w:left="360" w:hanging="360"/>
      </w:pPr>
      <w:rPr>
        <w:rFonts w:ascii="Arial Bold" w:hAnsi="Arial Bold" w:hint="default"/>
        <w:b/>
        <w:i w:val="0"/>
        <w:caps/>
        <w:strike w:val="0"/>
        <w:dstrike w:val="0"/>
        <w:vanish w:val="0"/>
        <w:color w:val="309CC8" w:themeColor="accent1"/>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AB0640"/>
    <w:multiLevelType w:val="hybridMultilevel"/>
    <w:tmpl w:val="04404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67765"/>
    <w:multiLevelType w:val="multilevel"/>
    <w:tmpl w:val="E8D621D4"/>
    <w:styleLink w:val="AppendixHeadingmaster"/>
    <w:lvl w:ilvl="0">
      <w:start w:val="1"/>
      <w:numFmt w:val="upperLetter"/>
      <w:lvlText w:val="Appendix %1"/>
      <w:lvlJc w:val="left"/>
      <w:pPr>
        <w:ind w:left="360" w:hanging="360"/>
      </w:pPr>
      <w:rPr>
        <w:rFonts w:ascii="Arial" w:hAnsi="Arial" w:hint="default"/>
        <w:color w:val="0C9FCD"/>
        <w:sz w:val="40"/>
      </w:rPr>
    </w:lvl>
    <w:lvl w:ilvl="1">
      <w:start w:val="1"/>
      <w:numFmt w:val="decimal"/>
      <w:lvlText w:val="Appendix %1.%2"/>
      <w:lvlJc w:val="left"/>
      <w:pPr>
        <w:ind w:left="357" w:hanging="357"/>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8169CE"/>
    <w:multiLevelType w:val="hybridMultilevel"/>
    <w:tmpl w:val="629C7D2C"/>
    <w:lvl w:ilvl="0" w:tplc="8384FF52">
      <w:start w:val="1"/>
      <w:numFmt w:val="decimal"/>
      <w:pStyle w:val="CCARecommendation"/>
      <w:lvlText w:val="R.%1"/>
      <w:lvlJc w:val="left"/>
      <w:pPr>
        <w:ind w:left="360" w:hanging="360"/>
      </w:pPr>
      <w:rPr>
        <w:rFonts w:ascii="Arial Bold" w:hAnsi="Arial Bold" w:hint="default"/>
        <w:b/>
        <w:i w:val="0"/>
        <w:caps w:val="0"/>
        <w:color w:val="309CC8"/>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013D11"/>
    <w:multiLevelType w:val="hybridMultilevel"/>
    <w:tmpl w:val="F5F20ECC"/>
    <w:lvl w:ilvl="0" w:tplc="F2DA1F62">
      <w:start w:val="1"/>
      <w:numFmt w:val="decimal"/>
      <w:pStyle w:val="AppendixBtable"/>
      <w:lvlText w:val="Table B%1"/>
      <w:lvlJc w:val="left"/>
      <w:pPr>
        <w:ind w:left="720" w:hanging="360"/>
      </w:pPr>
      <w:rPr>
        <w:rFonts w:ascii="Arial Bold" w:hAnsi="Arial Bold" w:hint="default"/>
        <w:b/>
        <w:i w:val="0"/>
        <w:caps/>
        <w:strike w:val="0"/>
        <w:dstrike w:val="0"/>
        <w:vanish w:val="0"/>
        <w:color w:val="309CC8" w:themeColor="accent1"/>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850AB6"/>
    <w:multiLevelType w:val="multilevel"/>
    <w:tmpl w:val="3A681F1C"/>
    <w:lvl w:ilvl="0">
      <w:start w:val="1"/>
      <w:numFmt w:val="bullet"/>
      <w:lvlText w:val=""/>
      <w:lvlJc w:val="left"/>
      <w:pPr>
        <w:ind w:left="340" w:hanging="340"/>
      </w:pPr>
      <w:rPr>
        <w:rFonts w:ascii="Symbol" w:hAnsi="Symbol" w:hint="default"/>
        <w:color w:val="309CC8" w:themeColor="accent3"/>
        <w:sz w:val="18"/>
      </w:rPr>
    </w:lvl>
    <w:lvl w:ilvl="1">
      <w:start w:val="1"/>
      <w:numFmt w:val="bullet"/>
      <w:lvlText w:val=""/>
      <w:lvlJc w:val="left"/>
      <w:pPr>
        <w:ind w:left="510" w:hanging="340"/>
      </w:pPr>
      <w:rPr>
        <w:rFonts w:ascii="Symbol" w:hAnsi="Symbol" w:hint="default"/>
        <w:color w:val="0C9FCD"/>
      </w:rPr>
    </w:lvl>
    <w:lvl w:ilvl="2">
      <w:start w:val="1"/>
      <w:numFmt w:val="bullet"/>
      <w:lvlText w:val=""/>
      <w:lvlJc w:val="left"/>
      <w:pPr>
        <w:ind w:left="851" w:hanging="341"/>
      </w:pPr>
      <w:rPr>
        <w:rFonts w:ascii="Symbol" w:hAnsi="Symbol" w:hint="default"/>
        <w:color w:val="0C9FCD"/>
      </w:rPr>
    </w:lvl>
    <w:lvl w:ilvl="3">
      <w:start w:val="1"/>
      <w:numFmt w:val="bullet"/>
      <w:lvlText w:val=""/>
      <w:lvlJc w:val="left"/>
      <w:pPr>
        <w:ind w:left="1531" w:hanging="340"/>
      </w:pPr>
      <w:rPr>
        <w:rFonts w:ascii="Symbol" w:hAnsi="Symbol" w:hint="default"/>
      </w:rPr>
    </w:lvl>
    <w:lvl w:ilvl="4">
      <w:start w:val="1"/>
      <w:numFmt w:val="bullet"/>
      <w:lvlText w:val="o"/>
      <w:lvlJc w:val="left"/>
      <w:pPr>
        <w:ind w:left="2892" w:hanging="340"/>
      </w:pPr>
      <w:rPr>
        <w:rFonts w:ascii="Courier New" w:hAnsi="Courier New" w:hint="default"/>
      </w:rPr>
    </w:lvl>
    <w:lvl w:ilvl="5">
      <w:start w:val="1"/>
      <w:numFmt w:val="bullet"/>
      <w:lvlText w:val=""/>
      <w:lvlJc w:val="left"/>
      <w:pPr>
        <w:ind w:left="4150" w:hanging="360"/>
      </w:pPr>
      <w:rPr>
        <w:rFonts w:ascii="Wingdings" w:hAnsi="Wingdings" w:hint="default"/>
      </w:rPr>
    </w:lvl>
    <w:lvl w:ilvl="6">
      <w:start w:val="1"/>
      <w:numFmt w:val="bullet"/>
      <w:lvlText w:val=""/>
      <w:lvlJc w:val="left"/>
      <w:pPr>
        <w:ind w:left="4870" w:hanging="360"/>
      </w:pPr>
      <w:rPr>
        <w:rFonts w:ascii="Symbol" w:hAnsi="Symbol" w:hint="default"/>
      </w:rPr>
    </w:lvl>
    <w:lvl w:ilvl="7">
      <w:start w:val="1"/>
      <w:numFmt w:val="bullet"/>
      <w:lvlText w:val="o"/>
      <w:lvlJc w:val="left"/>
      <w:pPr>
        <w:ind w:left="5590" w:hanging="360"/>
      </w:pPr>
      <w:rPr>
        <w:rFonts w:ascii="Courier New" w:hAnsi="Courier New" w:cs="Courier New" w:hint="default"/>
      </w:rPr>
    </w:lvl>
    <w:lvl w:ilvl="8">
      <w:start w:val="1"/>
      <w:numFmt w:val="bullet"/>
      <w:lvlText w:val=""/>
      <w:lvlJc w:val="left"/>
      <w:pPr>
        <w:ind w:left="6310" w:hanging="360"/>
      </w:pPr>
      <w:rPr>
        <w:rFonts w:ascii="Wingdings" w:hAnsi="Wingdings" w:hint="default"/>
      </w:rPr>
    </w:lvl>
  </w:abstractNum>
  <w:abstractNum w:abstractNumId="9" w15:restartNumberingAfterBreak="0">
    <w:nsid w:val="1508119D"/>
    <w:multiLevelType w:val="multilevel"/>
    <w:tmpl w:val="DBC8059E"/>
    <w:lvl w:ilvl="0">
      <w:start w:val="1"/>
      <w:numFmt w:val="bullet"/>
      <w:lvlText w:val=""/>
      <w:lvlJc w:val="left"/>
      <w:pPr>
        <w:ind w:left="369" w:hanging="369"/>
      </w:pPr>
      <w:rPr>
        <w:rFonts w:ascii="Symbol" w:hAnsi="Symbol" w:hint="default"/>
        <w:color w:val="159DCE"/>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15:restartNumberingAfterBreak="0">
    <w:nsid w:val="15476DF0"/>
    <w:multiLevelType w:val="multilevel"/>
    <w:tmpl w:val="3BEA0C4A"/>
    <w:styleLink w:val="ListQuestionsMaster"/>
    <w:lvl w:ilvl="0">
      <w:start w:val="1"/>
      <w:numFmt w:val="decimal"/>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158B3B7F"/>
    <w:multiLevelType w:val="multilevel"/>
    <w:tmpl w:val="90E405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A753D77"/>
    <w:multiLevelType w:val="multilevel"/>
    <w:tmpl w:val="B3403CCA"/>
    <w:styleLink w:val="Headingsmaster"/>
    <w:lvl w:ilvl="0">
      <w:start w:val="1"/>
      <w:numFmt w:val="decimal"/>
      <w:lvlText w:val="%1."/>
      <w:lvlJc w:val="left"/>
      <w:pPr>
        <w:tabs>
          <w:tab w:val="num" w:pos="2268"/>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E15FA5"/>
    <w:multiLevelType w:val="hybridMultilevel"/>
    <w:tmpl w:val="5F305390"/>
    <w:lvl w:ilvl="0" w:tplc="4AF2B5AC">
      <w:start w:val="1"/>
      <w:numFmt w:val="decimal"/>
      <w:pStyle w:val="CCABoxheading"/>
      <w:lvlText w:val="Box %1"/>
      <w:lvlJc w:val="left"/>
      <w:pPr>
        <w:ind w:left="360" w:hanging="360"/>
      </w:pPr>
      <w:rPr>
        <w:rFonts w:ascii="Arial Bold" w:hAnsi="Arial Bold" w:hint="default"/>
        <w:b/>
        <w:i w:val="0"/>
        <w:caps/>
        <w:sz w:val="22"/>
      </w:rPr>
    </w:lvl>
    <w:lvl w:ilvl="1" w:tplc="635057D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BA5DCB"/>
    <w:multiLevelType w:val="hybridMultilevel"/>
    <w:tmpl w:val="61649040"/>
    <w:lvl w:ilvl="0" w:tplc="4926B76A">
      <w:start w:val="1"/>
      <w:numFmt w:val="decimal"/>
      <w:pStyle w:val="CCATableheader"/>
      <w:lvlText w:val="Table %1"/>
      <w:lvlJc w:val="left"/>
      <w:pPr>
        <w:ind w:left="360" w:hanging="360"/>
      </w:pPr>
      <w:rPr>
        <w:rFonts w:hint="default"/>
        <w:b/>
        <w:i w:val="0"/>
        <w:caps/>
        <w:strike w:val="0"/>
        <w:dstrike w:val="0"/>
        <w:vanish w:val="0"/>
        <w:vertAlign w:val="baseline"/>
      </w:r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15" w15:restartNumberingAfterBreak="0">
    <w:nsid w:val="1F082FEE"/>
    <w:multiLevelType w:val="multilevel"/>
    <w:tmpl w:val="904AEB3A"/>
    <w:styleLink w:val="TableListNumbermaster"/>
    <w:lvl w:ilvl="0">
      <w:start w:val="1"/>
      <w:numFmt w:val="decimal"/>
      <w:lvlText w:val="%1."/>
      <w:lvlJc w:val="left"/>
      <w:pPr>
        <w:ind w:left="360" w:hanging="360"/>
      </w:pPr>
      <w:rPr>
        <w:rFonts w:hint="default"/>
        <w:color w:val="0C9FCD"/>
      </w:rPr>
    </w:lvl>
    <w:lvl w:ilvl="1">
      <w:start w:val="1"/>
      <w:numFmt w:val="lowerLetter"/>
      <w:lvlText w:val="%2."/>
      <w:lvlJc w:val="left"/>
      <w:pPr>
        <w:ind w:left="720" w:hanging="360"/>
      </w:pPr>
      <w:rPr>
        <w:rFonts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BD5FA1"/>
    <w:multiLevelType w:val="singleLevel"/>
    <w:tmpl w:val="4FD64D20"/>
    <w:lvl w:ilvl="0">
      <w:start w:val="1"/>
      <w:numFmt w:val="decimal"/>
      <w:pStyle w:val="ListNumber3"/>
      <w:lvlText w:val="%1."/>
      <w:lvlJc w:val="left"/>
      <w:pPr>
        <w:ind w:left="530" w:hanging="360"/>
      </w:pPr>
      <w:rPr>
        <w:rFonts w:hint="default"/>
        <w:color w:val="E07A3F"/>
        <w:sz w:val="20"/>
      </w:rPr>
    </w:lvl>
  </w:abstractNum>
  <w:abstractNum w:abstractNumId="17" w15:restartNumberingAfterBreak="0">
    <w:nsid w:val="261700FE"/>
    <w:multiLevelType w:val="hybridMultilevel"/>
    <w:tmpl w:val="E79E2F08"/>
    <w:lvl w:ilvl="0" w:tplc="09961CE6">
      <w:start w:val="1"/>
      <w:numFmt w:val="bullet"/>
      <w:lvlText w:val="-"/>
      <w:lvlJc w:val="left"/>
      <w:pPr>
        <w:ind w:left="700" w:hanging="360"/>
      </w:pPr>
      <w:rPr>
        <w:rFonts w:ascii="Arial" w:hAnsi="Arial" w:hint="default"/>
        <w:color w:val="309CC8" w:themeColor="accent1"/>
      </w:rPr>
    </w:lvl>
    <w:lvl w:ilvl="1" w:tplc="FFFFFFFF">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8" w15:restartNumberingAfterBreak="0">
    <w:nsid w:val="2755161D"/>
    <w:multiLevelType w:val="hybridMultilevel"/>
    <w:tmpl w:val="D25E21AC"/>
    <w:lvl w:ilvl="0" w:tplc="BCACBF3E">
      <w:start w:val="1"/>
      <w:numFmt w:val="decimal"/>
      <w:pStyle w:val="Chapter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A653F2"/>
    <w:multiLevelType w:val="hybridMultilevel"/>
    <w:tmpl w:val="049C57C6"/>
    <w:lvl w:ilvl="0" w:tplc="67FEF68C">
      <w:start w:val="5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7A7984"/>
    <w:multiLevelType w:val="multilevel"/>
    <w:tmpl w:val="129E85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9EF5D9C"/>
    <w:multiLevelType w:val="hybridMultilevel"/>
    <w:tmpl w:val="D4E2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B2337A"/>
    <w:multiLevelType w:val="hybridMultilevel"/>
    <w:tmpl w:val="1A0CA9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2D9328E2"/>
    <w:multiLevelType w:val="multilevel"/>
    <w:tmpl w:val="28F46D40"/>
    <w:styleLink w:val="ListNumbermaster"/>
    <w:lvl w:ilvl="0">
      <w:start w:val="1"/>
      <w:numFmt w:val="decimal"/>
      <w:lvlText w:val="%1."/>
      <w:lvlJc w:val="left"/>
      <w:pPr>
        <w:ind w:left="360" w:hanging="360"/>
      </w:pPr>
      <w:rPr>
        <w:rFonts w:ascii="Arial" w:hAnsi="Arial" w:hint="default"/>
        <w:color w:val="0C9FCD"/>
        <w:sz w:val="20"/>
      </w:rPr>
    </w:lvl>
    <w:lvl w:ilvl="1">
      <w:start w:val="1"/>
      <w:numFmt w:val="lowerLetter"/>
      <w:lvlText w:val="%2."/>
      <w:lvlJc w:val="left"/>
      <w:pPr>
        <w:ind w:left="720" w:hanging="360"/>
      </w:pPr>
      <w:rPr>
        <w:rFonts w:ascii="Arial" w:hAnsi="Arial" w:hint="default"/>
        <w:color w:val="0C9FCD"/>
        <w:sz w:val="20"/>
      </w:rPr>
    </w:lvl>
    <w:lvl w:ilvl="2">
      <w:start w:val="1"/>
      <w:numFmt w:val="lowerRoman"/>
      <w:lvlText w:val="%3."/>
      <w:lvlJc w:val="left"/>
      <w:pPr>
        <w:ind w:left="1080" w:hanging="360"/>
      </w:pPr>
      <w:rPr>
        <w:rFonts w:ascii="Arial" w:hAnsi="Arial" w:hint="default"/>
        <w:color w:val="F5821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C85F56"/>
    <w:multiLevelType w:val="hybridMultilevel"/>
    <w:tmpl w:val="C786F9DA"/>
    <w:lvl w:ilvl="0" w:tplc="0C090001">
      <w:start w:val="1"/>
      <w:numFmt w:val="bullet"/>
      <w:pStyle w:val="ListNumber"/>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8149AD"/>
    <w:multiLevelType w:val="multilevel"/>
    <w:tmpl w:val="5A36530E"/>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6" w15:restartNumberingAfterBreak="0">
    <w:nsid w:val="3A9F22E9"/>
    <w:multiLevelType w:val="hybridMultilevel"/>
    <w:tmpl w:val="B8D2C1CC"/>
    <w:lvl w:ilvl="0" w:tplc="531CF438">
      <w:start w:val="1"/>
      <w:numFmt w:val="decimal"/>
      <w:pStyle w:val="Reviewconclusion"/>
      <w:lvlText w:val="C.%1"/>
      <w:lvlJc w:val="left"/>
      <w:pPr>
        <w:ind w:left="1353" w:hanging="360"/>
      </w:pPr>
      <w:rPr>
        <w:rFonts w:ascii="Arial Bold" w:hAnsi="Arial Bold" w:hint="default"/>
        <w:b/>
        <w:i w:val="0"/>
        <w:caps w:val="0"/>
        <w:color w:val="309CC8"/>
        <w:sz w:val="22"/>
      </w:rPr>
    </w:lvl>
    <w:lvl w:ilvl="1" w:tplc="0C090019" w:tentative="1">
      <w:start w:val="1"/>
      <w:numFmt w:val="lowerLetter"/>
      <w:lvlText w:val="%2."/>
      <w:lvlJc w:val="left"/>
      <w:pPr>
        <w:ind w:left="3142" w:hanging="360"/>
      </w:pPr>
    </w:lvl>
    <w:lvl w:ilvl="2" w:tplc="0C09001B">
      <w:start w:val="1"/>
      <w:numFmt w:val="lowerRoman"/>
      <w:lvlText w:val="%3."/>
      <w:lvlJc w:val="right"/>
      <w:pPr>
        <w:ind w:left="3862" w:hanging="180"/>
      </w:pPr>
    </w:lvl>
    <w:lvl w:ilvl="3" w:tplc="0C09000F" w:tentative="1">
      <w:start w:val="1"/>
      <w:numFmt w:val="decimal"/>
      <w:lvlText w:val="%4."/>
      <w:lvlJc w:val="left"/>
      <w:pPr>
        <w:ind w:left="4582" w:hanging="360"/>
      </w:pPr>
    </w:lvl>
    <w:lvl w:ilvl="4" w:tplc="0C090019" w:tentative="1">
      <w:start w:val="1"/>
      <w:numFmt w:val="lowerLetter"/>
      <w:lvlText w:val="%5."/>
      <w:lvlJc w:val="left"/>
      <w:pPr>
        <w:ind w:left="5302" w:hanging="360"/>
      </w:pPr>
    </w:lvl>
    <w:lvl w:ilvl="5" w:tplc="0C09001B" w:tentative="1">
      <w:start w:val="1"/>
      <w:numFmt w:val="lowerRoman"/>
      <w:lvlText w:val="%6."/>
      <w:lvlJc w:val="right"/>
      <w:pPr>
        <w:ind w:left="6022" w:hanging="180"/>
      </w:pPr>
    </w:lvl>
    <w:lvl w:ilvl="6" w:tplc="0C09000F" w:tentative="1">
      <w:start w:val="1"/>
      <w:numFmt w:val="decimal"/>
      <w:lvlText w:val="%7."/>
      <w:lvlJc w:val="left"/>
      <w:pPr>
        <w:ind w:left="6742" w:hanging="360"/>
      </w:pPr>
    </w:lvl>
    <w:lvl w:ilvl="7" w:tplc="0C090019" w:tentative="1">
      <w:start w:val="1"/>
      <w:numFmt w:val="lowerLetter"/>
      <w:lvlText w:val="%8."/>
      <w:lvlJc w:val="left"/>
      <w:pPr>
        <w:ind w:left="7462" w:hanging="360"/>
      </w:pPr>
    </w:lvl>
    <w:lvl w:ilvl="8" w:tplc="0C09001B" w:tentative="1">
      <w:start w:val="1"/>
      <w:numFmt w:val="lowerRoman"/>
      <w:lvlText w:val="%9."/>
      <w:lvlJc w:val="right"/>
      <w:pPr>
        <w:ind w:left="8182" w:hanging="180"/>
      </w:pPr>
    </w:lvl>
  </w:abstractNum>
  <w:abstractNum w:abstractNumId="27" w15:restartNumberingAfterBreak="0">
    <w:nsid w:val="3DF9467D"/>
    <w:multiLevelType w:val="hybridMultilevel"/>
    <w:tmpl w:val="B4547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6C7537"/>
    <w:multiLevelType w:val="multilevel"/>
    <w:tmpl w:val="061261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2672A7F"/>
    <w:multiLevelType w:val="hybridMultilevel"/>
    <w:tmpl w:val="D3F28F46"/>
    <w:lvl w:ilvl="0" w:tplc="CA56BEF2">
      <w:start w:val="1"/>
      <w:numFmt w:val="lowerLetter"/>
      <w:pStyle w:val="ListNumber2"/>
      <w:lvlText w:val="%1."/>
      <w:lvlJc w:val="left"/>
      <w:pPr>
        <w:ind w:left="700" w:hanging="360"/>
      </w:pPr>
      <w:rPr>
        <w:rFonts w:hint="default"/>
        <w:color w:val="309CC8" w:themeColor="accent3"/>
        <w:sz w:val="18"/>
        <w:szCs w:val="18"/>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30" w15:restartNumberingAfterBreak="0">
    <w:nsid w:val="435D0D18"/>
    <w:multiLevelType w:val="hybridMultilevel"/>
    <w:tmpl w:val="63DED47E"/>
    <w:name w:val="SBC122"/>
    <w:lvl w:ilvl="0" w:tplc="39D6568A">
      <w:start w:val="1"/>
      <w:numFmt w:val="decimal"/>
      <w:lvlText w:val="Box %1."/>
      <w:lvlJc w:val="left"/>
      <w:pPr>
        <w:ind w:left="720" w:hanging="360"/>
      </w:pPr>
      <w:rPr>
        <w:rFonts w:hint="default"/>
        <w:cap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6C40212"/>
    <w:multiLevelType w:val="multilevel"/>
    <w:tmpl w:val="B9E4068C"/>
    <w:numStyleLink w:val="ListBulletmaster"/>
  </w:abstractNum>
  <w:abstractNum w:abstractNumId="32" w15:restartNumberingAfterBreak="0">
    <w:nsid w:val="49CD03C5"/>
    <w:multiLevelType w:val="hybridMultilevel"/>
    <w:tmpl w:val="0CCA27EA"/>
    <w:lvl w:ilvl="0" w:tplc="877633EA">
      <w:start w:val="1"/>
      <w:numFmt w:val="decimal"/>
      <w:pStyle w:val="ChapterHeading1"/>
      <w:lvlText w:val="Chapter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AB58F2"/>
    <w:multiLevelType w:val="hybridMultilevel"/>
    <w:tmpl w:val="5D166F3C"/>
    <w:lvl w:ilvl="0" w:tplc="DFE6F62E">
      <w:start w:val="1"/>
      <w:numFmt w:val="decimal"/>
      <w:pStyle w:val="CCAFigureHeader"/>
      <w:lvlText w:val="Figure %1"/>
      <w:lvlJc w:val="left"/>
      <w:pPr>
        <w:ind w:left="360" w:hanging="360"/>
      </w:pPr>
      <w:rPr>
        <w:rFonts w:ascii="Arial Bold" w:hAnsi="Arial Bold" w:hint="default"/>
        <w:b/>
        <w:i w:val="0"/>
        <w:caps/>
        <w:strike w:val="0"/>
        <w:dstrike w:val="0"/>
        <w:vanish w:val="0"/>
        <w:color w:val="309CC8"/>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F00951"/>
    <w:multiLevelType w:val="multilevel"/>
    <w:tmpl w:val="3F700F6A"/>
    <w:name w:val="SBC1"/>
    <w:lvl w:ilvl="0">
      <w:start w:val="1"/>
      <w:numFmt w:val="decimal"/>
      <w:lvlText w:val="Chapter %1:"/>
      <w:lvlJc w:val="left"/>
      <w:pPr>
        <w:ind w:left="360" w:hanging="360"/>
      </w:pPr>
      <w:rPr>
        <w:rFonts w:ascii="Arial Bold" w:hAnsi="Arial Bold" w:hint="default"/>
        <w:b/>
        <w:i w:val="0"/>
        <w:caps/>
        <w:color w:val="159DCE"/>
        <w:sz w:val="34"/>
      </w:rPr>
    </w:lvl>
    <w:lvl w:ilvl="1">
      <w:start w:val="1"/>
      <w:numFmt w:val="decimal"/>
      <w:lvlText w:val="%1.%2."/>
      <w:lvlJc w:val="left"/>
      <w:pPr>
        <w:ind w:left="794" w:hanging="794"/>
      </w:pPr>
      <w:rPr>
        <w:rFonts w:ascii="Arial Bold" w:hAnsi="Arial Bold" w:hint="default"/>
        <w:b/>
        <w:bCs w:val="0"/>
        <w:i w:val="0"/>
        <w:iCs w:val="0"/>
        <w:caps w:val="0"/>
        <w:smallCaps w:val="0"/>
        <w:strike w:val="0"/>
        <w:dstrike w:val="0"/>
        <w:noProof w:val="0"/>
        <w:vanish w:val="0"/>
        <w:color w:val="159DCE"/>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1224"/>
      </w:pPr>
      <w:rPr>
        <w:rFonts w:ascii="Arial" w:hAnsi="Arial" w:hint="default"/>
        <w:b w:val="0"/>
        <w:i w:val="0"/>
        <w:color w:val="159DCE"/>
        <w:sz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6C1756"/>
    <w:multiLevelType w:val="hybridMultilevel"/>
    <w:tmpl w:val="E84A0E92"/>
    <w:lvl w:ilvl="0" w:tplc="7CEAB7FC">
      <w:start w:val="1"/>
      <w:numFmt w:val="decimal"/>
      <w:pStyle w:val="Conclusion"/>
      <w:lvlText w:val="C.%1."/>
      <w:lvlJc w:val="left"/>
      <w:pPr>
        <w:ind w:left="360" w:hanging="360"/>
      </w:pPr>
      <w:rPr>
        <w:rFonts w:hint="default"/>
      </w:rPr>
    </w:lvl>
    <w:lvl w:ilvl="1" w:tplc="32206B24" w:tentative="1">
      <w:start w:val="1"/>
      <w:numFmt w:val="lowerLetter"/>
      <w:lvlText w:val="%2."/>
      <w:lvlJc w:val="left"/>
      <w:pPr>
        <w:ind w:left="1440" w:hanging="360"/>
      </w:pPr>
    </w:lvl>
    <w:lvl w:ilvl="2" w:tplc="C4849E58" w:tentative="1">
      <w:start w:val="1"/>
      <w:numFmt w:val="lowerRoman"/>
      <w:lvlText w:val="%3."/>
      <w:lvlJc w:val="right"/>
      <w:pPr>
        <w:ind w:left="2160" w:hanging="180"/>
      </w:pPr>
    </w:lvl>
    <w:lvl w:ilvl="3" w:tplc="0BDAF5EC" w:tentative="1">
      <w:start w:val="1"/>
      <w:numFmt w:val="decimal"/>
      <w:lvlText w:val="%4."/>
      <w:lvlJc w:val="left"/>
      <w:pPr>
        <w:ind w:left="2880" w:hanging="360"/>
      </w:pPr>
    </w:lvl>
    <w:lvl w:ilvl="4" w:tplc="FC7005B4" w:tentative="1">
      <w:start w:val="1"/>
      <w:numFmt w:val="lowerLetter"/>
      <w:lvlText w:val="%5."/>
      <w:lvlJc w:val="left"/>
      <w:pPr>
        <w:ind w:left="3600" w:hanging="360"/>
      </w:pPr>
    </w:lvl>
    <w:lvl w:ilvl="5" w:tplc="210AC97C" w:tentative="1">
      <w:start w:val="1"/>
      <w:numFmt w:val="lowerRoman"/>
      <w:lvlText w:val="%6."/>
      <w:lvlJc w:val="right"/>
      <w:pPr>
        <w:ind w:left="4320" w:hanging="180"/>
      </w:pPr>
    </w:lvl>
    <w:lvl w:ilvl="6" w:tplc="4B3EE2EE" w:tentative="1">
      <w:start w:val="1"/>
      <w:numFmt w:val="decimal"/>
      <w:lvlText w:val="%7."/>
      <w:lvlJc w:val="left"/>
      <w:pPr>
        <w:ind w:left="5040" w:hanging="360"/>
      </w:pPr>
    </w:lvl>
    <w:lvl w:ilvl="7" w:tplc="66D69B38" w:tentative="1">
      <w:start w:val="1"/>
      <w:numFmt w:val="lowerLetter"/>
      <w:lvlText w:val="%8."/>
      <w:lvlJc w:val="left"/>
      <w:pPr>
        <w:ind w:left="5760" w:hanging="360"/>
      </w:pPr>
    </w:lvl>
    <w:lvl w:ilvl="8" w:tplc="18248AB8" w:tentative="1">
      <w:start w:val="1"/>
      <w:numFmt w:val="lowerRoman"/>
      <w:lvlText w:val="%9."/>
      <w:lvlJc w:val="right"/>
      <w:pPr>
        <w:ind w:left="6480" w:hanging="180"/>
      </w:pPr>
    </w:lvl>
  </w:abstractNum>
  <w:abstractNum w:abstractNumId="36" w15:restartNumberingAfterBreak="0">
    <w:nsid w:val="541E3CB2"/>
    <w:multiLevelType w:val="multilevel"/>
    <w:tmpl w:val="B3403CCA"/>
    <w:numStyleLink w:val="Headingsmaster"/>
  </w:abstractNum>
  <w:abstractNum w:abstractNumId="37" w15:restartNumberingAfterBreak="0">
    <w:nsid w:val="5729072E"/>
    <w:multiLevelType w:val="multilevel"/>
    <w:tmpl w:val="B3D0BA9A"/>
    <w:styleLink w:val="KeyPoints"/>
    <w:lvl w:ilvl="0">
      <w:start w:val="3"/>
      <w:numFmt w:val="decimal"/>
      <w:suff w:val="space"/>
      <w:lvlText w:val="Figure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7A51FC2"/>
    <w:multiLevelType w:val="multilevel"/>
    <w:tmpl w:val="AA4479C8"/>
    <w:styleLink w:val="TableListBulletmaster"/>
    <w:lvl w:ilvl="0">
      <w:start w:val="1"/>
      <w:numFmt w:val="bullet"/>
      <w:lvlText w:val=""/>
      <w:lvlJc w:val="left"/>
      <w:pPr>
        <w:ind w:left="340" w:hanging="283"/>
      </w:pPr>
      <w:rPr>
        <w:rFonts w:ascii="Symbol" w:hAnsi="Symbol" w:hint="default"/>
        <w:color w:val="0C9FCD"/>
      </w:rPr>
    </w:lvl>
    <w:lvl w:ilvl="1">
      <w:start w:val="1"/>
      <w:numFmt w:val="bullet"/>
      <w:lvlText w:val=""/>
      <w:lvlJc w:val="left"/>
      <w:pPr>
        <w:ind w:left="567" w:hanging="227"/>
      </w:pPr>
      <w:rPr>
        <w:rFonts w:ascii="Symbol" w:hAnsi="Symbol"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89D5000"/>
    <w:multiLevelType w:val="hybridMultilevel"/>
    <w:tmpl w:val="48E4CCA4"/>
    <w:lvl w:ilvl="0" w:tplc="5ED0EC44">
      <w:start w:val="1"/>
      <w:numFmt w:val="upperLetter"/>
      <w:pStyle w:val="CCAAppendixHeading"/>
      <w:lvlText w:val="Appendix %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A64672C"/>
    <w:multiLevelType w:val="multilevel"/>
    <w:tmpl w:val="671029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F7018F6"/>
    <w:multiLevelType w:val="hybridMultilevel"/>
    <w:tmpl w:val="98A20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367287A"/>
    <w:multiLevelType w:val="multilevel"/>
    <w:tmpl w:val="63BA69C6"/>
    <w:lvl w:ilvl="0">
      <w:start w:val="1"/>
      <w:numFmt w:val="decimal"/>
      <w:pStyle w:val="CCAHeading1"/>
      <w:lvlText w:val="%1"/>
      <w:lvlJc w:val="left"/>
      <w:pPr>
        <w:ind w:left="432" w:hanging="432"/>
      </w:pPr>
      <w:rPr>
        <w:rFonts w:hint="default"/>
      </w:rPr>
    </w:lvl>
    <w:lvl w:ilvl="1">
      <w:start w:val="1"/>
      <w:numFmt w:val="decimal"/>
      <w:pStyle w:val="CCAHeading2"/>
      <w:lvlText w:val="%1.%2"/>
      <w:lvlJc w:val="left"/>
      <w:pPr>
        <w:ind w:left="576" w:hanging="576"/>
      </w:pPr>
      <w:rPr>
        <w:rFonts w:hint="default"/>
      </w:rPr>
    </w:lvl>
    <w:lvl w:ilvl="2">
      <w:start w:val="1"/>
      <w:numFmt w:val="decimal"/>
      <w:pStyle w:val="CCA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48E6CBA"/>
    <w:multiLevelType w:val="multilevel"/>
    <w:tmpl w:val="B9E4068C"/>
    <w:styleLink w:val="ListBulletmaster"/>
    <w:lvl w:ilvl="0">
      <w:start w:val="1"/>
      <w:numFmt w:val="bullet"/>
      <w:lvlText w:val=""/>
      <w:lvlJc w:val="left"/>
      <w:pPr>
        <w:ind w:left="530" w:hanging="360"/>
      </w:pPr>
      <w:rPr>
        <w:rFonts w:ascii="Symbol" w:hAnsi="Symbol" w:hint="default"/>
        <w:color w:val="309CC8" w:themeColor="accent3"/>
        <w:sz w:val="18"/>
      </w:rPr>
    </w:lvl>
    <w:lvl w:ilvl="1">
      <w:start w:val="1"/>
      <w:numFmt w:val="bullet"/>
      <w:lvlText w:val=""/>
      <w:lvlJc w:val="left"/>
      <w:pPr>
        <w:ind w:left="714" w:hanging="357"/>
      </w:pPr>
      <w:rPr>
        <w:rFonts w:ascii="Symbol" w:hAnsi="Symbol" w:hint="default"/>
        <w:color w:val="0C9FCD"/>
      </w:rPr>
    </w:lvl>
    <w:lvl w:ilvl="2">
      <w:start w:val="1"/>
      <w:numFmt w:val="bullet"/>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FB2ED5"/>
    <w:multiLevelType w:val="multilevel"/>
    <w:tmpl w:val="A8AE8EB6"/>
    <w:name w:val="SBC12"/>
    <w:lvl w:ilvl="0">
      <w:start w:val="1"/>
      <w:numFmt w:val="decimal"/>
      <w:pStyle w:val="Headingnumberedbox"/>
      <w:lvlText w:val="Box %1"/>
      <w:lvlJc w:val="left"/>
      <w:pPr>
        <w:ind w:left="360" w:hanging="360"/>
      </w:pPr>
      <w:rPr>
        <w:rFonts w:ascii="Arial Bold" w:hAnsi="Arial Bold" w:hint="default"/>
        <w:b/>
        <w:i w:val="0"/>
        <w:caps/>
        <w:color w:val="309CC8" w:themeColor="accent2"/>
        <w:sz w:val="22"/>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701"/>
        </w:tabs>
        <w:ind w:left="1701" w:hanging="170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5261C92"/>
    <w:multiLevelType w:val="multilevel"/>
    <w:tmpl w:val="3A681F1C"/>
    <w:lvl w:ilvl="0">
      <w:start w:val="1"/>
      <w:numFmt w:val="bullet"/>
      <w:pStyle w:val="ListBullet"/>
      <w:lvlText w:val=""/>
      <w:lvlJc w:val="left"/>
      <w:pPr>
        <w:ind w:left="340" w:hanging="340"/>
      </w:pPr>
      <w:rPr>
        <w:rFonts w:ascii="Symbol" w:hAnsi="Symbol" w:hint="default"/>
        <w:color w:val="309CC8" w:themeColor="accent3"/>
        <w:sz w:val="18"/>
      </w:rPr>
    </w:lvl>
    <w:lvl w:ilvl="1">
      <w:start w:val="1"/>
      <w:numFmt w:val="bullet"/>
      <w:lvlText w:val=""/>
      <w:lvlJc w:val="left"/>
      <w:pPr>
        <w:ind w:left="510" w:hanging="340"/>
      </w:pPr>
      <w:rPr>
        <w:rFonts w:ascii="Symbol" w:hAnsi="Symbol" w:hint="default"/>
        <w:color w:val="0C9FCD"/>
      </w:rPr>
    </w:lvl>
    <w:lvl w:ilvl="2">
      <w:start w:val="1"/>
      <w:numFmt w:val="bullet"/>
      <w:lvlText w:val=""/>
      <w:lvlJc w:val="left"/>
      <w:pPr>
        <w:ind w:left="851" w:hanging="341"/>
      </w:pPr>
      <w:rPr>
        <w:rFonts w:ascii="Symbol" w:hAnsi="Symbol" w:hint="default"/>
        <w:color w:val="0C9FCD"/>
      </w:rPr>
    </w:lvl>
    <w:lvl w:ilvl="3">
      <w:start w:val="1"/>
      <w:numFmt w:val="bullet"/>
      <w:pStyle w:val="ListBullet4"/>
      <w:lvlText w:val=""/>
      <w:lvlJc w:val="left"/>
      <w:pPr>
        <w:ind w:left="1531" w:hanging="340"/>
      </w:pPr>
      <w:rPr>
        <w:rFonts w:ascii="Symbol" w:hAnsi="Symbol" w:hint="default"/>
      </w:rPr>
    </w:lvl>
    <w:lvl w:ilvl="4">
      <w:start w:val="1"/>
      <w:numFmt w:val="bullet"/>
      <w:lvlText w:val="o"/>
      <w:lvlJc w:val="left"/>
      <w:pPr>
        <w:ind w:left="2892" w:hanging="340"/>
      </w:pPr>
      <w:rPr>
        <w:rFonts w:ascii="Courier New" w:hAnsi="Courier New" w:hint="default"/>
      </w:rPr>
    </w:lvl>
    <w:lvl w:ilvl="5">
      <w:start w:val="1"/>
      <w:numFmt w:val="bullet"/>
      <w:lvlText w:val=""/>
      <w:lvlJc w:val="left"/>
      <w:pPr>
        <w:ind w:left="4150" w:hanging="360"/>
      </w:pPr>
      <w:rPr>
        <w:rFonts w:ascii="Wingdings" w:hAnsi="Wingdings" w:hint="default"/>
      </w:rPr>
    </w:lvl>
    <w:lvl w:ilvl="6">
      <w:start w:val="1"/>
      <w:numFmt w:val="bullet"/>
      <w:lvlText w:val=""/>
      <w:lvlJc w:val="left"/>
      <w:pPr>
        <w:ind w:left="4870" w:hanging="360"/>
      </w:pPr>
      <w:rPr>
        <w:rFonts w:ascii="Symbol" w:hAnsi="Symbol" w:hint="default"/>
      </w:rPr>
    </w:lvl>
    <w:lvl w:ilvl="7">
      <w:start w:val="1"/>
      <w:numFmt w:val="bullet"/>
      <w:lvlText w:val="o"/>
      <w:lvlJc w:val="left"/>
      <w:pPr>
        <w:ind w:left="5590" w:hanging="360"/>
      </w:pPr>
      <w:rPr>
        <w:rFonts w:ascii="Courier New" w:hAnsi="Courier New" w:cs="Courier New" w:hint="default"/>
      </w:rPr>
    </w:lvl>
    <w:lvl w:ilvl="8">
      <w:start w:val="1"/>
      <w:numFmt w:val="bullet"/>
      <w:lvlText w:val=""/>
      <w:lvlJc w:val="left"/>
      <w:pPr>
        <w:ind w:left="6310" w:hanging="360"/>
      </w:pPr>
      <w:rPr>
        <w:rFonts w:ascii="Wingdings" w:hAnsi="Wingdings" w:hint="default"/>
      </w:rPr>
    </w:lvl>
  </w:abstractNum>
  <w:abstractNum w:abstractNumId="47" w15:restartNumberingAfterBreak="0">
    <w:nsid w:val="67074D32"/>
    <w:multiLevelType w:val="hybridMultilevel"/>
    <w:tmpl w:val="970C3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CE224B"/>
    <w:multiLevelType w:val="hybridMultilevel"/>
    <w:tmpl w:val="B428E86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9" w15:restartNumberingAfterBreak="0">
    <w:nsid w:val="6A1D2829"/>
    <w:multiLevelType w:val="multilevel"/>
    <w:tmpl w:val="5F2CB6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6C6B1EB2"/>
    <w:multiLevelType w:val="hybridMultilevel"/>
    <w:tmpl w:val="B6D81738"/>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51" w15:restartNumberingAfterBreak="0">
    <w:nsid w:val="723413C5"/>
    <w:multiLevelType w:val="multilevel"/>
    <w:tmpl w:val="8266E9DA"/>
    <w:styleLink w:val="ListRecommendationsMaster"/>
    <w:lvl w:ilvl="0">
      <w:start w:val="1"/>
      <w:numFmt w:val="decimal"/>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52" w15:restartNumberingAfterBreak="0">
    <w:nsid w:val="76E8631E"/>
    <w:multiLevelType w:val="multilevel"/>
    <w:tmpl w:val="26167960"/>
    <w:styleLink w:val="ChapterHeadingsmaster"/>
    <w:lvl w:ilvl="0">
      <w:start w:val="1"/>
      <w:numFmt w:val="decimal"/>
      <w:pStyle w:val="ListQuestions"/>
      <w:suff w:val="space"/>
      <w:lvlText w:val="Q.%1."/>
      <w:lvlJc w:val="left"/>
      <w:pPr>
        <w:ind w:left="714" w:hanging="714"/>
      </w:pPr>
      <w:rPr>
        <w:rFonts w:hint="default"/>
        <w:b w:val="0"/>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53" w15:restartNumberingAfterBreak="0">
    <w:nsid w:val="780A5E00"/>
    <w:multiLevelType w:val="hybridMultilevel"/>
    <w:tmpl w:val="CAE43DE4"/>
    <w:lvl w:ilvl="0" w:tplc="B5A4DC50">
      <w:start w:val="1"/>
      <w:numFmt w:val="decimal"/>
      <w:lvlText w:val="TABLE %1."/>
      <w:lvlJc w:val="left"/>
      <w:pPr>
        <w:ind w:left="862"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54" w15:restartNumberingAfterBreak="0">
    <w:nsid w:val="79C708F0"/>
    <w:multiLevelType w:val="multilevel"/>
    <w:tmpl w:val="B9E4068C"/>
    <w:numStyleLink w:val="ListBulletmaster"/>
  </w:abstractNum>
  <w:num w:numId="1">
    <w:abstractNumId w:val="44"/>
  </w:num>
  <w:num w:numId="2">
    <w:abstractNumId w:val="23"/>
  </w:num>
  <w:num w:numId="3">
    <w:abstractNumId w:val="38"/>
  </w:num>
  <w:num w:numId="4">
    <w:abstractNumId w:val="15"/>
  </w:num>
  <w:num w:numId="5">
    <w:abstractNumId w:val="5"/>
  </w:num>
  <w:num w:numId="6">
    <w:abstractNumId w:val="12"/>
  </w:num>
  <w:num w:numId="7">
    <w:abstractNumId w:val="16"/>
  </w:num>
  <w:num w:numId="8">
    <w:abstractNumId w:val="51"/>
  </w:num>
  <w:num w:numId="9">
    <w:abstractNumId w:val="10"/>
  </w:num>
  <w:num w:numId="10">
    <w:abstractNumId w:val="52"/>
  </w:num>
  <w:num w:numId="11">
    <w:abstractNumId w:val="42"/>
  </w:num>
  <w:num w:numId="12">
    <w:abstractNumId w:val="35"/>
  </w:num>
  <w:num w:numId="13">
    <w:abstractNumId w:val="29"/>
  </w:num>
  <w:num w:numId="14">
    <w:abstractNumId w:val="17"/>
  </w:num>
  <w:num w:numId="15">
    <w:abstractNumId w:val="2"/>
  </w:num>
  <w:num w:numId="16">
    <w:abstractNumId w:val="1"/>
  </w:num>
  <w:num w:numId="17">
    <w:abstractNumId w:val="0"/>
  </w:num>
  <w:num w:numId="18">
    <w:abstractNumId w:val="32"/>
  </w:num>
  <w:num w:numId="19">
    <w:abstractNumId w:val="18"/>
  </w:num>
  <w:num w:numId="20">
    <w:abstractNumId w:val="45"/>
  </w:num>
  <w:num w:numId="21">
    <w:abstractNumId w:val="3"/>
  </w:num>
  <w:num w:numId="22">
    <w:abstractNumId w:val="7"/>
  </w:num>
  <w:num w:numId="23">
    <w:abstractNumId w:val="6"/>
  </w:num>
  <w:num w:numId="24">
    <w:abstractNumId w:val="26"/>
  </w:num>
  <w:num w:numId="25">
    <w:abstractNumId w:val="33"/>
  </w:num>
  <w:num w:numId="26">
    <w:abstractNumId w:val="13"/>
  </w:num>
  <w:num w:numId="27">
    <w:abstractNumId w:val="28"/>
  </w:num>
  <w:num w:numId="28">
    <w:abstractNumId w:val="20"/>
  </w:num>
  <w:num w:numId="29">
    <w:abstractNumId w:val="9"/>
  </w:num>
  <w:num w:numId="30">
    <w:abstractNumId w:val="46"/>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24"/>
  </w:num>
  <w:num w:numId="34">
    <w:abstractNumId w:val="39"/>
  </w:num>
  <w:num w:numId="35">
    <w:abstractNumId w:val="37"/>
  </w:num>
  <w:num w:numId="36">
    <w:abstractNumId w:val="20"/>
  </w:num>
  <w:num w:numId="37">
    <w:abstractNumId w:val="46"/>
  </w:num>
  <w:num w:numId="38">
    <w:abstractNumId w:val="46"/>
  </w:num>
  <w:num w:numId="39">
    <w:abstractNumId w:val="53"/>
  </w:num>
  <w:num w:numId="40">
    <w:abstractNumId w:val="53"/>
  </w:num>
  <w:num w:numId="41">
    <w:abstractNumId w:val="53"/>
  </w:num>
  <w:num w:numId="42">
    <w:abstractNumId w:val="4"/>
  </w:num>
  <w:num w:numId="43">
    <w:abstractNumId w:val="14"/>
  </w:num>
  <w:num w:numId="44">
    <w:abstractNumId w:val="8"/>
  </w:num>
  <w:num w:numId="45">
    <w:abstractNumId w:val="50"/>
  </w:num>
  <w:num w:numId="46">
    <w:abstractNumId w:val="20"/>
  </w:num>
  <w:num w:numId="47">
    <w:abstractNumId w:val="20"/>
  </w:num>
  <w:num w:numId="48">
    <w:abstractNumId w:val="20"/>
  </w:num>
  <w:num w:numId="49">
    <w:abstractNumId w:val="20"/>
  </w:num>
  <w:num w:numId="50">
    <w:abstractNumId w:val="27"/>
  </w:num>
  <w:num w:numId="51">
    <w:abstractNumId w:val="21"/>
  </w:num>
  <w:num w:numId="52">
    <w:abstractNumId w:val="48"/>
  </w:num>
  <w:num w:numId="53">
    <w:abstractNumId w:val="36"/>
  </w:num>
  <w:num w:numId="54">
    <w:abstractNumId w:val="28"/>
  </w:num>
  <w:num w:numId="55">
    <w:abstractNumId w:val="47"/>
  </w:num>
  <w:num w:numId="56">
    <w:abstractNumId w:val="25"/>
  </w:num>
  <w:num w:numId="57">
    <w:abstractNumId w:val="41"/>
  </w:num>
  <w:num w:numId="58">
    <w:abstractNumId w:val="40"/>
  </w:num>
  <w:num w:numId="59">
    <w:abstractNumId w:val="22"/>
  </w:num>
  <w:num w:numId="60">
    <w:abstractNumId w:val="43"/>
  </w:num>
  <w:num w:numId="61">
    <w:abstractNumId w:val="11"/>
  </w:num>
  <w:num w:numId="62">
    <w:abstractNumId w:val="49"/>
  </w:num>
  <w:num w:numId="63">
    <w:abstractNumId w:val="31"/>
  </w:num>
  <w:num w:numId="64">
    <w:abstractNumId w:val="46"/>
  </w:num>
  <w:num w:numId="65">
    <w:abstractNumId w:val="46"/>
  </w:num>
  <w:num w:numId="66">
    <w:abstractNumId w:val="46"/>
  </w:num>
  <w:num w:numId="67">
    <w:abstractNumId w:val="46"/>
  </w:num>
  <w:num w:numId="68">
    <w:abstractNumId w:val="19"/>
  </w:num>
  <w:num w:numId="69">
    <w:abstractNumId w:val="46"/>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3"/>
  </w:num>
  <w:num w:numId="72">
    <w:abstractNumId w:val="43"/>
  </w:num>
  <w:num w:numId="73">
    <w:abstractNumId w:val="43"/>
  </w:num>
  <w:num w:numId="74">
    <w:abstractNumId w:val="43"/>
  </w:num>
  <w:num w:numId="75">
    <w:abstractNumId w:val="54"/>
  </w:num>
  <w:num w:numId="76">
    <w:abstractNumId w:val="46"/>
  </w:num>
  <w:num w:numId="77">
    <w:abstractNumId w:val="46"/>
  </w:num>
  <w:num w:numId="78">
    <w:abstractNumId w:val="46"/>
  </w:num>
  <w:num w:numId="79">
    <w:abstractNumId w:val="46"/>
  </w:num>
  <w:num w:numId="80">
    <w:abstractNumId w:val="46"/>
  </w:num>
  <w:num w:numId="81">
    <w:abstractNumId w:val="46"/>
  </w:num>
  <w:num w:numId="82">
    <w:abstractNumId w:val="46"/>
  </w:num>
  <w:num w:numId="83">
    <w:abstractNumId w:val="46"/>
  </w:num>
  <w:num w:numId="84">
    <w:abstractNumId w:val="46"/>
  </w:num>
  <w:num w:numId="85">
    <w:abstractNumId w:val="4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54"/>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1D"/>
    <w:rsid w:val="0000012D"/>
    <w:rsid w:val="000003A5"/>
    <w:rsid w:val="00000B21"/>
    <w:rsid w:val="00000C75"/>
    <w:rsid w:val="00000F74"/>
    <w:rsid w:val="00001211"/>
    <w:rsid w:val="00001842"/>
    <w:rsid w:val="00001AD6"/>
    <w:rsid w:val="00001D91"/>
    <w:rsid w:val="00002219"/>
    <w:rsid w:val="00002762"/>
    <w:rsid w:val="00002813"/>
    <w:rsid w:val="00002ADB"/>
    <w:rsid w:val="00002C44"/>
    <w:rsid w:val="00002ED6"/>
    <w:rsid w:val="000030CC"/>
    <w:rsid w:val="000030ED"/>
    <w:rsid w:val="000035DC"/>
    <w:rsid w:val="00003CBC"/>
    <w:rsid w:val="000040AB"/>
    <w:rsid w:val="00004573"/>
    <w:rsid w:val="000045D1"/>
    <w:rsid w:val="000045FB"/>
    <w:rsid w:val="00004672"/>
    <w:rsid w:val="000048C7"/>
    <w:rsid w:val="00005671"/>
    <w:rsid w:val="00005986"/>
    <w:rsid w:val="00005C67"/>
    <w:rsid w:val="00005E1C"/>
    <w:rsid w:val="00005F10"/>
    <w:rsid w:val="0000601B"/>
    <w:rsid w:val="0000608E"/>
    <w:rsid w:val="0000616A"/>
    <w:rsid w:val="00006310"/>
    <w:rsid w:val="0000695D"/>
    <w:rsid w:val="00006D11"/>
    <w:rsid w:val="00006E3B"/>
    <w:rsid w:val="000101D4"/>
    <w:rsid w:val="000101F0"/>
    <w:rsid w:val="0001055A"/>
    <w:rsid w:val="00010A79"/>
    <w:rsid w:val="00010EE0"/>
    <w:rsid w:val="000111D8"/>
    <w:rsid w:val="00011743"/>
    <w:rsid w:val="000117FE"/>
    <w:rsid w:val="00011B4E"/>
    <w:rsid w:val="00011F33"/>
    <w:rsid w:val="00011FE3"/>
    <w:rsid w:val="00012202"/>
    <w:rsid w:val="00012A98"/>
    <w:rsid w:val="00012C89"/>
    <w:rsid w:val="00012DFD"/>
    <w:rsid w:val="000131D1"/>
    <w:rsid w:val="0001388B"/>
    <w:rsid w:val="00013B16"/>
    <w:rsid w:val="00014028"/>
    <w:rsid w:val="000141B2"/>
    <w:rsid w:val="000144B0"/>
    <w:rsid w:val="00014602"/>
    <w:rsid w:val="000148F2"/>
    <w:rsid w:val="00015194"/>
    <w:rsid w:val="00015C80"/>
    <w:rsid w:val="00016129"/>
    <w:rsid w:val="00016858"/>
    <w:rsid w:val="00016AA6"/>
    <w:rsid w:val="00016F29"/>
    <w:rsid w:val="00017741"/>
    <w:rsid w:val="000178EB"/>
    <w:rsid w:val="00017CEA"/>
    <w:rsid w:val="00017D5E"/>
    <w:rsid w:val="000207FE"/>
    <w:rsid w:val="00020944"/>
    <w:rsid w:val="000209A3"/>
    <w:rsid w:val="00020A8C"/>
    <w:rsid w:val="00020E6D"/>
    <w:rsid w:val="00021143"/>
    <w:rsid w:val="0002169D"/>
    <w:rsid w:val="0002188F"/>
    <w:rsid w:val="000218B9"/>
    <w:rsid w:val="00021A9E"/>
    <w:rsid w:val="00021CA7"/>
    <w:rsid w:val="00021F48"/>
    <w:rsid w:val="00021F69"/>
    <w:rsid w:val="00022098"/>
    <w:rsid w:val="000229F6"/>
    <w:rsid w:val="00023014"/>
    <w:rsid w:val="0002312F"/>
    <w:rsid w:val="00023245"/>
    <w:rsid w:val="000232CB"/>
    <w:rsid w:val="0002343A"/>
    <w:rsid w:val="000238BE"/>
    <w:rsid w:val="000239EF"/>
    <w:rsid w:val="000242D4"/>
    <w:rsid w:val="0002472F"/>
    <w:rsid w:val="00024DF7"/>
    <w:rsid w:val="00025059"/>
    <w:rsid w:val="00025615"/>
    <w:rsid w:val="000256CE"/>
    <w:rsid w:val="00025C2F"/>
    <w:rsid w:val="00025CBF"/>
    <w:rsid w:val="00025FEE"/>
    <w:rsid w:val="00026007"/>
    <w:rsid w:val="00026187"/>
    <w:rsid w:val="000262E6"/>
    <w:rsid w:val="0002642C"/>
    <w:rsid w:val="00026744"/>
    <w:rsid w:val="00026B0A"/>
    <w:rsid w:val="00026C71"/>
    <w:rsid w:val="00027190"/>
    <w:rsid w:val="0002776A"/>
    <w:rsid w:val="00030615"/>
    <w:rsid w:val="00030756"/>
    <w:rsid w:val="000308A7"/>
    <w:rsid w:val="0003093C"/>
    <w:rsid w:val="00030A1A"/>
    <w:rsid w:val="00030DBA"/>
    <w:rsid w:val="0003167C"/>
    <w:rsid w:val="0003168F"/>
    <w:rsid w:val="0003173F"/>
    <w:rsid w:val="000318C1"/>
    <w:rsid w:val="00031B86"/>
    <w:rsid w:val="00031CE2"/>
    <w:rsid w:val="00032029"/>
    <w:rsid w:val="000322AA"/>
    <w:rsid w:val="00032367"/>
    <w:rsid w:val="0003268C"/>
    <w:rsid w:val="00032C30"/>
    <w:rsid w:val="00032C7D"/>
    <w:rsid w:val="00032ED9"/>
    <w:rsid w:val="00033390"/>
    <w:rsid w:val="000333BD"/>
    <w:rsid w:val="00033B5C"/>
    <w:rsid w:val="00033C09"/>
    <w:rsid w:val="00033D58"/>
    <w:rsid w:val="00033F2F"/>
    <w:rsid w:val="00034896"/>
    <w:rsid w:val="00034BAD"/>
    <w:rsid w:val="00034BE6"/>
    <w:rsid w:val="00034C7C"/>
    <w:rsid w:val="00034CB6"/>
    <w:rsid w:val="00034E45"/>
    <w:rsid w:val="00035091"/>
    <w:rsid w:val="0003515F"/>
    <w:rsid w:val="00035222"/>
    <w:rsid w:val="000357EF"/>
    <w:rsid w:val="000359FF"/>
    <w:rsid w:val="00035B7E"/>
    <w:rsid w:val="00035EA6"/>
    <w:rsid w:val="000360E2"/>
    <w:rsid w:val="00036197"/>
    <w:rsid w:val="00036221"/>
    <w:rsid w:val="000369ED"/>
    <w:rsid w:val="00036B90"/>
    <w:rsid w:val="00036FE3"/>
    <w:rsid w:val="000371DB"/>
    <w:rsid w:val="00037316"/>
    <w:rsid w:val="0003742C"/>
    <w:rsid w:val="00037473"/>
    <w:rsid w:val="00037652"/>
    <w:rsid w:val="0003785A"/>
    <w:rsid w:val="00037DC0"/>
    <w:rsid w:val="0004095A"/>
    <w:rsid w:val="00040AE2"/>
    <w:rsid w:val="000410DA"/>
    <w:rsid w:val="00041362"/>
    <w:rsid w:val="00041493"/>
    <w:rsid w:val="00041C23"/>
    <w:rsid w:val="00042132"/>
    <w:rsid w:val="00042663"/>
    <w:rsid w:val="000427B4"/>
    <w:rsid w:val="00042B41"/>
    <w:rsid w:val="00042B7B"/>
    <w:rsid w:val="00043021"/>
    <w:rsid w:val="00043055"/>
    <w:rsid w:val="0004317D"/>
    <w:rsid w:val="00043370"/>
    <w:rsid w:val="00043457"/>
    <w:rsid w:val="0004379B"/>
    <w:rsid w:val="00043FE7"/>
    <w:rsid w:val="00044529"/>
    <w:rsid w:val="00044CC0"/>
    <w:rsid w:val="00044D18"/>
    <w:rsid w:val="00044D5B"/>
    <w:rsid w:val="0004502E"/>
    <w:rsid w:val="0004514F"/>
    <w:rsid w:val="0004523C"/>
    <w:rsid w:val="0004549A"/>
    <w:rsid w:val="0004556F"/>
    <w:rsid w:val="0004587D"/>
    <w:rsid w:val="00045D40"/>
    <w:rsid w:val="00046600"/>
    <w:rsid w:val="00046BC6"/>
    <w:rsid w:val="00047407"/>
    <w:rsid w:val="00047905"/>
    <w:rsid w:val="00047B5C"/>
    <w:rsid w:val="00047D43"/>
    <w:rsid w:val="00050356"/>
    <w:rsid w:val="00050850"/>
    <w:rsid w:val="00050E9C"/>
    <w:rsid w:val="000510A2"/>
    <w:rsid w:val="000512F1"/>
    <w:rsid w:val="0005161F"/>
    <w:rsid w:val="00051A25"/>
    <w:rsid w:val="00051AA8"/>
    <w:rsid w:val="00051DD1"/>
    <w:rsid w:val="00051E94"/>
    <w:rsid w:val="0005204D"/>
    <w:rsid w:val="00052533"/>
    <w:rsid w:val="00052568"/>
    <w:rsid w:val="00052978"/>
    <w:rsid w:val="00052AF5"/>
    <w:rsid w:val="0005383C"/>
    <w:rsid w:val="00053B43"/>
    <w:rsid w:val="000545C4"/>
    <w:rsid w:val="00054B98"/>
    <w:rsid w:val="00054BAF"/>
    <w:rsid w:val="0005532B"/>
    <w:rsid w:val="00055679"/>
    <w:rsid w:val="000556B0"/>
    <w:rsid w:val="0005572B"/>
    <w:rsid w:val="00055931"/>
    <w:rsid w:val="00055BC8"/>
    <w:rsid w:val="00055BEE"/>
    <w:rsid w:val="00055C9E"/>
    <w:rsid w:val="00055E3E"/>
    <w:rsid w:val="00055EBF"/>
    <w:rsid w:val="00056065"/>
    <w:rsid w:val="000562E5"/>
    <w:rsid w:val="00056387"/>
    <w:rsid w:val="00056557"/>
    <w:rsid w:val="00056728"/>
    <w:rsid w:val="00056A5C"/>
    <w:rsid w:val="00056BF4"/>
    <w:rsid w:val="00056F2B"/>
    <w:rsid w:val="0005735D"/>
    <w:rsid w:val="00057F62"/>
    <w:rsid w:val="00060244"/>
    <w:rsid w:val="0006069F"/>
    <w:rsid w:val="000606CB"/>
    <w:rsid w:val="0006094B"/>
    <w:rsid w:val="00061214"/>
    <w:rsid w:val="00061C9B"/>
    <w:rsid w:val="0006282F"/>
    <w:rsid w:val="000629A5"/>
    <w:rsid w:val="00062EF2"/>
    <w:rsid w:val="00062F00"/>
    <w:rsid w:val="000630C2"/>
    <w:rsid w:val="000630F6"/>
    <w:rsid w:val="00063240"/>
    <w:rsid w:val="000635AC"/>
    <w:rsid w:val="000636CB"/>
    <w:rsid w:val="00063AC8"/>
    <w:rsid w:val="00063C00"/>
    <w:rsid w:val="00063FB1"/>
    <w:rsid w:val="00064121"/>
    <w:rsid w:val="000649B0"/>
    <w:rsid w:val="00064D8D"/>
    <w:rsid w:val="0006515C"/>
    <w:rsid w:val="0006545D"/>
    <w:rsid w:val="0006557B"/>
    <w:rsid w:val="00065869"/>
    <w:rsid w:val="00065BBB"/>
    <w:rsid w:val="00065C7E"/>
    <w:rsid w:val="0006645C"/>
    <w:rsid w:val="00066BBD"/>
    <w:rsid w:val="00066CED"/>
    <w:rsid w:val="00067155"/>
    <w:rsid w:val="00067571"/>
    <w:rsid w:val="00067A0E"/>
    <w:rsid w:val="00067B51"/>
    <w:rsid w:val="00067EC6"/>
    <w:rsid w:val="000700BC"/>
    <w:rsid w:val="0007014E"/>
    <w:rsid w:val="00070322"/>
    <w:rsid w:val="000710C6"/>
    <w:rsid w:val="000711B9"/>
    <w:rsid w:val="00071336"/>
    <w:rsid w:val="00071A76"/>
    <w:rsid w:val="00072092"/>
    <w:rsid w:val="000725F6"/>
    <w:rsid w:val="000727B3"/>
    <w:rsid w:val="0007291E"/>
    <w:rsid w:val="00072A50"/>
    <w:rsid w:val="000730CD"/>
    <w:rsid w:val="00073197"/>
    <w:rsid w:val="00073277"/>
    <w:rsid w:val="000734B9"/>
    <w:rsid w:val="00073595"/>
    <w:rsid w:val="00073754"/>
    <w:rsid w:val="00073915"/>
    <w:rsid w:val="00073971"/>
    <w:rsid w:val="0007397E"/>
    <w:rsid w:val="00073B1D"/>
    <w:rsid w:val="00073B84"/>
    <w:rsid w:val="00073CB7"/>
    <w:rsid w:val="00073EA9"/>
    <w:rsid w:val="00073F24"/>
    <w:rsid w:val="000741DD"/>
    <w:rsid w:val="000742EC"/>
    <w:rsid w:val="00074736"/>
    <w:rsid w:val="00074742"/>
    <w:rsid w:val="00074761"/>
    <w:rsid w:val="00074EE4"/>
    <w:rsid w:val="00074F1D"/>
    <w:rsid w:val="00075093"/>
    <w:rsid w:val="000753D5"/>
    <w:rsid w:val="000758BA"/>
    <w:rsid w:val="00075957"/>
    <w:rsid w:val="00075AE7"/>
    <w:rsid w:val="00075F5C"/>
    <w:rsid w:val="00076137"/>
    <w:rsid w:val="00076388"/>
    <w:rsid w:val="0007657E"/>
    <w:rsid w:val="0007666B"/>
    <w:rsid w:val="00076C03"/>
    <w:rsid w:val="00077736"/>
    <w:rsid w:val="00077B09"/>
    <w:rsid w:val="00077BD0"/>
    <w:rsid w:val="00077DF6"/>
    <w:rsid w:val="000806EC"/>
    <w:rsid w:val="00080B0A"/>
    <w:rsid w:val="00080C7F"/>
    <w:rsid w:val="0008119F"/>
    <w:rsid w:val="0008170E"/>
    <w:rsid w:val="00081854"/>
    <w:rsid w:val="00081A83"/>
    <w:rsid w:val="00081EAB"/>
    <w:rsid w:val="0008217B"/>
    <w:rsid w:val="000826F2"/>
    <w:rsid w:val="00082712"/>
    <w:rsid w:val="00082748"/>
    <w:rsid w:val="00082B5B"/>
    <w:rsid w:val="0008386D"/>
    <w:rsid w:val="00083FBE"/>
    <w:rsid w:val="00084211"/>
    <w:rsid w:val="0008504C"/>
    <w:rsid w:val="000856AA"/>
    <w:rsid w:val="00085A8B"/>
    <w:rsid w:val="00085FB6"/>
    <w:rsid w:val="000863B5"/>
    <w:rsid w:val="000867F3"/>
    <w:rsid w:val="00086AF4"/>
    <w:rsid w:val="00086F41"/>
    <w:rsid w:val="00087043"/>
    <w:rsid w:val="000872D4"/>
    <w:rsid w:val="0008747D"/>
    <w:rsid w:val="00087722"/>
    <w:rsid w:val="00087F1C"/>
    <w:rsid w:val="00090029"/>
    <w:rsid w:val="000901BF"/>
    <w:rsid w:val="0009052A"/>
    <w:rsid w:val="000905D5"/>
    <w:rsid w:val="0009099B"/>
    <w:rsid w:val="00090B7A"/>
    <w:rsid w:val="00090DBC"/>
    <w:rsid w:val="00090DEA"/>
    <w:rsid w:val="00090EED"/>
    <w:rsid w:val="00091139"/>
    <w:rsid w:val="000912F6"/>
    <w:rsid w:val="00091400"/>
    <w:rsid w:val="0009175B"/>
    <w:rsid w:val="000917FD"/>
    <w:rsid w:val="00091876"/>
    <w:rsid w:val="00091EBD"/>
    <w:rsid w:val="000921BD"/>
    <w:rsid w:val="00092A3B"/>
    <w:rsid w:val="00092C58"/>
    <w:rsid w:val="00092DA8"/>
    <w:rsid w:val="00092F54"/>
    <w:rsid w:val="00093021"/>
    <w:rsid w:val="00093139"/>
    <w:rsid w:val="00093F5E"/>
    <w:rsid w:val="000946AA"/>
    <w:rsid w:val="00094830"/>
    <w:rsid w:val="00094CDE"/>
    <w:rsid w:val="00094EFE"/>
    <w:rsid w:val="00094F7A"/>
    <w:rsid w:val="000950C6"/>
    <w:rsid w:val="000950D0"/>
    <w:rsid w:val="00095229"/>
    <w:rsid w:val="00095595"/>
    <w:rsid w:val="000955FB"/>
    <w:rsid w:val="000956FE"/>
    <w:rsid w:val="0009570B"/>
    <w:rsid w:val="000959DC"/>
    <w:rsid w:val="00095CDB"/>
    <w:rsid w:val="00095F85"/>
    <w:rsid w:val="0009657C"/>
    <w:rsid w:val="000965B8"/>
    <w:rsid w:val="00096C05"/>
    <w:rsid w:val="00096E71"/>
    <w:rsid w:val="00097C8D"/>
    <w:rsid w:val="00097D6A"/>
    <w:rsid w:val="000A01F5"/>
    <w:rsid w:val="000A0264"/>
    <w:rsid w:val="000A0278"/>
    <w:rsid w:val="000A1119"/>
    <w:rsid w:val="000A171A"/>
    <w:rsid w:val="000A189B"/>
    <w:rsid w:val="000A18F6"/>
    <w:rsid w:val="000A1D72"/>
    <w:rsid w:val="000A1DF0"/>
    <w:rsid w:val="000A2306"/>
    <w:rsid w:val="000A237E"/>
    <w:rsid w:val="000A262A"/>
    <w:rsid w:val="000A26C1"/>
    <w:rsid w:val="000A2A78"/>
    <w:rsid w:val="000A2B41"/>
    <w:rsid w:val="000A2B85"/>
    <w:rsid w:val="000A2E3F"/>
    <w:rsid w:val="000A31E3"/>
    <w:rsid w:val="000A334C"/>
    <w:rsid w:val="000A3C35"/>
    <w:rsid w:val="000A3CB8"/>
    <w:rsid w:val="000A4183"/>
    <w:rsid w:val="000A4494"/>
    <w:rsid w:val="000A47A8"/>
    <w:rsid w:val="000A485F"/>
    <w:rsid w:val="000A48A4"/>
    <w:rsid w:val="000A48E0"/>
    <w:rsid w:val="000A4AD8"/>
    <w:rsid w:val="000A4CF4"/>
    <w:rsid w:val="000A4CF9"/>
    <w:rsid w:val="000A4F83"/>
    <w:rsid w:val="000A51B8"/>
    <w:rsid w:val="000A54B3"/>
    <w:rsid w:val="000A55B6"/>
    <w:rsid w:val="000A5A32"/>
    <w:rsid w:val="000A5B37"/>
    <w:rsid w:val="000A5BF1"/>
    <w:rsid w:val="000A6108"/>
    <w:rsid w:val="000A6873"/>
    <w:rsid w:val="000A6949"/>
    <w:rsid w:val="000A6AFA"/>
    <w:rsid w:val="000A7003"/>
    <w:rsid w:val="000A72BD"/>
    <w:rsid w:val="000A77B9"/>
    <w:rsid w:val="000A7864"/>
    <w:rsid w:val="000A78AA"/>
    <w:rsid w:val="000A7B74"/>
    <w:rsid w:val="000A7D0B"/>
    <w:rsid w:val="000B0134"/>
    <w:rsid w:val="000B0172"/>
    <w:rsid w:val="000B02D3"/>
    <w:rsid w:val="000B054F"/>
    <w:rsid w:val="000B06E1"/>
    <w:rsid w:val="000B07BD"/>
    <w:rsid w:val="000B0814"/>
    <w:rsid w:val="000B0842"/>
    <w:rsid w:val="000B097B"/>
    <w:rsid w:val="000B0E54"/>
    <w:rsid w:val="000B0F6A"/>
    <w:rsid w:val="000B0F9C"/>
    <w:rsid w:val="000B1013"/>
    <w:rsid w:val="000B1216"/>
    <w:rsid w:val="000B1749"/>
    <w:rsid w:val="000B1BE4"/>
    <w:rsid w:val="000B1E30"/>
    <w:rsid w:val="000B2398"/>
    <w:rsid w:val="000B2871"/>
    <w:rsid w:val="000B2FE8"/>
    <w:rsid w:val="000B3127"/>
    <w:rsid w:val="000B3144"/>
    <w:rsid w:val="000B334E"/>
    <w:rsid w:val="000B3964"/>
    <w:rsid w:val="000B3EC8"/>
    <w:rsid w:val="000B40DB"/>
    <w:rsid w:val="000B416E"/>
    <w:rsid w:val="000B454E"/>
    <w:rsid w:val="000B4610"/>
    <w:rsid w:val="000B4649"/>
    <w:rsid w:val="000B4728"/>
    <w:rsid w:val="000B485B"/>
    <w:rsid w:val="000B4ADD"/>
    <w:rsid w:val="000B4B77"/>
    <w:rsid w:val="000B6242"/>
    <w:rsid w:val="000B63AD"/>
    <w:rsid w:val="000B647D"/>
    <w:rsid w:val="000B6597"/>
    <w:rsid w:val="000B65F2"/>
    <w:rsid w:val="000B6985"/>
    <w:rsid w:val="000B75B0"/>
    <w:rsid w:val="000B7BA0"/>
    <w:rsid w:val="000B7FEE"/>
    <w:rsid w:val="000C01D8"/>
    <w:rsid w:val="000C0509"/>
    <w:rsid w:val="000C05CD"/>
    <w:rsid w:val="000C0A12"/>
    <w:rsid w:val="000C0A57"/>
    <w:rsid w:val="000C0CDD"/>
    <w:rsid w:val="000C10C3"/>
    <w:rsid w:val="000C1414"/>
    <w:rsid w:val="000C1437"/>
    <w:rsid w:val="000C1546"/>
    <w:rsid w:val="000C1CB6"/>
    <w:rsid w:val="000C1D75"/>
    <w:rsid w:val="000C2729"/>
    <w:rsid w:val="000C299D"/>
    <w:rsid w:val="000C2B50"/>
    <w:rsid w:val="000C2DB6"/>
    <w:rsid w:val="000C3186"/>
    <w:rsid w:val="000C349D"/>
    <w:rsid w:val="000C39FC"/>
    <w:rsid w:val="000C3D0E"/>
    <w:rsid w:val="000C3FF5"/>
    <w:rsid w:val="000C4208"/>
    <w:rsid w:val="000C4E66"/>
    <w:rsid w:val="000C5325"/>
    <w:rsid w:val="000C59FD"/>
    <w:rsid w:val="000C5CEF"/>
    <w:rsid w:val="000C5D03"/>
    <w:rsid w:val="000C5D3C"/>
    <w:rsid w:val="000C5D5D"/>
    <w:rsid w:val="000C5EFF"/>
    <w:rsid w:val="000C5FB3"/>
    <w:rsid w:val="000C618A"/>
    <w:rsid w:val="000C6763"/>
    <w:rsid w:val="000C683C"/>
    <w:rsid w:val="000C6A91"/>
    <w:rsid w:val="000C6FBB"/>
    <w:rsid w:val="000C733D"/>
    <w:rsid w:val="000C7B76"/>
    <w:rsid w:val="000D058A"/>
    <w:rsid w:val="000D0644"/>
    <w:rsid w:val="000D067A"/>
    <w:rsid w:val="000D069A"/>
    <w:rsid w:val="000D0FD4"/>
    <w:rsid w:val="000D112C"/>
    <w:rsid w:val="000D114F"/>
    <w:rsid w:val="000D13FE"/>
    <w:rsid w:val="000D1B95"/>
    <w:rsid w:val="000D1EB5"/>
    <w:rsid w:val="000D2557"/>
    <w:rsid w:val="000D26F8"/>
    <w:rsid w:val="000D2B66"/>
    <w:rsid w:val="000D2DF8"/>
    <w:rsid w:val="000D3053"/>
    <w:rsid w:val="000D32B2"/>
    <w:rsid w:val="000D33DF"/>
    <w:rsid w:val="000D379F"/>
    <w:rsid w:val="000D3B76"/>
    <w:rsid w:val="000D3E26"/>
    <w:rsid w:val="000D4457"/>
    <w:rsid w:val="000D447F"/>
    <w:rsid w:val="000D4846"/>
    <w:rsid w:val="000D4926"/>
    <w:rsid w:val="000D4A30"/>
    <w:rsid w:val="000D4AC8"/>
    <w:rsid w:val="000D4BC8"/>
    <w:rsid w:val="000D4FEE"/>
    <w:rsid w:val="000D571B"/>
    <w:rsid w:val="000D5CD5"/>
    <w:rsid w:val="000D5FAE"/>
    <w:rsid w:val="000D7085"/>
    <w:rsid w:val="000D7A0F"/>
    <w:rsid w:val="000D7F42"/>
    <w:rsid w:val="000E0913"/>
    <w:rsid w:val="000E0C5E"/>
    <w:rsid w:val="000E0DD4"/>
    <w:rsid w:val="000E1155"/>
    <w:rsid w:val="000E145D"/>
    <w:rsid w:val="000E16F9"/>
    <w:rsid w:val="000E1789"/>
    <w:rsid w:val="000E18AC"/>
    <w:rsid w:val="000E2011"/>
    <w:rsid w:val="000E22DF"/>
    <w:rsid w:val="000E262D"/>
    <w:rsid w:val="000E3427"/>
    <w:rsid w:val="000E38F0"/>
    <w:rsid w:val="000E3CB5"/>
    <w:rsid w:val="000E4103"/>
    <w:rsid w:val="000E44AA"/>
    <w:rsid w:val="000E44FC"/>
    <w:rsid w:val="000E45BE"/>
    <w:rsid w:val="000E45E1"/>
    <w:rsid w:val="000E4803"/>
    <w:rsid w:val="000E4910"/>
    <w:rsid w:val="000E4F45"/>
    <w:rsid w:val="000E57E4"/>
    <w:rsid w:val="000E58FF"/>
    <w:rsid w:val="000E5B53"/>
    <w:rsid w:val="000E5DD3"/>
    <w:rsid w:val="000E5EC2"/>
    <w:rsid w:val="000E5F3C"/>
    <w:rsid w:val="000E65F5"/>
    <w:rsid w:val="000E6945"/>
    <w:rsid w:val="000E6BBC"/>
    <w:rsid w:val="000E6BFE"/>
    <w:rsid w:val="000E6F7A"/>
    <w:rsid w:val="000E775F"/>
    <w:rsid w:val="000E78D9"/>
    <w:rsid w:val="000E7911"/>
    <w:rsid w:val="000E7954"/>
    <w:rsid w:val="000E7A47"/>
    <w:rsid w:val="000E7A7D"/>
    <w:rsid w:val="000E7B31"/>
    <w:rsid w:val="000E7C5A"/>
    <w:rsid w:val="000F01AD"/>
    <w:rsid w:val="000F020F"/>
    <w:rsid w:val="000F0944"/>
    <w:rsid w:val="000F0B48"/>
    <w:rsid w:val="000F118B"/>
    <w:rsid w:val="000F1216"/>
    <w:rsid w:val="000F14A7"/>
    <w:rsid w:val="000F1540"/>
    <w:rsid w:val="000F15D4"/>
    <w:rsid w:val="000F15F4"/>
    <w:rsid w:val="000F1A17"/>
    <w:rsid w:val="000F1A20"/>
    <w:rsid w:val="000F1C01"/>
    <w:rsid w:val="000F2091"/>
    <w:rsid w:val="000F20D9"/>
    <w:rsid w:val="000F23DE"/>
    <w:rsid w:val="000F2898"/>
    <w:rsid w:val="000F315D"/>
    <w:rsid w:val="000F3613"/>
    <w:rsid w:val="000F3C44"/>
    <w:rsid w:val="000F3E30"/>
    <w:rsid w:val="000F3E37"/>
    <w:rsid w:val="000F3E66"/>
    <w:rsid w:val="000F405F"/>
    <w:rsid w:val="000F40FF"/>
    <w:rsid w:val="000F42BB"/>
    <w:rsid w:val="000F4500"/>
    <w:rsid w:val="000F4743"/>
    <w:rsid w:val="000F477F"/>
    <w:rsid w:val="000F4783"/>
    <w:rsid w:val="000F4EBE"/>
    <w:rsid w:val="000F5501"/>
    <w:rsid w:val="000F5531"/>
    <w:rsid w:val="000F5A52"/>
    <w:rsid w:val="000F5F0E"/>
    <w:rsid w:val="000F626C"/>
    <w:rsid w:val="000F6611"/>
    <w:rsid w:val="000F6A96"/>
    <w:rsid w:val="000F6AA7"/>
    <w:rsid w:val="000F74C2"/>
    <w:rsid w:val="000F7A6D"/>
    <w:rsid w:val="000F7B39"/>
    <w:rsid w:val="000F7C6C"/>
    <w:rsid w:val="000F7FF9"/>
    <w:rsid w:val="00100318"/>
    <w:rsid w:val="00100990"/>
    <w:rsid w:val="001009DE"/>
    <w:rsid w:val="00100A94"/>
    <w:rsid w:val="00100F1F"/>
    <w:rsid w:val="00101654"/>
    <w:rsid w:val="00101681"/>
    <w:rsid w:val="001017B0"/>
    <w:rsid w:val="00101999"/>
    <w:rsid w:val="001022CD"/>
    <w:rsid w:val="00102974"/>
    <w:rsid w:val="00102DD5"/>
    <w:rsid w:val="00102F21"/>
    <w:rsid w:val="00102F48"/>
    <w:rsid w:val="00103108"/>
    <w:rsid w:val="00103351"/>
    <w:rsid w:val="001035E6"/>
    <w:rsid w:val="00103E8B"/>
    <w:rsid w:val="001048FE"/>
    <w:rsid w:val="00104F90"/>
    <w:rsid w:val="00105054"/>
    <w:rsid w:val="00105087"/>
    <w:rsid w:val="0010534D"/>
    <w:rsid w:val="001053F9"/>
    <w:rsid w:val="0010551B"/>
    <w:rsid w:val="00105715"/>
    <w:rsid w:val="00105936"/>
    <w:rsid w:val="00105977"/>
    <w:rsid w:val="0010610E"/>
    <w:rsid w:val="00106922"/>
    <w:rsid w:val="0010693A"/>
    <w:rsid w:val="00106A4A"/>
    <w:rsid w:val="00106B7A"/>
    <w:rsid w:val="00106CB6"/>
    <w:rsid w:val="00106EA0"/>
    <w:rsid w:val="0010705E"/>
    <w:rsid w:val="001074C1"/>
    <w:rsid w:val="00107726"/>
    <w:rsid w:val="001079FC"/>
    <w:rsid w:val="00107A5C"/>
    <w:rsid w:val="00107C2C"/>
    <w:rsid w:val="00107D59"/>
    <w:rsid w:val="00107EED"/>
    <w:rsid w:val="00107F4F"/>
    <w:rsid w:val="001100AD"/>
    <w:rsid w:val="00110BD2"/>
    <w:rsid w:val="00111365"/>
    <w:rsid w:val="001119FD"/>
    <w:rsid w:val="00111BD1"/>
    <w:rsid w:val="001121D2"/>
    <w:rsid w:val="001121D4"/>
    <w:rsid w:val="00112589"/>
    <w:rsid w:val="001126DE"/>
    <w:rsid w:val="0011272E"/>
    <w:rsid w:val="00112B4D"/>
    <w:rsid w:val="00113509"/>
    <w:rsid w:val="00113866"/>
    <w:rsid w:val="00113A6A"/>
    <w:rsid w:val="00114358"/>
    <w:rsid w:val="0011448B"/>
    <w:rsid w:val="00114934"/>
    <w:rsid w:val="00115382"/>
    <w:rsid w:val="00115B45"/>
    <w:rsid w:val="00115DC9"/>
    <w:rsid w:val="0011691B"/>
    <w:rsid w:val="00116BF0"/>
    <w:rsid w:val="00117211"/>
    <w:rsid w:val="001179AB"/>
    <w:rsid w:val="00117D27"/>
    <w:rsid w:val="00120DCD"/>
    <w:rsid w:val="00121195"/>
    <w:rsid w:val="001214FA"/>
    <w:rsid w:val="0012177D"/>
    <w:rsid w:val="00121C56"/>
    <w:rsid w:val="00121DF3"/>
    <w:rsid w:val="00122280"/>
    <w:rsid w:val="001222CB"/>
    <w:rsid w:val="001229ED"/>
    <w:rsid w:val="00122CC1"/>
    <w:rsid w:val="00123295"/>
    <w:rsid w:val="00123300"/>
    <w:rsid w:val="001234BA"/>
    <w:rsid w:val="001239ED"/>
    <w:rsid w:val="00123EE3"/>
    <w:rsid w:val="0012404A"/>
    <w:rsid w:val="001247CD"/>
    <w:rsid w:val="00124B57"/>
    <w:rsid w:val="00124DBD"/>
    <w:rsid w:val="00124DFB"/>
    <w:rsid w:val="0012517C"/>
    <w:rsid w:val="0012537A"/>
    <w:rsid w:val="00125C7C"/>
    <w:rsid w:val="00126709"/>
    <w:rsid w:val="00126AAE"/>
    <w:rsid w:val="00126AB3"/>
    <w:rsid w:val="00126B89"/>
    <w:rsid w:val="00126CDD"/>
    <w:rsid w:val="00127126"/>
    <w:rsid w:val="00127153"/>
    <w:rsid w:val="00127646"/>
    <w:rsid w:val="00127757"/>
    <w:rsid w:val="0012775C"/>
    <w:rsid w:val="00127AE4"/>
    <w:rsid w:val="00130217"/>
    <w:rsid w:val="00130266"/>
    <w:rsid w:val="001307CD"/>
    <w:rsid w:val="00130AC8"/>
    <w:rsid w:val="00130E5E"/>
    <w:rsid w:val="001314E7"/>
    <w:rsid w:val="0013184A"/>
    <w:rsid w:val="00131AB6"/>
    <w:rsid w:val="00131CF3"/>
    <w:rsid w:val="00131F0D"/>
    <w:rsid w:val="00131FCD"/>
    <w:rsid w:val="00132794"/>
    <w:rsid w:val="0013294B"/>
    <w:rsid w:val="00132B85"/>
    <w:rsid w:val="00132EE6"/>
    <w:rsid w:val="001331B2"/>
    <w:rsid w:val="0013375A"/>
    <w:rsid w:val="00134153"/>
    <w:rsid w:val="001341B1"/>
    <w:rsid w:val="00134848"/>
    <w:rsid w:val="00134AA1"/>
    <w:rsid w:val="00135138"/>
    <w:rsid w:val="0013517D"/>
    <w:rsid w:val="001356B1"/>
    <w:rsid w:val="001356F1"/>
    <w:rsid w:val="001358BF"/>
    <w:rsid w:val="0013591F"/>
    <w:rsid w:val="00135CB5"/>
    <w:rsid w:val="00135CFB"/>
    <w:rsid w:val="00135ED9"/>
    <w:rsid w:val="00135F21"/>
    <w:rsid w:val="0013689C"/>
    <w:rsid w:val="00136964"/>
    <w:rsid w:val="00136C6C"/>
    <w:rsid w:val="00136C96"/>
    <w:rsid w:val="00136CBA"/>
    <w:rsid w:val="00136D45"/>
    <w:rsid w:val="00136FB4"/>
    <w:rsid w:val="0013755B"/>
    <w:rsid w:val="00137926"/>
    <w:rsid w:val="00137AE4"/>
    <w:rsid w:val="00137BF2"/>
    <w:rsid w:val="001400B5"/>
    <w:rsid w:val="001403CE"/>
    <w:rsid w:val="0014044A"/>
    <w:rsid w:val="0014078D"/>
    <w:rsid w:val="00140C36"/>
    <w:rsid w:val="00140C43"/>
    <w:rsid w:val="00140C54"/>
    <w:rsid w:val="001411E2"/>
    <w:rsid w:val="001411EA"/>
    <w:rsid w:val="001418BA"/>
    <w:rsid w:val="00141A5C"/>
    <w:rsid w:val="00141DEA"/>
    <w:rsid w:val="00141F72"/>
    <w:rsid w:val="00141FF2"/>
    <w:rsid w:val="0014224D"/>
    <w:rsid w:val="00142495"/>
    <w:rsid w:val="00142579"/>
    <w:rsid w:val="00142645"/>
    <w:rsid w:val="00142C15"/>
    <w:rsid w:val="00142D3E"/>
    <w:rsid w:val="00143424"/>
    <w:rsid w:val="001435B2"/>
    <w:rsid w:val="00143B92"/>
    <w:rsid w:val="00143CC2"/>
    <w:rsid w:val="00143F91"/>
    <w:rsid w:val="00144333"/>
    <w:rsid w:val="00144487"/>
    <w:rsid w:val="0014460A"/>
    <w:rsid w:val="0014463E"/>
    <w:rsid w:val="0014487E"/>
    <w:rsid w:val="001448BA"/>
    <w:rsid w:val="00144BD3"/>
    <w:rsid w:val="00144D6E"/>
    <w:rsid w:val="00144F28"/>
    <w:rsid w:val="00145083"/>
    <w:rsid w:val="001456E8"/>
    <w:rsid w:val="0014587D"/>
    <w:rsid w:val="00145B3B"/>
    <w:rsid w:val="00145D04"/>
    <w:rsid w:val="00146929"/>
    <w:rsid w:val="001469B4"/>
    <w:rsid w:val="001469BD"/>
    <w:rsid w:val="00146ACA"/>
    <w:rsid w:val="00146CB4"/>
    <w:rsid w:val="00146CF6"/>
    <w:rsid w:val="00147294"/>
    <w:rsid w:val="00147616"/>
    <w:rsid w:val="00147681"/>
    <w:rsid w:val="00150275"/>
    <w:rsid w:val="001507EA"/>
    <w:rsid w:val="00150DFF"/>
    <w:rsid w:val="00151162"/>
    <w:rsid w:val="0015123E"/>
    <w:rsid w:val="0015145D"/>
    <w:rsid w:val="00151729"/>
    <w:rsid w:val="00151781"/>
    <w:rsid w:val="001517DD"/>
    <w:rsid w:val="001518BC"/>
    <w:rsid w:val="00151ACB"/>
    <w:rsid w:val="00151E32"/>
    <w:rsid w:val="001528C3"/>
    <w:rsid w:val="00152B15"/>
    <w:rsid w:val="00152B6A"/>
    <w:rsid w:val="00152CE1"/>
    <w:rsid w:val="00153038"/>
    <w:rsid w:val="00153ABD"/>
    <w:rsid w:val="00153CDE"/>
    <w:rsid w:val="00153E4C"/>
    <w:rsid w:val="00153F48"/>
    <w:rsid w:val="00154129"/>
    <w:rsid w:val="001544CA"/>
    <w:rsid w:val="00154547"/>
    <w:rsid w:val="00154669"/>
    <w:rsid w:val="001549CA"/>
    <w:rsid w:val="00155241"/>
    <w:rsid w:val="00155350"/>
    <w:rsid w:val="00155F2F"/>
    <w:rsid w:val="001564DE"/>
    <w:rsid w:val="001570B9"/>
    <w:rsid w:val="001570C0"/>
    <w:rsid w:val="00157303"/>
    <w:rsid w:val="001576CD"/>
    <w:rsid w:val="001576D2"/>
    <w:rsid w:val="00157710"/>
    <w:rsid w:val="0015778A"/>
    <w:rsid w:val="00157854"/>
    <w:rsid w:val="00157B5D"/>
    <w:rsid w:val="00157C2A"/>
    <w:rsid w:val="00157CCD"/>
    <w:rsid w:val="00157D05"/>
    <w:rsid w:val="00157E29"/>
    <w:rsid w:val="00160333"/>
    <w:rsid w:val="00160355"/>
    <w:rsid w:val="001605E2"/>
    <w:rsid w:val="00160B44"/>
    <w:rsid w:val="00160F7B"/>
    <w:rsid w:val="00160F80"/>
    <w:rsid w:val="001610CB"/>
    <w:rsid w:val="00161713"/>
    <w:rsid w:val="00161AB6"/>
    <w:rsid w:val="00161BE9"/>
    <w:rsid w:val="00161D2D"/>
    <w:rsid w:val="00162938"/>
    <w:rsid w:val="001629C0"/>
    <w:rsid w:val="001629E7"/>
    <w:rsid w:val="00162CDB"/>
    <w:rsid w:val="00163954"/>
    <w:rsid w:val="00163A35"/>
    <w:rsid w:val="00164425"/>
    <w:rsid w:val="00164A38"/>
    <w:rsid w:val="00164B89"/>
    <w:rsid w:val="00164CEB"/>
    <w:rsid w:val="00164FDB"/>
    <w:rsid w:val="0016509F"/>
    <w:rsid w:val="00165111"/>
    <w:rsid w:val="0016555F"/>
    <w:rsid w:val="00165900"/>
    <w:rsid w:val="00165945"/>
    <w:rsid w:val="00165D7B"/>
    <w:rsid w:val="00166386"/>
    <w:rsid w:val="00166442"/>
    <w:rsid w:val="00166B4A"/>
    <w:rsid w:val="00166B9E"/>
    <w:rsid w:val="00166BB2"/>
    <w:rsid w:val="00166BBE"/>
    <w:rsid w:val="00166CC8"/>
    <w:rsid w:val="00166E66"/>
    <w:rsid w:val="00166F21"/>
    <w:rsid w:val="001673B8"/>
    <w:rsid w:val="0016743A"/>
    <w:rsid w:val="001675F8"/>
    <w:rsid w:val="00167837"/>
    <w:rsid w:val="00167BC1"/>
    <w:rsid w:val="00167CD7"/>
    <w:rsid w:val="00167D05"/>
    <w:rsid w:val="00167D71"/>
    <w:rsid w:val="00167E1A"/>
    <w:rsid w:val="00167F6F"/>
    <w:rsid w:val="00167F98"/>
    <w:rsid w:val="001700B2"/>
    <w:rsid w:val="001702E0"/>
    <w:rsid w:val="00170372"/>
    <w:rsid w:val="00170459"/>
    <w:rsid w:val="00170615"/>
    <w:rsid w:val="001706F1"/>
    <w:rsid w:val="0017091B"/>
    <w:rsid w:val="00170A3C"/>
    <w:rsid w:val="0017108F"/>
    <w:rsid w:val="00171812"/>
    <w:rsid w:val="00171C2C"/>
    <w:rsid w:val="00171F35"/>
    <w:rsid w:val="00172423"/>
    <w:rsid w:val="001724C7"/>
    <w:rsid w:val="001725FC"/>
    <w:rsid w:val="00172BAF"/>
    <w:rsid w:val="00172E82"/>
    <w:rsid w:val="00172F4A"/>
    <w:rsid w:val="00173065"/>
    <w:rsid w:val="0017331B"/>
    <w:rsid w:val="001733E7"/>
    <w:rsid w:val="00173F3E"/>
    <w:rsid w:val="0017434A"/>
    <w:rsid w:val="00174628"/>
    <w:rsid w:val="0017493C"/>
    <w:rsid w:val="00175091"/>
    <w:rsid w:val="001750BB"/>
    <w:rsid w:val="00175BA6"/>
    <w:rsid w:val="00175EF6"/>
    <w:rsid w:val="00176115"/>
    <w:rsid w:val="00176D04"/>
    <w:rsid w:val="00176E68"/>
    <w:rsid w:val="001771B2"/>
    <w:rsid w:val="0017727C"/>
    <w:rsid w:val="00177AD5"/>
    <w:rsid w:val="00177B3A"/>
    <w:rsid w:val="00177CDD"/>
    <w:rsid w:val="00177E7E"/>
    <w:rsid w:val="001801F7"/>
    <w:rsid w:val="001802E9"/>
    <w:rsid w:val="00180680"/>
    <w:rsid w:val="00181967"/>
    <w:rsid w:val="001819A1"/>
    <w:rsid w:val="001819B2"/>
    <w:rsid w:val="001819BB"/>
    <w:rsid w:val="00181BC3"/>
    <w:rsid w:val="00181C9E"/>
    <w:rsid w:val="00181DFF"/>
    <w:rsid w:val="00181E33"/>
    <w:rsid w:val="00182307"/>
    <w:rsid w:val="001825AD"/>
    <w:rsid w:val="001829A1"/>
    <w:rsid w:val="00182B10"/>
    <w:rsid w:val="00182EB9"/>
    <w:rsid w:val="0018300F"/>
    <w:rsid w:val="001830DD"/>
    <w:rsid w:val="001832AF"/>
    <w:rsid w:val="001837B9"/>
    <w:rsid w:val="00183A7C"/>
    <w:rsid w:val="00183CE0"/>
    <w:rsid w:val="00184009"/>
    <w:rsid w:val="001841F0"/>
    <w:rsid w:val="00184249"/>
    <w:rsid w:val="00184634"/>
    <w:rsid w:val="00184BE6"/>
    <w:rsid w:val="00184C9D"/>
    <w:rsid w:val="00184D2C"/>
    <w:rsid w:val="00185150"/>
    <w:rsid w:val="001853B3"/>
    <w:rsid w:val="0018662D"/>
    <w:rsid w:val="001866A4"/>
    <w:rsid w:val="001868E4"/>
    <w:rsid w:val="00186A3D"/>
    <w:rsid w:val="00186E58"/>
    <w:rsid w:val="00186F89"/>
    <w:rsid w:val="0018734B"/>
    <w:rsid w:val="00187757"/>
    <w:rsid w:val="00187839"/>
    <w:rsid w:val="00187BC6"/>
    <w:rsid w:val="00187C5B"/>
    <w:rsid w:val="001903A7"/>
    <w:rsid w:val="001906BC"/>
    <w:rsid w:val="00190737"/>
    <w:rsid w:val="00190F59"/>
    <w:rsid w:val="001910EB"/>
    <w:rsid w:val="00191265"/>
    <w:rsid w:val="001914A7"/>
    <w:rsid w:val="0019156B"/>
    <w:rsid w:val="001917BD"/>
    <w:rsid w:val="001918FC"/>
    <w:rsid w:val="00191E65"/>
    <w:rsid w:val="001922DA"/>
    <w:rsid w:val="001923DF"/>
    <w:rsid w:val="00192463"/>
    <w:rsid w:val="00192593"/>
    <w:rsid w:val="00192897"/>
    <w:rsid w:val="00192C05"/>
    <w:rsid w:val="00192EEE"/>
    <w:rsid w:val="00192F51"/>
    <w:rsid w:val="00192F55"/>
    <w:rsid w:val="001939BE"/>
    <w:rsid w:val="00193E68"/>
    <w:rsid w:val="0019403C"/>
    <w:rsid w:val="001943F4"/>
    <w:rsid w:val="00194B04"/>
    <w:rsid w:val="00194C17"/>
    <w:rsid w:val="00194DAE"/>
    <w:rsid w:val="00194F31"/>
    <w:rsid w:val="0019572C"/>
    <w:rsid w:val="0019597B"/>
    <w:rsid w:val="00195EF6"/>
    <w:rsid w:val="001960F8"/>
    <w:rsid w:val="00196254"/>
    <w:rsid w:val="00196601"/>
    <w:rsid w:val="001966D4"/>
    <w:rsid w:val="00196761"/>
    <w:rsid w:val="001968A1"/>
    <w:rsid w:val="00196E31"/>
    <w:rsid w:val="001977B4"/>
    <w:rsid w:val="00197F12"/>
    <w:rsid w:val="001A0320"/>
    <w:rsid w:val="001A1724"/>
    <w:rsid w:val="001A177D"/>
    <w:rsid w:val="001A18AD"/>
    <w:rsid w:val="001A1904"/>
    <w:rsid w:val="001A2004"/>
    <w:rsid w:val="001A2253"/>
    <w:rsid w:val="001A2299"/>
    <w:rsid w:val="001A22D4"/>
    <w:rsid w:val="001A24ED"/>
    <w:rsid w:val="001A32BF"/>
    <w:rsid w:val="001A337E"/>
    <w:rsid w:val="001A346B"/>
    <w:rsid w:val="001A3515"/>
    <w:rsid w:val="001A3A06"/>
    <w:rsid w:val="001A3A8A"/>
    <w:rsid w:val="001A3C98"/>
    <w:rsid w:val="001A3EDD"/>
    <w:rsid w:val="001A44E1"/>
    <w:rsid w:val="001A4554"/>
    <w:rsid w:val="001A46F7"/>
    <w:rsid w:val="001A473D"/>
    <w:rsid w:val="001A4B93"/>
    <w:rsid w:val="001A4CA3"/>
    <w:rsid w:val="001A4DBB"/>
    <w:rsid w:val="001A5035"/>
    <w:rsid w:val="001A59EA"/>
    <w:rsid w:val="001A5CD8"/>
    <w:rsid w:val="001A5EF4"/>
    <w:rsid w:val="001A5F9A"/>
    <w:rsid w:val="001A6000"/>
    <w:rsid w:val="001A62FB"/>
    <w:rsid w:val="001A6877"/>
    <w:rsid w:val="001A7117"/>
    <w:rsid w:val="001A743C"/>
    <w:rsid w:val="001A750A"/>
    <w:rsid w:val="001A77D7"/>
    <w:rsid w:val="001A7B85"/>
    <w:rsid w:val="001B04AA"/>
    <w:rsid w:val="001B0767"/>
    <w:rsid w:val="001B122D"/>
    <w:rsid w:val="001B123D"/>
    <w:rsid w:val="001B129B"/>
    <w:rsid w:val="001B193F"/>
    <w:rsid w:val="001B19A4"/>
    <w:rsid w:val="001B1E3A"/>
    <w:rsid w:val="001B1ED3"/>
    <w:rsid w:val="001B2032"/>
    <w:rsid w:val="001B21D2"/>
    <w:rsid w:val="001B25D9"/>
    <w:rsid w:val="001B29E5"/>
    <w:rsid w:val="001B2B7D"/>
    <w:rsid w:val="001B333E"/>
    <w:rsid w:val="001B38D2"/>
    <w:rsid w:val="001B3CC0"/>
    <w:rsid w:val="001B3EF6"/>
    <w:rsid w:val="001B3F99"/>
    <w:rsid w:val="001B40F1"/>
    <w:rsid w:val="001B4359"/>
    <w:rsid w:val="001B4E08"/>
    <w:rsid w:val="001B4FB6"/>
    <w:rsid w:val="001B532A"/>
    <w:rsid w:val="001B5B7F"/>
    <w:rsid w:val="001B5C29"/>
    <w:rsid w:val="001B5EDF"/>
    <w:rsid w:val="001B6020"/>
    <w:rsid w:val="001B60CF"/>
    <w:rsid w:val="001B6489"/>
    <w:rsid w:val="001B66CF"/>
    <w:rsid w:val="001B69DC"/>
    <w:rsid w:val="001B6C62"/>
    <w:rsid w:val="001B6FBC"/>
    <w:rsid w:val="001B7172"/>
    <w:rsid w:val="001B71CD"/>
    <w:rsid w:val="001B71DF"/>
    <w:rsid w:val="001B7684"/>
    <w:rsid w:val="001B7798"/>
    <w:rsid w:val="001B7B53"/>
    <w:rsid w:val="001B7C86"/>
    <w:rsid w:val="001B7DB0"/>
    <w:rsid w:val="001C0051"/>
    <w:rsid w:val="001C0713"/>
    <w:rsid w:val="001C075D"/>
    <w:rsid w:val="001C0A3E"/>
    <w:rsid w:val="001C0F95"/>
    <w:rsid w:val="001C1262"/>
    <w:rsid w:val="001C12A3"/>
    <w:rsid w:val="001C12F0"/>
    <w:rsid w:val="001C13AD"/>
    <w:rsid w:val="001C14FA"/>
    <w:rsid w:val="001C171E"/>
    <w:rsid w:val="001C1A1F"/>
    <w:rsid w:val="001C20FC"/>
    <w:rsid w:val="001C2110"/>
    <w:rsid w:val="001C295D"/>
    <w:rsid w:val="001C2F43"/>
    <w:rsid w:val="001C2FCF"/>
    <w:rsid w:val="001C3153"/>
    <w:rsid w:val="001C3567"/>
    <w:rsid w:val="001C3732"/>
    <w:rsid w:val="001C38AD"/>
    <w:rsid w:val="001C4087"/>
    <w:rsid w:val="001C436B"/>
    <w:rsid w:val="001C4916"/>
    <w:rsid w:val="001C520A"/>
    <w:rsid w:val="001C5320"/>
    <w:rsid w:val="001C55D8"/>
    <w:rsid w:val="001C56A6"/>
    <w:rsid w:val="001C5AEE"/>
    <w:rsid w:val="001C6343"/>
    <w:rsid w:val="001C67F7"/>
    <w:rsid w:val="001C6837"/>
    <w:rsid w:val="001C6C78"/>
    <w:rsid w:val="001C71D4"/>
    <w:rsid w:val="001C750A"/>
    <w:rsid w:val="001C7A06"/>
    <w:rsid w:val="001C7A45"/>
    <w:rsid w:val="001C7C23"/>
    <w:rsid w:val="001D05C0"/>
    <w:rsid w:val="001D083F"/>
    <w:rsid w:val="001D1461"/>
    <w:rsid w:val="001D17DF"/>
    <w:rsid w:val="001D17FB"/>
    <w:rsid w:val="001D1BDB"/>
    <w:rsid w:val="001D1EA5"/>
    <w:rsid w:val="001D216A"/>
    <w:rsid w:val="001D2653"/>
    <w:rsid w:val="001D2A95"/>
    <w:rsid w:val="001D3054"/>
    <w:rsid w:val="001D3085"/>
    <w:rsid w:val="001D33EF"/>
    <w:rsid w:val="001D355B"/>
    <w:rsid w:val="001D3595"/>
    <w:rsid w:val="001D3B93"/>
    <w:rsid w:val="001D3D99"/>
    <w:rsid w:val="001D3DE3"/>
    <w:rsid w:val="001D3E1C"/>
    <w:rsid w:val="001D4114"/>
    <w:rsid w:val="001D4EFC"/>
    <w:rsid w:val="001D4F22"/>
    <w:rsid w:val="001D504E"/>
    <w:rsid w:val="001D561D"/>
    <w:rsid w:val="001D570F"/>
    <w:rsid w:val="001D5E51"/>
    <w:rsid w:val="001D5EBA"/>
    <w:rsid w:val="001D6008"/>
    <w:rsid w:val="001D6185"/>
    <w:rsid w:val="001D670D"/>
    <w:rsid w:val="001D704E"/>
    <w:rsid w:val="001D7A69"/>
    <w:rsid w:val="001D7D01"/>
    <w:rsid w:val="001D7D8B"/>
    <w:rsid w:val="001D7E07"/>
    <w:rsid w:val="001D7F5A"/>
    <w:rsid w:val="001E0796"/>
    <w:rsid w:val="001E0A12"/>
    <w:rsid w:val="001E0A38"/>
    <w:rsid w:val="001E0B95"/>
    <w:rsid w:val="001E13C5"/>
    <w:rsid w:val="001E14A2"/>
    <w:rsid w:val="001E164A"/>
    <w:rsid w:val="001E172A"/>
    <w:rsid w:val="001E1B28"/>
    <w:rsid w:val="001E1B5A"/>
    <w:rsid w:val="001E1F4E"/>
    <w:rsid w:val="001E246E"/>
    <w:rsid w:val="001E25A0"/>
    <w:rsid w:val="001E338D"/>
    <w:rsid w:val="001E361A"/>
    <w:rsid w:val="001E37A7"/>
    <w:rsid w:val="001E3A2C"/>
    <w:rsid w:val="001E3AC9"/>
    <w:rsid w:val="001E3BE2"/>
    <w:rsid w:val="001E42B1"/>
    <w:rsid w:val="001E4640"/>
    <w:rsid w:val="001E4B28"/>
    <w:rsid w:val="001E4BB0"/>
    <w:rsid w:val="001E563B"/>
    <w:rsid w:val="001E5893"/>
    <w:rsid w:val="001E5C86"/>
    <w:rsid w:val="001E5DB3"/>
    <w:rsid w:val="001E6051"/>
    <w:rsid w:val="001E6062"/>
    <w:rsid w:val="001E6615"/>
    <w:rsid w:val="001E6854"/>
    <w:rsid w:val="001E6E08"/>
    <w:rsid w:val="001E6E69"/>
    <w:rsid w:val="001E6F88"/>
    <w:rsid w:val="001E705D"/>
    <w:rsid w:val="001E7470"/>
    <w:rsid w:val="001E7D52"/>
    <w:rsid w:val="001F0553"/>
    <w:rsid w:val="001F07CC"/>
    <w:rsid w:val="001F0839"/>
    <w:rsid w:val="001F0917"/>
    <w:rsid w:val="001F0EB1"/>
    <w:rsid w:val="001F132F"/>
    <w:rsid w:val="001F171D"/>
    <w:rsid w:val="001F187C"/>
    <w:rsid w:val="001F1C56"/>
    <w:rsid w:val="001F1C7B"/>
    <w:rsid w:val="001F285E"/>
    <w:rsid w:val="001F31B0"/>
    <w:rsid w:val="001F34E6"/>
    <w:rsid w:val="001F37E5"/>
    <w:rsid w:val="001F37FE"/>
    <w:rsid w:val="001F3887"/>
    <w:rsid w:val="001F390E"/>
    <w:rsid w:val="001F3C36"/>
    <w:rsid w:val="001F3F2F"/>
    <w:rsid w:val="001F3F3A"/>
    <w:rsid w:val="001F3FB1"/>
    <w:rsid w:val="001F406F"/>
    <w:rsid w:val="001F40E0"/>
    <w:rsid w:val="001F43AF"/>
    <w:rsid w:val="001F4A84"/>
    <w:rsid w:val="001F4DEE"/>
    <w:rsid w:val="001F4FC2"/>
    <w:rsid w:val="001F4FF0"/>
    <w:rsid w:val="001F5325"/>
    <w:rsid w:val="001F5365"/>
    <w:rsid w:val="001F54E4"/>
    <w:rsid w:val="001F59D6"/>
    <w:rsid w:val="001F5C77"/>
    <w:rsid w:val="001F606E"/>
    <w:rsid w:val="001F62BD"/>
    <w:rsid w:val="001F62EA"/>
    <w:rsid w:val="001F696E"/>
    <w:rsid w:val="001F6A01"/>
    <w:rsid w:val="001F6F35"/>
    <w:rsid w:val="001F6F52"/>
    <w:rsid w:val="001F6F59"/>
    <w:rsid w:val="001F7410"/>
    <w:rsid w:val="001F747F"/>
    <w:rsid w:val="001F7CA3"/>
    <w:rsid w:val="001F7CF4"/>
    <w:rsid w:val="0020007B"/>
    <w:rsid w:val="00200C85"/>
    <w:rsid w:val="00200E2A"/>
    <w:rsid w:val="002011E0"/>
    <w:rsid w:val="002015CF"/>
    <w:rsid w:val="002017D0"/>
    <w:rsid w:val="00201EF7"/>
    <w:rsid w:val="00201FFA"/>
    <w:rsid w:val="002028C8"/>
    <w:rsid w:val="00202B95"/>
    <w:rsid w:val="00202D57"/>
    <w:rsid w:val="00203446"/>
    <w:rsid w:val="0020353E"/>
    <w:rsid w:val="0020364E"/>
    <w:rsid w:val="00203E20"/>
    <w:rsid w:val="002041D1"/>
    <w:rsid w:val="002041E3"/>
    <w:rsid w:val="002041F5"/>
    <w:rsid w:val="002044BE"/>
    <w:rsid w:val="002044F4"/>
    <w:rsid w:val="00204806"/>
    <w:rsid w:val="00204844"/>
    <w:rsid w:val="00204958"/>
    <w:rsid w:val="00204FAE"/>
    <w:rsid w:val="00205057"/>
    <w:rsid w:val="002052B8"/>
    <w:rsid w:val="002053BB"/>
    <w:rsid w:val="002054A3"/>
    <w:rsid w:val="0020575E"/>
    <w:rsid w:val="00205A5A"/>
    <w:rsid w:val="00205D85"/>
    <w:rsid w:val="00205DBD"/>
    <w:rsid w:val="002062DA"/>
    <w:rsid w:val="00206437"/>
    <w:rsid w:val="00206721"/>
    <w:rsid w:val="00206817"/>
    <w:rsid w:val="00206845"/>
    <w:rsid w:val="002068E0"/>
    <w:rsid w:val="002068EE"/>
    <w:rsid w:val="0020711A"/>
    <w:rsid w:val="00207135"/>
    <w:rsid w:val="0020740C"/>
    <w:rsid w:val="00207591"/>
    <w:rsid w:val="0021003A"/>
    <w:rsid w:val="00210137"/>
    <w:rsid w:val="002101DF"/>
    <w:rsid w:val="002104D3"/>
    <w:rsid w:val="0021053C"/>
    <w:rsid w:val="00210644"/>
    <w:rsid w:val="002109AF"/>
    <w:rsid w:val="00210B1E"/>
    <w:rsid w:val="00210B3D"/>
    <w:rsid w:val="002114BB"/>
    <w:rsid w:val="00211749"/>
    <w:rsid w:val="00211CBF"/>
    <w:rsid w:val="002120CF"/>
    <w:rsid w:val="00212386"/>
    <w:rsid w:val="002128D5"/>
    <w:rsid w:val="0021290D"/>
    <w:rsid w:val="00212BCD"/>
    <w:rsid w:val="0021311B"/>
    <w:rsid w:val="00213185"/>
    <w:rsid w:val="002131AB"/>
    <w:rsid w:val="002135CF"/>
    <w:rsid w:val="0021374A"/>
    <w:rsid w:val="00213BD0"/>
    <w:rsid w:val="00214316"/>
    <w:rsid w:val="002143F9"/>
    <w:rsid w:val="00214D3D"/>
    <w:rsid w:val="00215034"/>
    <w:rsid w:val="002157F7"/>
    <w:rsid w:val="00215A11"/>
    <w:rsid w:val="00217156"/>
    <w:rsid w:val="00217EC8"/>
    <w:rsid w:val="00220385"/>
    <w:rsid w:val="00220444"/>
    <w:rsid w:val="00220BAA"/>
    <w:rsid w:val="00220BC2"/>
    <w:rsid w:val="00220E61"/>
    <w:rsid w:val="0022109E"/>
    <w:rsid w:val="002210D5"/>
    <w:rsid w:val="0022124A"/>
    <w:rsid w:val="00221266"/>
    <w:rsid w:val="0022163E"/>
    <w:rsid w:val="00221655"/>
    <w:rsid w:val="00221A5B"/>
    <w:rsid w:val="00221C4D"/>
    <w:rsid w:val="00221CDA"/>
    <w:rsid w:val="00221DB2"/>
    <w:rsid w:val="00221DD8"/>
    <w:rsid w:val="00221F0A"/>
    <w:rsid w:val="00222891"/>
    <w:rsid w:val="00222B1C"/>
    <w:rsid w:val="00222BC6"/>
    <w:rsid w:val="00222D9C"/>
    <w:rsid w:val="00222FA2"/>
    <w:rsid w:val="002233AD"/>
    <w:rsid w:val="002234C3"/>
    <w:rsid w:val="00223B25"/>
    <w:rsid w:val="00223BE3"/>
    <w:rsid w:val="00224196"/>
    <w:rsid w:val="00224A7B"/>
    <w:rsid w:val="00224B55"/>
    <w:rsid w:val="00224B6E"/>
    <w:rsid w:val="002251D4"/>
    <w:rsid w:val="00225429"/>
    <w:rsid w:val="0022544F"/>
    <w:rsid w:val="0022551A"/>
    <w:rsid w:val="00225547"/>
    <w:rsid w:val="00225816"/>
    <w:rsid w:val="00226778"/>
    <w:rsid w:val="00226970"/>
    <w:rsid w:val="0022727E"/>
    <w:rsid w:val="002272A6"/>
    <w:rsid w:val="002272ED"/>
    <w:rsid w:val="00227617"/>
    <w:rsid w:val="00227956"/>
    <w:rsid w:val="00227EDB"/>
    <w:rsid w:val="002301D7"/>
    <w:rsid w:val="00230649"/>
    <w:rsid w:val="0023084C"/>
    <w:rsid w:val="00230C3A"/>
    <w:rsid w:val="0023127D"/>
    <w:rsid w:val="00231284"/>
    <w:rsid w:val="00231B06"/>
    <w:rsid w:val="00231C37"/>
    <w:rsid w:val="0023235B"/>
    <w:rsid w:val="00232846"/>
    <w:rsid w:val="0023341F"/>
    <w:rsid w:val="00233DF3"/>
    <w:rsid w:val="00233E13"/>
    <w:rsid w:val="00233F30"/>
    <w:rsid w:val="0023428A"/>
    <w:rsid w:val="002343F8"/>
    <w:rsid w:val="00234540"/>
    <w:rsid w:val="0023475B"/>
    <w:rsid w:val="00234947"/>
    <w:rsid w:val="002349FC"/>
    <w:rsid w:val="00234ED9"/>
    <w:rsid w:val="00235194"/>
    <w:rsid w:val="00235492"/>
    <w:rsid w:val="00235A18"/>
    <w:rsid w:val="0023606E"/>
    <w:rsid w:val="0023643C"/>
    <w:rsid w:val="002368FA"/>
    <w:rsid w:val="00236A91"/>
    <w:rsid w:val="00236C71"/>
    <w:rsid w:val="002377A6"/>
    <w:rsid w:val="002379F5"/>
    <w:rsid w:val="00237C8C"/>
    <w:rsid w:val="00240003"/>
    <w:rsid w:val="002400D2"/>
    <w:rsid w:val="0024011F"/>
    <w:rsid w:val="002402FB"/>
    <w:rsid w:val="002403C2"/>
    <w:rsid w:val="0024088A"/>
    <w:rsid w:val="00240E1B"/>
    <w:rsid w:val="00240EAD"/>
    <w:rsid w:val="0024139C"/>
    <w:rsid w:val="002415E6"/>
    <w:rsid w:val="002416AB"/>
    <w:rsid w:val="00241A0C"/>
    <w:rsid w:val="00241F55"/>
    <w:rsid w:val="00242276"/>
    <w:rsid w:val="00242294"/>
    <w:rsid w:val="0024261F"/>
    <w:rsid w:val="0024273B"/>
    <w:rsid w:val="00242B0B"/>
    <w:rsid w:val="00242D28"/>
    <w:rsid w:val="002437ED"/>
    <w:rsid w:val="002442A8"/>
    <w:rsid w:val="002442DC"/>
    <w:rsid w:val="002447B1"/>
    <w:rsid w:val="00244978"/>
    <w:rsid w:val="00244B51"/>
    <w:rsid w:val="00244FC2"/>
    <w:rsid w:val="0024596D"/>
    <w:rsid w:val="00245CBE"/>
    <w:rsid w:val="00245F79"/>
    <w:rsid w:val="00246502"/>
    <w:rsid w:val="0024659B"/>
    <w:rsid w:val="00246672"/>
    <w:rsid w:val="002472BA"/>
    <w:rsid w:val="0024774D"/>
    <w:rsid w:val="00247A9A"/>
    <w:rsid w:val="00247B46"/>
    <w:rsid w:val="00247C7F"/>
    <w:rsid w:val="00247FD1"/>
    <w:rsid w:val="00250177"/>
    <w:rsid w:val="002503EE"/>
    <w:rsid w:val="00250810"/>
    <w:rsid w:val="0025085C"/>
    <w:rsid w:val="00250AA6"/>
    <w:rsid w:val="00250C76"/>
    <w:rsid w:val="0025105E"/>
    <w:rsid w:val="002510F4"/>
    <w:rsid w:val="0025139C"/>
    <w:rsid w:val="00251520"/>
    <w:rsid w:val="00251548"/>
    <w:rsid w:val="002515C1"/>
    <w:rsid w:val="0025225C"/>
    <w:rsid w:val="00252734"/>
    <w:rsid w:val="00252784"/>
    <w:rsid w:val="00252CFA"/>
    <w:rsid w:val="00253032"/>
    <w:rsid w:val="00253044"/>
    <w:rsid w:val="00253409"/>
    <w:rsid w:val="00253439"/>
    <w:rsid w:val="00253491"/>
    <w:rsid w:val="0025354B"/>
    <w:rsid w:val="0025399B"/>
    <w:rsid w:val="00253F34"/>
    <w:rsid w:val="00253FC0"/>
    <w:rsid w:val="002543C0"/>
    <w:rsid w:val="002543E0"/>
    <w:rsid w:val="00254519"/>
    <w:rsid w:val="002549B3"/>
    <w:rsid w:val="0025552E"/>
    <w:rsid w:val="002555F5"/>
    <w:rsid w:val="002555FE"/>
    <w:rsid w:val="00255678"/>
    <w:rsid w:val="00255C13"/>
    <w:rsid w:val="00255D08"/>
    <w:rsid w:val="002560C2"/>
    <w:rsid w:val="0025610C"/>
    <w:rsid w:val="002565B8"/>
    <w:rsid w:val="002566CB"/>
    <w:rsid w:val="00256982"/>
    <w:rsid w:val="00256FB4"/>
    <w:rsid w:val="0025707A"/>
    <w:rsid w:val="00257350"/>
    <w:rsid w:val="00257416"/>
    <w:rsid w:val="00257B1E"/>
    <w:rsid w:val="00257EA3"/>
    <w:rsid w:val="00257F01"/>
    <w:rsid w:val="00260229"/>
    <w:rsid w:val="00260BDA"/>
    <w:rsid w:val="00260E4A"/>
    <w:rsid w:val="00260EF5"/>
    <w:rsid w:val="00261158"/>
    <w:rsid w:val="0026147E"/>
    <w:rsid w:val="002615E7"/>
    <w:rsid w:val="0026164E"/>
    <w:rsid w:val="00261849"/>
    <w:rsid w:val="0026185E"/>
    <w:rsid w:val="00261964"/>
    <w:rsid w:val="00261F17"/>
    <w:rsid w:val="00261F63"/>
    <w:rsid w:val="00261FBE"/>
    <w:rsid w:val="002621FE"/>
    <w:rsid w:val="00262373"/>
    <w:rsid w:val="00262BB4"/>
    <w:rsid w:val="00262E18"/>
    <w:rsid w:val="00262FCE"/>
    <w:rsid w:val="00262FFD"/>
    <w:rsid w:val="00263547"/>
    <w:rsid w:val="002639F0"/>
    <w:rsid w:val="00263DA3"/>
    <w:rsid w:val="00263DC5"/>
    <w:rsid w:val="002640F2"/>
    <w:rsid w:val="00264545"/>
    <w:rsid w:val="002646E5"/>
    <w:rsid w:val="002648FE"/>
    <w:rsid w:val="00264B55"/>
    <w:rsid w:val="00264D45"/>
    <w:rsid w:val="002650FF"/>
    <w:rsid w:val="002652D2"/>
    <w:rsid w:val="00265572"/>
    <w:rsid w:val="00265723"/>
    <w:rsid w:val="0026591C"/>
    <w:rsid w:val="00265923"/>
    <w:rsid w:val="00265990"/>
    <w:rsid w:val="00265D87"/>
    <w:rsid w:val="00265E6D"/>
    <w:rsid w:val="00266284"/>
    <w:rsid w:val="002663F5"/>
    <w:rsid w:val="00266454"/>
    <w:rsid w:val="002669AD"/>
    <w:rsid w:val="0026729B"/>
    <w:rsid w:val="0026755F"/>
    <w:rsid w:val="002677A8"/>
    <w:rsid w:val="0026792A"/>
    <w:rsid w:val="00267B66"/>
    <w:rsid w:val="00267FD9"/>
    <w:rsid w:val="002700C0"/>
    <w:rsid w:val="002708CE"/>
    <w:rsid w:val="00270C1F"/>
    <w:rsid w:val="00270D15"/>
    <w:rsid w:val="00271058"/>
    <w:rsid w:val="002728A7"/>
    <w:rsid w:val="002729C5"/>
    <w:rsid w:val="00272B84"/>
    <w:rsid w:val="00273167"/>
    <w:rsid w:val="002733E5"/>
    <w:rsid w:val="0027345C"/>
    <w:rsid w:val="0027389E"/>
    <w:rsid w:val="00273B75"/>
    <w:rsid w:val="00273FC4"/>
    <w:rsid w:val="002743E2"/>
    <w:rsid w:val="00274B5F"/>
    <w:rsid w:val="00274D6D"/>
    <w:rsid w:val="00275219"/>
    <w:rsid w:val="00275663"/>
    <w:rsid w:val="002757E5"/>
    <w:rsid w:val="00275932"/>
    <w:rsid w:val="002761DF"/>
    <w:rsid w:val="00276292"/>
    <w:rsid w:val="00276407"/>
    <w:rsid w:val="00276444"/>
    <w:rsid w:val="002766A2"/>
    <w:rsid w:val="002767C6"/>
    <w:rsid w:val="002767FD"/>
    <w:rsid w:val="00276B8F"/>
    <w:rsid w:val="00276F19"/>
    <w:rsid w:val="00276F9C"/>
    <w:rsid w:val="00277035"/>
    <w:rsid w:val="002774A7"/>
    <w:rsid w:val="00277782"/>
    <w:rsid w:val="00277B6C"/>
    <w:rsid w:val="0028013E"/>
    <w:rsid w:val="0028031E"/>
    <w:rsid w:val="00280481"/>
    <w:rsid w:val="00280B67"/>
    <w:rsid w:val="00280D7F"/>
    <w:rsid w:val="00280F03"/>
    <w:rsid w:val="002811C0"/>
    <w:rsid w:val="00281640"/>
    <w:rsid w:val="0028177B"/>
    <w:rsid w:val="00281BC9"/>
    <w:rsid w:val="00281F8F"/>
    <w:rsid w:val="0028229D"/>
    <w:rsid w:val="002827A0"/>
    <w:rsid w:val="00282EF6"/>
    <w:rsid w:val="0028312D"/>
    <w:rsid w:val="00283CB3"/>
    <w:rsid w:val="00283D27"/>
    <w:rsid w:val="00284996"/>
    <w:rsid w:val="00284A2C"/>
    <w:rsid w:val="00284E58"/>
    <w:rsid w:val="0028539D"/>
    <w:rsid w:val="00285480"/>
    <w:rsid w:val="0028555F"/>
    <w:rsid w:val="00285D4E"/>
    <w:rsid w:val="00285DC8"/>
    <w:rsid w:val="0028643D"/>
    <w:rsid w:val="002864EA"/>
    <w:rsid w:val="00286811"/>
    <w:rsid w:val="00286871"/>
    <w:rsid w:val="00286DAB"/>
    <w:rsid w:val="002870A6"/>
    <w:rsid w:val="002872FD"/>
    <w:rsid w:val="00287AE0"/>
    <w:rsid w:val="00287BD7"/>
    <w:rsid w:val="00287FC4"/>
    <w:rsid w:val="002901D2"/>
    <w:rsid w:val="0029109B"/>
    <w:rsid w:val="00291619"/>
    <w:rsid w:val="00291673"/>
    <w:rsid w:val="0029175C"/>
    <w:rsid w:val="002925E7"/>
    <w:rsid w:val="00292890"/>
    <w:rsid w:val="0029289A"/>
    <w:rsid w:val="00292DF9"/>
    <w:rsid w:val="00292F13"/>
    <w:rsid w:val="002931D3"/>
    <w:rsid w:val="00293249"/>
    <w:rsid w:val="0029369F"/>
    <w:rsid w:val="0029388E"/>
    <w:rsid w:val="0029399D"/>
    <w:rsid w:val="00294152"/>
    <w:rsid w:val="00294707"/>
    <w:rsid w:val="00294770"/>
    <w:rsid w:val="00294C45"/>
    <w:rsid w:val="0029529E"/>
    <w:rsid w:val="002952A7"/>
    <w:rsid w:val="00295672"/>
    <w:rsid w:val="002957CF"/>
    <w:rsid w:val="00295813"/>
    <w:rsid w:val="00295C84"/>
    <w:rsid w:val="00296038"/>
    <w:rsid w:val="002962A3"/>
    <w:rsid w:val="002962E2"/>
    <w:rsid w:val="0029642C"/>
    <w:rsid w:val="00296722"/>
    <w:rsid w:val="002969C1"/>
    <w:rsid w:val="00296C17"/>
    <w:rsid w:val="00296E85"/>
    <w:rsid w:val="00296E9E"/>
    <w:rsid w:val="00297467"/>
    <w:rsid w:val="0029758F"/>
    <w:rsid w:val="00297718"/>
    <w:rsid w:val="00297770"/>
    <w:rsid w:val="00297E0A"/>
    <w:rsid w:val="002A0025"/>
    <w:rsid w:val="002A0053"/>
    <w:rsid w:val="002A00F3"/>
    <w:rsid w:val="002A028F"/>
    <w:rsid w:val="002A02AD"/>
    <w:rsid w:val="002A0360"/>
    <w:rsid w:val="002A06C3"/>
    <w:rsid w:val="002A08B8"/>
    <w:rsid w:val="002A090D"/>
    <w:rsid w:val="002A0D03"/>
    <w:rsid w:val="002A0D09"/>
    <w:rsid w:val="002A0D92"/>
    <w:rsid w:val="002A0E1C"/>
    <w:rsid w:val="002A0EB2"/>
    <w:rsid w:val="002A10FB"/>
    <w:rsid w:val="002A138F"/>
    <w:rsid w:val="002A15F5"/>
    <w:rsid w:val="002A17E4"/>
    <w:rsid w:val="002A1A9A"/>
    <w:rsid w:val="002A256F"/>
    <w:rsid w:val="002A2683"/>
    <w:rsid w:val="002A28C7"/>
    <w:rsid w:val="002A3814"/>
    <w:rsid w:val="002A399C"/>
    <w:rsid w:val="002A3F58"/>
    <w:rsid w:val="002A402C"/>
    <w:rsid w:val="002A49DB"/>
    <w:rsid w:val="002A4C1A"/>
    <w:rsid w:val="002A4CC1"/>
    <w:rsid w:val="002A4CF4"/>
    <w:rsid w:val="002A4FD8"/>
    <w:rsid w:val="002A51A3"/>
    <w:rsid w:val="002A56C3"/>
    <w:rsid w:val="002A58BD"/>
    <w:rsid w:val="002A5C95"/>
    <w:rsid w:val="002A5E69"/>
    <w:rsid w:val="002A61DE"/>
    <w:rsid w:val="002A629F"/>
    <w:rsid w:val="002A62FF"/>
    <w:rsid w:val="002A63BC"/>
    <w:rsid w:val="002A64F6"/>
    <w:rsid w:val="002A6658"/>
    <w:rsid w:val="002A6AEB"/>
    <w:rsid w:val="002A717A"/>
    <w:rsid w:val="002A737B"/>
    <w:rsid w:val="002A7534"/>
    <w:rsid w:val="002A7A55"/>
    <w:rsid w:val="002A7AB5"/>
    <w:rsid w:val="002B0130"/>
    <w:rsid w:val="002B0F03"/>
    <w:rsid w:val="002B0F30"/>
    <w:rsid w:val="002B129A"/>
    <w:rsid w:val="002B143D"/>
    <w:rsid w:val="002B16D2"/>
    <w:rsid w:val="002B1744"/>
    <w:rsid w:val="002B1759"/>
    <w:rsid w:val="002B17E0"/>
    <w:rsid w:val="002B23AE"/>
    <w:rsid w:val="002B2455"/>
    <w:rsid w:val="002B24EF"/>
    <w:rsid w:val="002B260E"/>
    <w:rsid w:val="002B2CC2"/>
    <w:rsid w:val="002B2CF1"/>
    <w:rsid w:val="002B2FA6"/>
    <w:rsid w:val="002B380B"/>
    <w:rsid w:val="002B38DF"/>
    <w:rsid w:val="002B39FA"/>
    <w:rsid w:val="002B3A3E"/>
    <w:rsid w:val="002B3A7D"/>
    <w:rsid w:val="002B418D"/>
    <w:rsid w:val="002B42B3"/>
    <w:rsid w:val="002B4419"/>
    <w:rsid w:val="002B4559"/>
    <w:rsid w:val="002B47A9"/>
    <w:rsid w:val="002B4903"/>
    <w:rsid w:val="002B4BC3"/>
    <w:rsid w:val="002B4BCC"/>
    <w:rsid w:val="002B5196"/>
    <w:rsid w:val="002B5519"/>
    <w:rsid w:val="002B5689"/>
    <w:rsid w:val="002B56F8"/>
    <w:rsid w:val="002B58E6"/>
    <w:rsid w:val="002B5C82"/>
    <w:rsid w:val="002B5D69"/>
    <w:rsid w:val="002B5D7A"/>
    <w:rsid w:val="002B5F47"/>
    <w:rsid w:val="002B6310"/>
    <w:rsid w:val="002B6634"/>
    <w:rsid w:val="002B6A89"/>
    <w:rsid w:val="002B6B0E"/>
    <w:rsid w:val="002B71AD"/>
    <w:rsid w:val="002B7C55"/>
    <w:rsid w:val="002B7CB8"/>
    <w:rsid w:val="002C03E0"/>
    <w:rsid w:val="002C070D"/>
    <w:rsid w:val="002C0792"/>
    <w:rsid w:val="002C08CA"/>
    <w:rsid w:val="002C0AF9"/>
    <w:rsid w:val="002C0C39"/>
    <w:rsid w:val="002C0DC0"/>
    <w:rsid w:val="002C17F9"/>
    <w:rsid w:val="002C23AC"/>
    <w:rsid w:val="002C2507"/>
    <w:rsid w:val="002C27AA"/>
    <w:rsid w:val="002C2876"/>
    <w:rsid w:val="002C28C3"/>
    <w:rsid w:val="002C2BF3"/>
    <w:rsid w:val="002C2C7E"/>
    <w:rsid w:val="002C2D35"/>
    <w:rsid w:val="002C2EFE"/>
    <w:rsid w:val="002C2FE4"/>
    <w:rsid w:val="002C3188"/>
    <w:rsid w:val="002C3246"/>
    <w:rsid w:val="002C38AB"/>
    <w:rsid w:val="002C3B6E"/>
    <w:rsid w:val="002C3D7F"/>
    <w:rsid w:val="002C3DB7"/>
    <w:rsid w:val="002C3F5B"/>
    <w:rsid w:val="002C46A2"/>
    <w:rsid w:val="002C4909"/>
    <w:rsid w:val="002C4A55"/>
    <w:rsid w:val="002C4C63"/>
    <w:rsid w:val="002C4D47"/>
    <w:rsid w:val="002C5259"/>
    <w:rsid w:val="002C5309"/>
    <w:rsid w:val="002C5881"/>
    <w:rsid w:val="002C58E3"/>
    <w:rsid w:val="002C6303"/>
    <w:rsid w:val="002C660B"/>
    <w:rsid w:val="002C68C6"/>
    <w:rsid w:val="002C68FB"/>
    <w:rsid w:val="002C782D"/>
    <w:rsid w:val="002C7994"/>
    <w:rsid w:val="002D0457"/>
    <w:rsid w:val="002D07B8"/>
    <w:rsid w:val="002D0827"/>
    <w:rsid w:val="002D0AD0"/>
    <w:rsid w:val="002D0EAA"/>
    <w:rsid w:val="002D0FE2"/>
    <w:rsid w:val="002D1334"/>
    <w:rsid w:val="002D1879"/>
    <w:rsid w:val="002D19CF"/>
    <w:rsid w:val="002D22AC"/>
    <w:rsid w:val="002D236E"/>
    <w:rsid w:val="002D2507"/>
    <w:rsid w:val="002D29CA"/>
    <w:rsid w:val="002D2C08"/>
    <w:rsid w:val="002D2CB5"/>
    <w:rsid w:val="002D2D9C"/>
    <w:rsid w:val="002D32CC"/>
    <w:rsid w:val="002D3BA5"/>
    <w:rsid w:val="002D3DEC"/>
    <w:rsid w:val="002D4076"/>
    <w:rsid w:val="002D43C5"/>
    <w:rsid w:val="002D4642"/>
    <w:rsid w:val="002D465A"/>
    <w:rsid w:val="002D5419"/>
    <w:rsid w:val="002D584C"/>
    <w:rsid w:val="002D5AB5"/>
    <w:rsid w:val="002D5E61"/>
    <w:rsid w:val="002D6412"/>
    <w:rsid w:val="002D682B"/>
    <w:rsid w:val="002D6C96"/>
    <w:rsid w:val="002D6D77"/>
    <w:rsid w:val="002D6E03"/>
    <w:rsid w:val="002D6F44"/>
    <w:rsid w:val="002D773D"/>
    <w:rsid w:val="002D7839"/>
    <w:rsid w:val="002D7D7B"/>
    <w:rsid w:val="002D7F58"/>
    <w:rsid w:val="002E010F"/>
    <w:rsid w:val="002E057C"/>
    <w:rsid w:val="002E0725"/>
    <w:rsid w:val="002E10F1"/>
    <w:rsid w:val="002E1241"/>
    <w:rsid w:val="002E1526"/>
    <w:rsid w:val="002E1686"/>
    <w:rsid w:val="002E1B7F"/>
    <w:rsid w:val="002E1C3B"/>
    <w:rsid w:val="002E1D13"/>
    <w:rsid w:val="002E2612"/>
    <w:rsid w:val="002E26A3"/>
    <w:rsid w:val="002E2B43"/>
    <w:rsid w:val="002E2D6E"/>
    <w:rsid w:val="002E2F54"/>
    <w:rsid w:val="002E3605"/>
    <w:rsid w:val="002E3FD4"/>
    <w:rsid w:val="002E419E"/>
    <w:rsid w:val="002E440C"/>
    <w:rsid w:val="002E44E4"/>
    <w:rsid w:val="002E49CF"/>
    <w:rsid w:val="002E4B37"/>
    <w:rsid w:val="002E5024"/>
    <w:rsid w:val="002E5213"/>
    <w:rsid w:val="002E52A5"/>
    <w:rsid w:val="002E5415"/>
    <w:rsid w:val="002E5792"/>
    <w:rsid w:val="002E57A6"/>
    <w:rsid w:val="002E5AEC"/>
    <w:rsid w:val="002E5B99"/>
    <w:rsid w:val="002E5E35"/>
    <w:rsid w:val="002E5F6B"/>
    <w:rsid w:val="002E5F9C"/>
    <w:rsid w:val="002E5FE9"/>
    <w:rsid w:val="002E623F"/>
    <w:rsid w:val="002E64A1"/>
    <w:rsid w:val="002E64EE"/>
    <w:rsid w:val="002E6737"/>
    <w:rsid w:val="002E6AF5"/>
    <w:rsid w:val="002E6BE4"/>
    <w:rsid w:val="002E74CB"/>
    <w:rsid w:val="002E7E8D"/>
    <w:rsid w:val="002E7F7C"/>
    <w:rsid w:val="002F02DE"/>
    <w:rsid w:val="002F076A"/>
    <w:rsid w:val="002F096D"/>
    <w:rsid w:val="002F0F5C"/>
    <w:rsid w:val="002F12F9"/>
    <w:rsid w:val="002F1862"/>
    <w:rsid w:val="002F18F5"/>
    <w:rsid w:val="002F194A"/>
    <w:rsid w:val="002F1C35"/>
    <w:rsid w:val="002F1E69"/>
    <w:rsid w:val="002F1EBB"/>
    <w:rsid w:val="002F25A6"/>
    <w:rsid w:val="002F2AEE"/>
    <w:rsid w:val="002F2E9A"/>
    <w:rsid w:val="002F2EA2"/>
    <w:rsid w:val="002F2EBA"/>
    <w:rsid w:val="002F3113"/>
    <w:rsid w:val="002F35ED"/>
    <w:rsid w:val="002F39D9"/>
    <w:rsid w:val="002F3A61"/>
    <w:rsid w:val="002F3C3F"/>
    <w:rsid w:val="002F3FEC"/>
    <w:rsid w:val="002F4122"/>
    <w:rsid w:val="002F49E7"/>
    <w:rsid w:val="002F4A15"/>
    <w:rsid w:val="002F5393"/>
    <w:rsid w:val="002F56B3"/>
    <w:rsid w:val="002F5784"/>
    <w:rsid w:val="002F5A8C"/>
    <w:rsid w:val="002F5EC3"/>
    <w:rsid w:val="002F60DD"/>
    <w:rsid w:val="002F611A"/>
    <w:rsid w:val="002F62ED"/>
    <w:rsid w:val="002F64E7"/>
    <w:rsid w:val="002F6B68"/>
    <w:rsid w:val="002F6E4E"/>
    <w:rsid w:val="002F7191"/>
    <w:rsid w:val="002F7286"/>
    <w:rsid w:val="002F764E"/>
    <w:rsid w:val="002F77A3"/>
    <w:rsid w:val="002F7848"/>
    <w:rsid w:val="002F79E8"/>
    <w:rsid w:val="002F79FD"/>
    <w:rsid w:val="003001AD"/>
    <w:rsid w:val="003001B8"/>
    <w:rsid w:val="00300286"/>
    <w:rsid w:val="00300958"/>
    <w:rsid w:val="0030098D"/>
    <w:rsid w:val="00300AE9"/>
    <w:rsid w:val="00300B0B"/>
    <w:rsid w:val="00300B5A"/>
    <w:rsid w:val="00300C09"/>
    <w:rsid w:val="00300EB2"/>
    <w:rsid w:val="00300F81"/>
    <w:rsid w:val="0030158A"/>
    <w:rsid w:val="00301A45"/>
    <w:rsid w:val="00301D60"/>
    <w:rsid w:val="003022A8"/>
    <w:rsid w:val="0030258B"/>
    <w:rsid w:val="00302B21"/>
    <w:rsid w:val="00302B5A"/>
    <w:rsid w:val="00303040"/>
    <w:rsid w:val="0030355F"/>
    <w:rsid w:val="0030364A"/>
    <w:rsid w:val="003038D2"/>
    <w:rsid w:val="00303AF5"/>
    <w:rsid w:val="003045CF"/>
    <w:rsid w:val="00304E0E"/>
    <w:rsid w:val="00305038"/>
    <w:rsid w:val="003050C9"/>
    <w:rsid w:val="00305282"/>
    <w:rsid w:val="00305661"/>
    <w:rsid w:val="00305A14"/>
    <w:rsid w:val="00305D4E"/>
    <w:rsid w:val="00305D85"/>
    <w:rsid w:val="00305DEC"/>
    <w:rsid w:val="00305E9E"/>
    <w:rsid w:val="00306594"/>
    <w:rsid w:val="003066FD"/>
    <w:rsid w:val="00306BAA"/>
    <w:rsid w:val="00307051"/>
    <w:rsid w:val="0030710D"/>
    <w:rsid w:val="0030716F"/>
    <w:rsid w:val="00307463"/>
    <w:rsid w:val="00307AF7"/>
    <w:rsid w:val="00307BA8"/>
    <w:rsid w:val="00307DED"/>
    <w:rsid w:val="00310070"/>
    <w:rsid w:val="00310662"/>
    <w:rsid w:val="00310E18"/>
    <w:rsid w:val="00310E3D"/>
    <w:rsid w:val="00311096"/>
    <w:rsid w:val="0031109E"/>
    <w:rsid w:val="0031146E"/>
    <w:rsid w:val="003117BA"/>
    <w:rsid w:val="00311B35"/>
    <w:rsid w:val="00311F6C"/>
    <w:rsid w:val="00311F70"/>
    <w:rsid w:val="00312BF2"/>
    <w:rsid w:val="00312C52"/>
    <w:rsid w:val="00312E91"/>
    <w:rsid w:val="00313139"/>
    <w:rsid w:val="003132B7"/>
    <w:rsid w:val="003137CF"/>
    <w:rsid w:val="003138AA"/>
    <w:rsid w:val="00313A55"/>
    <w:rsid w:val="00313D24"/>
    <w:rsid w:val="00313E86"/>
    <w:rsid w:val="0031448B"/>
    <w:rsid w:val="0031482F"/>
    <w:rsid w:val="00314AFF"/>
    <w:rsid w:val="00314F67"/>
    <w:rsid w:val="00315341"/>
    <w:rsid w:val="003155ED"/>
    <w:rsid w:val="0031560F"/>
    <w:rsid w:val="003159E8"/>
    <w:rsid w:val="00316078"/>
    <w:rsid w:val="003161F8"/>
    <w:rsid w:val="003164E0"/>
    <w:rsid w:val="00316589"/>
    <w:rsid w:val="0031666E"/>
    <w:rsid w:val="00316685"/>
    <w:rsid w:val="00316D20"/>
    <w:rsid w:val="0031705A"/>
    <w:rsid w:val="0031706D"/>
    <w:rsid w:val="00317687"/>
    <w:rsid w:val="00317935"/>
    <w:rsid w:val="00317EF0"/>
    <w:rsid w:val="003200BD"/>
    <w:rsid w:val="003200FA"/>
    <w:rsid w:val="0032074E"/>
    <w:rsid w:val="003214B8"/>
    <w:rsid w:val="00321536"/>
    <w:rsid w:val="003218D2"/>
    <w:rsid w:val="00321DE6"/>
    <w:rsid w:val="00321E1B"/>
    <w:rsid w:val="00322573"/>
    <w:rsid w:val="0032259C"/>
    <w:rsid w:val="00322722"/>
    <w:rsid w:val="00322D65"/>
    <w:rsid w:val="00322D67"/>
    <w:rsid w:val="00322E6E"/>
    <w:rsid w:val="00322FBF"/>
    <w:rsid w:val="003231A4"/>
    <w:rsid w:val="00323553"/>
    <w:rsid w:val="00323721"/>
    <w:rsid w:val="00323E5A"/>
    <w:rsid w:val="0032450B"/>
    <w:rsid w:val="00324ABB"/>
    <w:rsid w:val="00324AFA"/>
    <w:rsid w:val="003250FF"/>
    <w:rsid w:val="003251BA"/>
    <w:rsid w:val="003252ED"/>
    <w:rsid w:val="0032540D"/>
    <w:rsid w:val="003254CC"/>
    <w:rsid w:val="00325E82"/>
    <w:rsid w:val="003265C5"/>
    <w:rsid w:val="00326A00"/>
    <w:rsid w:val="00326BAE"/>
    <w:rsid w:val="00326BDC"/>
    <w:rsid w:val="00326D7A"/>
    <w:rsid w:val="00326DC9"/>
    <w:rsid w:val="0032704F"/>
    <w:rsid w:val="003309B6"/>
    <w:rsid w:val="00330AEC"/>
    <w:rsid w:val="0033104C"/>
    <w:rsid w:val="003310A3"/>
    <w:rsid w:val="003316BD"/>
    <w:rsid w:val="003317BB"/>
    <w:rsid w:val="003318AD"/>
    <w:rsid w:val="00331A92"/>
    <w:rsid w:val="003320B2"/>
    <w:rsid w:val="00332124"/>
    <w:rsid w:val="003321CB"/>
    <w:rsid w:val="003321D2"/>
    <w:rsid w:val="00332247"/>
    <w:rsid w:val="0033272B"/>
    <w:rsid w:val="00332D4B"/>
    <w:rsid w:val="00333043"/>
    <w:rsid w:val="00333066"/>
    <w:rsid w:val="00333464"/>
    <w:rsid w:val="00333B0D"/>
    <w:rsid w:val="00333E75"/>
    <w:rsid w:val="003340BC"/>
    <w:rsid w:val="00334824"/>
    <w:rsid w:val="003351EF"/>
    <w:rsid w:val="00335660"/>
    <w:rsid w:val="00335AFE"/>
    <w:rsid w:val="00336130"/>
    <w:rsid w:val="0033616F"/>
    <w:rsid w:val="003361F8"/>
    <w:rsid w:val="00336512"/>
    <w:rsid w:val="0033671B"/>
    <w:rsid w:val="003368EF"/>
    <w:rsid w:val="00336968"/>
    <w:rsid w:val="00336CEF"/>
    <w:rsid w:val="00337468"/>
    <w:rsid w:val="00337A8E"/>
    <w:rsid w:val="00337E11"/>
    <w:rsid w:val="00337EE6"/>
    <w:rsid w:val="00340023"/>
    <w:rsid w:val="003403CF"/>
    <w:rsid w:val="003403DA"/>
    <w:rsid w:val="0034046D"/>
    <w:rsid w:val="0034057F"/>
    <w:rsid w:val="00340895"/>
    <w:rsid w:val="00340A5E"/>
    <w:rsid w:val="00340A92"/>
    <w:rsid w:val="00340E53"/>
    <w:rsid w:val="0034103F"/>
    <w:rsid w:val="00341087"/>
    <w:rsid w:val="00341159"/>
    <w:rsid w:val="0034131A"/>
    <w:rsid w:val="003413FA"/>
    <w:rsid w:val="0034141D"/>
    <w:rsid w:val="00341981"/>
    <w:rsid w:val="00341B04"/>
    <w:rsid w:val="0034245F"/>
    <w:rsid w:val="0034254D"/>
    <w:rsid w:val="0034274E"/>
    <w:rsid w:val="0034277E"/>
    <w:rsid w:val="00343346"/>
    <w:rsid w:val="0034352A"/>
    <w:rsid w:val="003438BE"/>
    <w:rsid w:val="003438EE"/>
    <w:rsid w:val="00343C5A"/>
    <w:rsid w:val="003448A3"/>
    <w:rsid w:val="00344FD1"/>
    <w:rsid w:val="003451A0"/>
    <w:rsid w:val="0034556F"/>
    <w:rsid w:val="00345639"/>
    <w:rsid w:val="00345CCE"/>
    <w:rsid w:val="00346337"/>
    <w:rsid w:val="003467C1"/>
    <w:rsid w:val="00346ABC"/>
    <w:rsid w:val="00346C18"/>
    <w:rsid w:val="0034711A"/>
    <w:rsid w:val="0034746B"/>
    <w:rsid w:val="00347526"/>
    <w:rsid w:val="00347729"/>
    <w:rsid w:val="00347A56"/>
    <w:rsid w:val="00347B83"/>
    <w:rsid w:val="00350C3F"/>
    <w:rsid w:val="00350EF4"/>
    <w:rsid w:val="00350FB6"/>
    <w:rsid w:val="00351256"/>
    <w:rsid w:val="0035150E"/>
    <w:rsid w:val="0035180D"/>
    <w:rsid w:val="003518A0"/>
    <w:rsid w:val="00351A7B"/>
    <w:rsid w:val="00351ADA"/>
    <w:rsid w:val="003521A1"/>
    <w:rsid w:val="00352390"/>
    <w:rsid w:val="00352424"/>
    <w:rsid w:val="00352B6F"/>
    <w:rsid w:val="00352DBD"/>
    <w:rsid w:val="00353345"/>
    <w:rsid w:val="00353B65"/>
    <w:rsid w:val="00353E12"/>
    <w:rsid w:val="00354351"/>
    <w:rsid w:val="00354476"/>
    <w:rsid w:val="003546D1"/>
    <w:rsid w:val="00354794"/>
    <w:rsid w:val="003548F6"/>
    <w:rsid w:val="00354C0C"/>
    <w:rsid w:val="00354F4F"/>
    <w:rsid w:val="0035503F"/>
    <w:rsid w:val="00355828"/>
    <w:rsid w:val="00355D25"/>
    <w:rsid w:val="00355EB5"/>
    <w:rsid w:val="00356072"/>
    <w:rsid w:val="0035647E"/>
    <w:rsid w:val="003566D0"/>
    <w:rsid w:val="00356BE7"/>
    <w:rsid w:val="00356DE7"/>
    <w:rsid w:val="00357E46"/>
    <w:rsid w:val="0036003B"/>
    <w:rsid w:val="00360599"/>
    <w:rsid w:val="003609C6"/>
    <w:rsid w:val="00360F6C"/>
    <w:rsid w:val="0036117F"/>
    <w:rsid w:val="0036134A"/>
    <w:rsid w:val="00361D73"/>
    <w:rsid w:val="00362266"/>
    <w:rsid w:val="00362303"/>
    <w:rsid w:val="00362E86"/>
    <w:rsid w:val="00363326"/>
    <w:rsid w:val="0036390E"/>
    <w:rsid w:val="00363A50"/>
    <w:rsid w:val="00364549"/>
    <w:rsid w:val="003648A0"/>
    <w:rsid w:val="00364AA8"/>
    <w:rsid w:val="00364AEC"/>
    <w:rsid w:val="00364B26"/>
    <w:rsid w:val="00364EC4"/>
    <w:rsid w:val="0036523F"/>
    <w:rsid w:val="003656CD"/>
    <w:rsid w:val="0036582E"/>
    <w:rsid w:val="00365F92"/>
    <w:rsid w:val="00365FCB"/>
    <w:rsid w:val="0036660C"/>
    <w:rsid w:val="0036672D"/>
    <w:rsid w:val="0036675A"/>
    <w:rsid w:val="003668AC"/>
    <w:rsid w:val="00366B6D"/>
    <w:rsid w:val="00366ED0"/>
    <w:rsid w:val="00367063"/>
    <w:rsid w:val="0036715F"/>
    <w:rsid w:val="00367307"/>
    <w:rsid w:val="003702D5"/>
    <w:rsid w:val="0037045E"/>
    <w:rsid w:val="003704A7"/>
    <w:rsid w:val="00370571"/>
    <w:rsid w:val="00370A38"/>
    <w:rsid w:val="00370B2C"/>
    <w:rsid w:val="00370FD6"/>
    <w:rsid w:val="003712A1"/>
    <w:rsid w:val="00371923"/>
    <w:rsid w:val="00371934"/>
    <w:rsid w:val="00371B77"/>
    <w:rsid w:val="003728B2"/>
    <w:rsid w:val="00373242"/>
    <w:rsid w:val="0037348E"/>
    <w:rsid w:val="00373587"/>
    <w:rsid w:val="00373695"/>
    <w:rsid w:val="00373817"/>
    <w:rsid w:val="003739B1"/>
    <w:rsid w:val="00373B4F"/>
    <w:rsid w:val="00373DF8"/>
    <w:rsid w:val="003744F6"/>
    <w:rsid w:val="00374A66"/>
    <w:rsid w:val="00374D5B"/>
    <w:rsid w:val="00374FA1"/>
    <w:rsid w:val="00374FAA"/>
    <w:rsid w:val="003751ED"/>
    <w:rsid w:val="00375360"/>
    <w:rsid w:val="00375B00"/>
    <w:rsid w:val="00375D05"/>
    <w:rsid w:val="00375D97"/>
    <w:rsid w:val="00375EDE"/>
    <w:rsid w:val="00376042"/>
    <w:rsid w:val="00376060"/>
    <w:rsid w:val="00376179"/>
    <w:rsid w:val="003761BB"/>
    <w:rsid w:val="0037621F"/>
    <w:rsid w:val="003763F3"/>
    <w:rsid w:val="0037655C"/>
    <w:rsid w:val="00376661"/>
    <w:rsid w:val="0037693B"/>
    <w:rsid w:val="003769AB"/>
    <w:rsid w:val="003771FD"/>
    <w:rsid w:val="0037769C"/>
    <w:rsid w:val="003776BB"/>
    <w:rsid w:val="00377F06"/>
    <w:rsid w:val="00377F27"/>
    <w:rsid w:val="00377F5A"/>
    <w:rsid w:val="00380195"/>
    <w:rsid w:val="00380597"/>
    <w:rsid w:val="003805EF"/>
    <w:rsid w:val="00380A5A"/>
    <w:rsid w:val="00380A62"/>
    <w:rsid w:val="00380BE8"/>
    <w:rsid w:val="0038106D"/>
    <w:rsid w:val="003813BB"/>
    <w:rsid w:val="00381462"/>
    <w:rsid w:val="00381E28"/>
    <w:rsid w:val="003822F4"/>
    <w:rsid w:val="00382440"/>
    <w:rsid w:val="003825E0"/>
    <w:rsid w:val="00382BF4"/>
    <w:rsid w:val="00382CBF"/>
    <w:rsid w:val="003833EC"/>
    <w:rsid w:val="00383561"/>
    <w:rsid w:val="00383C6D"/>
    <w:rsid w:val="00383F80"/>
    <w:rsid w:val="00384059"/>
    <w:rsid w:val="00384318"/>
    <w:rsid w:val="003846EA"/>
    <w:rsid w:val="0038472E"/>
    <w:rsid w:val="003847E5"/>
    <w:rsid w:val="00384C6D"/>
    <w:rsid w:val="00384FE4"/>
    <w:rsid w:val="0038594D"/>
    <w:rsid w:val="00385A4E"/>
    <w:rsid w:val="00385A53"/>
    <w:rsid w:val="00385C13"/>
    <w:rsid w:val="00385C9F"/>
    <w:rsid w:val="0038625E"/>
    <w:rsid w:val="0038627D"/>
    <w:rsid w:val="003862C8"/>
    <w:rsid w:val="00386858"/>
    <w:rsid w:val="00386BAD"/>
    <w:rsid w:val="00386BB5"/>
    <w:rsid w:val="00386BF4"/>
    <w:rsid w:val="00386D1D"/>
    <w:rsid w:val="003879B0"/>
    <w:rsid w:val="00390469"/>
    <w:rsid w:val="003906A8"/>
    <w:rsid w:val="003909D4"/>
    <w:rsid w:val="00390BC4"/>
    <w:rsid w:val="00390BE2"/>
    <w:rsid w:val="0039107A"/>
    <w:rsid w:val="0039143F"/>
    <w:rsid w:val="00391B39"/>
    <w:rsid w:val="00392A6F"/>
    <w:rsid w:val="00392DBF"/>
    <w:rsid w:val="00393CB2"/>
    <w:rsid w:val="00393D70"/>
    <w:rsid w:val="00393DBB"/>
    <w:rsid w:val="00393FEC"/>
    <w:rsid w:val="003941A3"/>
    <w:rsid w:val="003944B9"/>
    <w:rsid w:val="00394788"/>
    <w:rsid w:val="00394961"/>
    <w:rsid w:val="00394A8E"/>
    <w:rsid w:val="00394BAE"/>
    <w:rsid w:val="00394D08"/>
    <w:rsid w:val="003952FE"/>
    <w:rsid w:val="003953B4"/>
    <w:rsid w:val="0039552F"/>
    <w:rsid w:val="0039573F"/>
    <w:rsid w:val="0039577C"/>
    <w:rsid w:val="00395798"/>
    <w:rsid w:val="0039581E"/>
    <w:rsid w:val="00395A77"/>
    <w:rsid w:val="00395C9C"/>
    <w:rsid w:val="00395E81"/>
    <w:rsid w:val="00396182"/>
    <w:rsid w:val="0039651D"/>
    <w:rsid w:val="003966A9"/>
    <w:rsid w:val="00396B89"/>
    <w:rsid w:val="003970E8"/>
    <w:rsid w:val="0039729E"/>
    <w:rsid w:val="00397389"/>
    <w:rsid w:val="003973C0"/>
    <w:rsid w:val="0039757A"/>
    <w:rsid w:val="0039789A"/>
    <w:rsid w:val="00397931"/>
    <w:rsid w:val="00397AA3"/>
    <w:rsid w:val="00397B8D"/>
    <w:rsid w:val="00397F8B"/>
    <w:rsid w:val="003A037F"/>
    <w:rsid w:val="003A041E"/>
    <w:rsid w:val="003A0510"/>
    <w:rsid w:val="003A05B8"/>
    <w:rsid w:val="003A079E"/>
    <w:rsid w:val="003A1012"/>
    <w:rsid w:val="003A1601"/>
    <w:rsid w:val="003A1AB4"/>
    <w:rsid w:val="003A1AC4"/>
    <w:rsid w:val="003A253D"/>
    <w:rsid w:val="003A2619"/>
    <w:rsid w:val="003A26B7"/>
    <w:rsid w:val="003A284C"/>
    <w:rsid w:val="003A33CF"/>
    <w:rsid w:val="003A3A86"/>
    <w:rsid w:val="003A4232"/>
    <w:rsid w:val="003A4537"/>
    <w:rsid w:val="003A4D92"/>
    <w:rsid w:val="003A4D99"/>
    <w:rsid w:val="003A4FA7"/>
    <w:rsid w:val="003A508A"/>
    <w:rsid w:val="003A5186"/>
    <w:rsid w:val="003A5BC3"/>
    <w:rsid w:val="003A5D26"/>
    <w:rsid w:val="003A6080"/>
    <w:rsid w:val="003A62A1"/>
    <w:rsid w:val="003A6335"/>
    <w:rsid w:val="003A6850"/>
    <w:rsid w:val="003A6A06"/>
    <w:rsid w:val="003A716A"/>
    <w:rsid w:val="003A76FF"/>
    <w:rsid w:val="003A781F"/>
    <w:rsid w:val="003A7B98"/>
    <w:rsid w:val="003B012F"/>
    <w:rsid w:val="003B0339"/>
    <w:rsid w:val="003B0391"/>
    <w:rsid w:val="003B0900"/>
    <w:rsid w:val="003B0A04"/>
    <w:rsid w:val="003B0A5E"/>
    <w:rsid w:val="003B0B7F"/>
    <w:rsid w:val="003B0C3A"/>
    <w:rsid w:val="003B0D52"/>
    <w:rsid w:val="003B1595"/>
    <w:rsid w:val="003B18F8"/>
    <w:rsid w:val="003B19F0"/>
    <w:rsid w:val="003B1EF6"/>
    <w:rsid w:val="003B2240"/>
    <w:rsid w:val="003B2428"/>
    <w:rsid w:val="003B2876"/>
    <w:rsid w:val="003B2A67"/>
    <w:rsid w:val="003B2ABD"/>
    <w:rsid w:val="003B3035"/>
    <w:rsid w:val="003B32D0"/>
    <w:rsid w:val="003B32E9"/>
    <w:rsid w:val="003B3694"/>
    <w:rsid w:val="003B3C7A"/>
    <w:rsid w:val="003B3D99"/>
    <w:rsid w:val="003B3E1E"/>
    <w:rsid w:val="003B3F79"/>
    <w:rsid w:val="003B40A3"/>
    <w:rsid w:val="003B4380"/>
    <w:rsid w:val="003B44D6"/>
    <w:rsid w:val="003B46AB"/>
    <w:rsid w:val="003B4CC7"/>
    <w:rsid w:val="003B536B"/>
    <w:rsid w:val="003B55F3"/>
    <w:rsid w:val="003B55F4"/>
    <w:rsid w:val="003B5936"/>
    <w:rsid w:val="003B5DA1"/>
    <w:rsid w:val="003B5E5A"/>
    <w:rsid w:val="003B61FA"/>
    <w:rsid w:val="003B628D"/>
    <w:rsid w:val="003B64B4"/>
    <w:rsid w:val="003B68AE"/>
    <w:rsid w:val="003B6BB9"/>
    <w:rsid w:val="003B6E0D"/>
    <w:rsid w:val="003B73BC"/>
    <w:rsid w:val="003B7767"/>
    <w:rsid w:val="003B77B5"/>
    <w:rsid w:val="003B78A4"/>
    <w:rsid w:val="003B7CD9"/>
    <w:rsid w:val="003C0988"/>
    <w:rsid w:val="003C0AAC"/>
    <w:rsid w:val="003C10D5"/>
    <w:rsid w:val="003C12CA"/>
    <w:rsid w:val="003C1493"/>
    <w:rsid w:val="003C1947"/>
    <w:rsid w:val="003C1E5C"/>
    <w:rsid w:val="003C1ED5"/>
    <w:rsid w:val="003C26F3"/>
    <w:rsid w:val="003C287A"/>
    <w:rsid w:val="003C2DDD"/>
    <w:rsid w:val="003C2E03"/>
    <w:rsid w:val="003C308F"/>
    <w:rsid w:val="003C32F8"/>
    <w:rsid w:val="003C348E"/>
    <w:rsid w:val="003C407B"/>
    <w:rsid w:val="003C4289"/>
    <w:rsid w:val="003C42A6"/>
    <w:rsid w:val="003C473F"/>
    <w:rsid w:val="003C50A1"/>
    <w:rsid w:val="003C5146"/>
    <w:rsid w:val="003C54B3"/>
    <w:rsid w:val="003C570D"/>
    <w:rsid w:val="003C5AE7"/>
    <w:rsid w:val="003C5DBD"/>
    <w:rsid w:val="003C5EFE"/>
    <w:rsid w:val="003C62D4"/>
    <w:rsid w:val="003C6659"/>
    <w:rsid w:val="003C6CFE"/>
    <w:rsid w:val="003C7133"/>
    <w:rsid w:val="003C7504"/>
    <w:rsid w:val="003C7DCE"/>
    <w:rsid w:val="003D0206"/>
    <w:rsid w:val="003D07B2"/>
    <w:rsid w:val="003D0A19"/>
    <w:rsid w:val="003D0C6C"/>
    <w:rsid w:val="003D130F"/>
    <w:rsid w:val="003D1870"/>
    <w:rsid w:val="003D1CD8"/>
    <w:rsid w:val="003D1FDF"/>
    <w:rsid w:val="003D22BD"/>
    <w:rsid w:val="003D25C9"/>
    <w:rsid w:val="003D27EF"/>
    <w:rsid w:val="003D280C"/>
    <w:rsid w:val="003D2A4F"/>
    <w:rsid w:val="003D2DDF"/>
    <w:rsid w:val="003D3147"/>
    <w:rsid w:val="003D31C7"/>
    <w:rsid w:val="003D33E9"/>
    <w:rsid w:val="003D3480"/>
    <w:rsid w:val="003D37E7"/>
    <w:rsid w:val="003D3B69"/>
    <w:rsid w:val="003D3D90"/>
    <w:rsid w:val="003D3FA5"/>
    <w:rsid w:val="003D4136"/>
    <w:rsid w:val="003D4E85"/>
    <w:rsid w:val="003D5889"/>
    <w:rsid w:val="003D5DF0"/>
    <w:rsid w:val="003D612C"/>
    <w:rsid w:val="003D6A45"/>
    <w:rsid w:val="003D6B14"/>
    <w:rsid w:val="003D7644"/>
    <w:rsid w:val="003E06B5"/>
    <w:rsid w:val="003E11A6"/>
    <w:rsid w:val="003E1360"/>
    <w:rsid w:val="003E1A03"/>
    <w:rsid w:val="003E1FF3"/>
    <w:rsid w:val="003E223F"/>
    <w:rsid w:val="003E26B5"/>
    <w:rsid w:val="003E2B9A"/>
    <w:rsid w:val="003E2B9C"/>
    <w:rsid w:val="003E2CAC"/>
    <w:rsid w:val="003E30F4"/>
    <w:rsid w:val="003E332D"/>
    <w:rsid w:val="003E3561"/>
    <w:rsid w:val="003E36EE"/>
    <w:rsid w:val="003E3748"/>
    <w:rsid w:val="003E3771"/>
    <w:rsid w:val="003E3777"/>
    <w:rsid w:val="003E3CC6"/>
    <w:rsid w:val="003E3ED4"/>
    <w:rsid w:val="003E4446"/>
    <w:rsid w:val="003E4766"/>
    <w:rsid w:val="003E4A7A"/>
    <w:rsid w:val="003E4B58"/>
    <w:rsid w:val="003E4D54"/>
    <w:rsid w:val="003E5187"/>
    <w:rsid w:val="003E530B"/>
    <w:rsid w:val="003E5485"/>
    <w:rsid w:val="003E5520"/>
    <w:rsid w:val="003E55CF"/>
    <w:rsid w:val="003E560F"/>
    <w:rsid w:val="003E59F4"/>
    <w:rsid w:val="003E5A70"/>
    <w:rsid w:val="003E5C34"/>
    <w:rsid w:val="003E5EEE"/>
    <w:rsid w:val="003E6380"/>
    <w:rsid w:val="003E63ED"/>
    <w:rsid w:val="003E6413"/>
    <w:rsid w:val="003E65EF"/>
    <w:rsid w:val="003E6795"/>
    <w:rsid w:val="003E67EB"/>
    <w:rsid w:val="003E753D"/>
    <w:rsid w:val="003E77AC"/>
    <w:rsid w:val="003E7BB5"/>
    <w:rsid w:val="003E7CAA"/>
    <w:rsid w:val="003E7D69"/>
    <w:rsid w:val="003F03E7"/>
    <w:rsid w:val="003F0641"/>
    <w:rsid w:val="003F0B80"/>
    <w:rsid w:val="003F0C61"/>
    <w:rsid w:val="003F153A"/>
    <w:rsid w:val="003F160C"/>
    <w:rsid w:val="003F1649"/>
    <w:rsid w:val="003F17C8"/>
    <w:rsid w:val="003F1ADE"/>
    <w:rsid w:val="003F1C54"/>
    <w:rsid w:val="003F1F23"/>
    <w:rsid w:val="003F2032"/>
    <w:rsid w:val="003F22D0"/>
    <w:rsid w:val="003F24F1"/>
    <w:rsid w:val="003F27A9"/>
    <w:rsid w:val="003F2ADF"/>
    <w:rsid w:val="003F2DC3"/>
    <w:rsid w:val="003F2F14"/>
    <w:rsid w:val="003F319E"/>
    <w:rsid w:val="003F329E"/>
    <w:rsid w:val="003F396D"/>
    <w:rsid w:val="003F3CE1"/>
    <w:rsid w:val="003F3D14"/>
    <w:rsid w:val="003F3D87"/>
    <w:rsid w:val="003F3EFE"/>
    <w:rsid w:val="003F4043"/>
    <w:rsid w:val="003F4593"/>
    <w:rsid w:val="003F4639"/>
    <w:rsid w:val="003F515E"/>
    <w:rsid w:val="003F56FF"/>
    <w:rsid w:val="003F5A0E"/>
    <w:rsid w:val="003F5B8F"/>
    <w:rsid w:val="003F5D2F"/>
    <w:rsid w:val="003F5EDE"/>
    <w:rsid w:val="003F6168"/>
    <w:rsid w:val="003F6AB1"/>
    <w:rsid w:val="003F7364"/>
    <w:rsid w:val="003F79FB"/>
    <w:rsid w:val="003F7B28"/>
    <w:rsid w:val="003F7F31"/>
    <w:rsid w:val="00400047"/>
    <w:rsid w:val="0040040D"/>
    <w:rsid w:val="00400442"/>
    <w:rsid w:val="0040082E"/>
    <w:rsid w:val="00400FBC"/>
    <w:rsid w:val="004010EB"/>
    <w:rsid w:val="004015D6"/>
    <w:rsid w:val="004019A8"/>
    <w:rsid w:val="004019C6"/>
    <w:rsid w:val="004019D8"/>
    <w:rsid w:val="00401AA7"/>
    <w:rsid w:val="00401BD3"/>
    <w:rsid w:val="00401CB0"/>
    <w:rsid w:val="00401E54"/>
    <w:rsid w:val="00402050"/>
    <w:rsid w:val="0040232B"/>
    <w:rsid w:val="004023C6"/>
    <w:rsid w:val="004026DA"/>
    <w:rsid w:val="00402A0B"/>
    <w:rsid w:val="00402C31"/>
    <w:rsid w:val="00402EB0"/>
    <w:rsid w:val="004032A3"/>
    <w:rsid w:val="00403835"/>
    <w:rsid w:val="004041A2"/>
    <w:rsid w:val="004046B0"/>
    <w:rsid w:val="00404AD9"/>
    <w:rsid w:val="00404B67"/>
    <w:rsid w:val="00404C58"/>
    <w:rsid w:val="00404F70"/>
    <w:rsid w:val="0040510A"/>
    <w:rsid w:val="004051A7"/>
    <w:rsid w:val="00405517"/>
    <w:rsid w:val="00405573"/>
    <w:rsid w:val="0040560D"/>
    <w:rsid w:val="00405731"/>
    <w:rsid w:val="0040593F"/>
    <w:rsid w:val="00405ABF"/>
    <w:rsid w:val="00405E73"/>
    <w:rsid w:val="00406C1D"/>
    <w:rsid w:val="00406DD6"/>
    <w:rsid w:val="00406F9B"/>
    <w:rsid w:val="00407402"/>
    <w:rsid w:val="0040793B"/>
    <w:rsid w:val="00407AFB"/>
    <w:rsid w:val="004100C3"/>
    <w:rsid w:val="004101E8"/>
    <w:rsid w:val="00410CCB"/>
    <w:rsid w:val="00410FAA"/>
    <w:rsid w:val="00411140"/>
    <w:rsid w:val="00411784"/>
    <w:rsid w:val="004118BF"/>
    <w:rsid w:val="00412273"/>
    <w:rsid w:val="00412333"/>
    <w:rsid w:val="004125CB"/>
    <w:rsid w:val="0041271A"/>
    <w:rsid w:val="00412C64"/>
    <w:rsid w:val="00413182"/>
    <w:rsid w:val="0041330F"/>
    <w:rsid w:val="00413433"/>
    <w:rsid w:val="0041363A"/>
    <w:rsid w:val="00413661"/>
    <w:rsid w:val="00413C64"/>
    <w:rsid w:val="00413E2F"/>
    <w:rsid w:val="00413F4B"/>
    <w:rsid w:val="00413F74"/>
    <w:rsid w:val="00414010"/>
    <w:rsid w:val="00414204"/>
    <w:rsid w:val="0041439B"/>
    <w:rsid w:val="004143A4"/>
    <w:rsid w:val="00414956"/>
    <w:rsid w:val="00414E37"/>
    <w:rsid w:val="00415126"/>
    <w:rsid w:val="00415791"/>
    <w:rsid w:val="00415B14"/>
    <w:rsid w:val="00415B4B"/>
    <w:rsid w:val="00415E88"/>
    <w:rsid w:val="004165C8"/>
    <w:rsid w:val="00416925"/>
    <w:rsid w:val="00416B16"/>
    <w:rsid w:val="00417172"/>
    <w:rsid w:val="004173D9"/>
    <w:rsid w:val="004174A1"/>
    <w:rsid w:val="004177B8"/>
    <w:rsid w:val="00417A64"/>
    <w:rsid w:val="00417C8C"/>
    <w:rsid w:val="00417E60"/>
    <w:rsid w:val="00417FA6"/>
    <w:rsid w:val="004207E9"/>
    <w:rsid w:val="00420985"/>
    <w:rsid w:val="004209EB"/>
    <w:rsid w:val="0042110B"/>
    <w:rsid w:val="00421440"/>
    <w:rsid w:val="00421831"/>
    <w:rsid w:val="00422589"/>
    <w:rsid w:val="004232B0"/>
    <w:rsid w:val="00423325"/>
    <w:rsid w:val="004234D6"/>
    <w:rsid w:val="0042396B"/>
    <w:rsid w:val="00423A36"/>
    <w:rsid w:val="00423EC9"/>
    <w:rsid w:val="00423EDD"/>
    <w:rsid w:val="004241B3"/>
    <w:rsid w:val="0042436A"/>
    <w:rsid w:val="0042459D"/>
    <w:rsid w:val="004247B3"/>
    <w:rsid w:val="00424950"/>
    <w:rsid w:val="00424BA7"/>
    <w:rsid w:val="00424C49"/>
    <w:rsid w:val="004253A0"/>
    <w:rsid w:val="004258B2"/>
    <w:rsid w:val="00425B60"/>
    <w:rsid w:val="00425F00"/>
    <w:rsid w:val="0042625E"/>
    <w:rsid w:val="004262F7"/>
    <w:rsid w:val="00426855"/>
    <w:rsid w:val="004268FD"/>
    <w:rsid w:val="00426F72"/>
    <w:rsid w:val="00426FE1"/>
    <w:rsid w:val="004272CC"/>
    <w:rsid w:val="0042735B"/>
    <w:rsid w:val="00427A36"/>
    <w:rsid w:val="00427BE3"/>
    <w:rsid w:val="00427C76"/>
    <w:rsid w:val="00427EB6"/>
    <w:rsid w:val="0043036D"/>
    <w:rsid w:val="0043039A"/>
    <w:rsid w:val="0043089D"/>
    <w:rsid w:val="00430D90"/>
    <w:rsid w:val="00431A1B"/>
    <w:rsid w:val="00431B3A"/>
    <w:rsid w:val="00431C5F"/>
    <w:rsid w:val="00432F76"/>
    <w:rsid w:val="004331B0"/>
    <w:rsid w:val="00433265"/>
    <w:rsid w:val="004336DC"/>
    <w:rsid w:val="00433CF5"/>
    <w:rsid w:val="00433FCE"/>
    <w:rsid w:val="004341CC"/>
    <w:rsid w:val="00434427"/>
    <w:rsid w:val="00434688"/>
    <w:rsid w:val="00434A15"/>
    <w:rsid w:val="00434C07"/>
    <w:rsid w:val="00434D7A"/>
    <w:rsid w:val="0043531B"/>
    <w:rsid w:val="004357EB"/>
    <w:rsid w:val="0043599D"/>
    <w:rsid w:val="00435A86"/>
    <w:rsid w:val="00435EB9"/>
    <w:rsid w:val="004360C0"/>
    <w:rsid w:val="00436A06"/>
    <w:rsid w:val="00436B0C"/>
    <w:rsid w:val="00436BBF"/>
    <w:rsid w:val="00436D9D"/>
    <w:rsid w:val="00436F39"/>
    <w:rsid w:val="00437011"/>
    <w:rsid w:val="00437058"/>
    <w:rsid w:val="004370AF"/>
    <w:rsid w:val="00437878"/>
    <w:rsid w:val="00437DD9"/>
    <w:rsid w:val="00437E90"/>
    <w:rsid w:val="00440401"/>
    <w:rsid w:val="00440731"/>
    <w:rsid w:val="00440CA4"/>
    <w:rsid w:val="00440E27"/>
    <w:rsid w:val="00441518"/>
    <w:rsid w:val="004415FB"/>
    <w:rsid w:val="00441602"/>
    <w:rsid w:val="00441F8A"/>
    <w:rsid w:val="004420AB"/>
    <w:rsid w:val="00442A55"/>
    <w:rsid w:val="0044377C"/>
    <w:rsid w:val="00443D03"/>
    <w:rsid w:val="00443E8E"/>
    <w:rsid w:val="0044464E"/>
    <w:rsid w:val="00444767"/>
    <w:rsid w:val="0044483C"/>
    <w:rsid w:val="00444EBB"/>
    <w:rsid w:val="00444ECD"/>
    <w:rsid w:val="00444EE1"/>
    <w:rsid w:val="00444FD2"/>
    <w:rsid w:val="0044501E"/>
    <w:rsid w:val="0044532C"/>
    <w:rsid w:val="00445352"/>
    <w:rsid w:val="004453DA"/>
    <w:rsid w:val="004457AB"/>
    <w:rsid w:val="004460E4"/>
    <w:rsid w:val="0044622B"/>
    <w:rsid w:val="0044693E"/>
    <w:rsid w:val="00446CC8"/>
    <w:rsid w:val="004474F8"/>
    <w:rsid w:val="00447544"/>
    <w:rsid w:val="004477CC"/>
    <w:rsid w:val="00447883"/>
    <w:rsid w:val="00447B41"/>
    <w:rsid w:val="00447EFF"/>
    <w:rsid w:val="004505A4"/>
    <w:rsid w:val="004506C8"/>
    <w:rsid w:val="00450AA7"/>
    <w:rsid w:val="0045118B"/>
    <w:rsid w:val="004512D0"/>
    <w:rsid w:val="004512E4"/>
    <w:rsid w:val="00451791"/>
    <w:rsid w:val="00451916"/>
    <w:rsid w:val="00451B79"/>
    <w:rsid w:val="00451F59"/>
    <w:rsid w:val="004522EB"/>
    <w:rsid w:val="0045236F"/>
    <w:rsid w:val="004523B5"/>
    <w:rsid w:val="0045263E"/>
    <w:rsid w:val="004529A1"/>
    <w:rsid w:val="00452EF6"/>
    <w:rsid w:val="00452F31"/>
    <w:rsid w:val="00452F5C"/>
    <w:rsid w:val="00453041"/>
    <w:rsid w:val="00453586"/>
    <w:rsid w:val="00453614"/>
    <w:rsid w:val="004537D8"/>
    <w:rsid w:val="004538C0"/>
    <w:rsid w:val="00453BEF"/>
    <w:rsid w:val="00454206"/>
    <w:rsid w:val="00454352"/>
    <w:rsid w:val="00454390"/>
    <w:rsid w:val="0045488E"/>
    <w:rsid w:val="00454B8E"/>
    <w:rsid w:val="00455309"/>
    <w:rsid w:val="00455CB2"/>
    <w:rsid w:val="0045603F"/>
    <w:rsid w:val="004560E9"/>
    <w:rsid w:val="004563B5"/>
    <w:rsid w:val="004563B8"/>
    <w:rsid w:val="00456444"/>
    <w:rsid w:val="004564E2"/>
    <w:rsid w:val="00456767"/>
    <w:rsid w:val="00456770"/>
    <w:rsid w:val="0045707C"/>
    <w:rsid w:val="0045712C"/>
    <w:rsid w:val="00457925"/>
    <w:rsid w:val="00460077"/>
    <w:rsid w:val="00460210"/>
    <w:rsid w:val="004604C5"/>
    <w:rsid w:val="00460CE7"/>
    <w:rsid w:val="00460DA7"/>
    <w:rsid w:val="00460E3B"/>
    <w:rsid w:val="00460F88"/>
    <w:rsid w:val="0046117A"/>
    <w:rsid w:val="004611FB"/>
    <w:rsid w:val="0046170D"/>
    <w:rsid w:val="00461AB4"/>
    <w:rsid w:val="00461FB6"/>
    <w:rsid w:val="004620A9"/>
    <w:rsid w:val="0046228F"/>
    <w:rsid w:val="004622DA"/>
    <w:rsid w:val="00462462"/>
    <w:rsid w:val="004628D4"/>
    <w:rsid w:val="004632CB"/>
    <w:rsid w:val="0046368E"/>
    <w:rsid w:val="0046386A"/>
    <w:rsid w:val="00463A0C"/>
    <w:rsid w:val="00463E7B"/>
    <w:rsid w:val="00463F83"/>
    <w:rsid w:val="00464684"/>
    <w:rsid w:val="00464A89"/>
    <w:rsid w:val="00465027"/>
    <w:rsid w:val="00465667"/>
    <w:rsid w:val="00465FA9"/>
    <w:rsid w:val="00466A4B"/>
    <w:rsid w:val="00466C6E"/>
    <w:rsid w:val="004672B0"/>
    <w:rsid w:val="004672D5"/>
    <w:rsid w:val="00467C55"/>
    <w:rsid w:val="00467F82"/>
    <w:rsid w:val="0047013E"/>
    <w:rsid w:val="00470446"/>
    <w:rsid w:val="00471304"/>
    <w:rsid w:val="0047151D"/>
    <w:rsid w:val="004717F5"/>
    <w:rsid w:val="004719DC"/>
    <w:rsid w:val="00471D88"/>
    <w:rsid w:val="0047241A"/>
    <w:rsid w:val="00472862"/>
    <w:rsid w:val="004728ED"/>
    <w:rsid w:val="00473440"/>
    <w:rsid w:val="00473ABE"/>
    <w:rsid w:val="00473C3A"/>
    <w:rsid w:val="004743A2"/>
    <w:rsid w:val="004745C1"/>
    <w:rsid w:val="004749BB"/>
    <w:rsid w:val="00474D28"/>
    <w:rsid w:val="00474EF1"/>
    <w:rsid w:val="00475DDB"/>
    <w:rsid w:val="00475E13"/>
    <w:rsid w:val="00475EAD"/>
    <w:rsid w:val="00475EE5"/>
    <w:rsid w:val="004762C3"/>
    <w:rsid w:val="00476326"/>
    <w:rsid w:val="00476587"/>
    <w:rsid w:val="004767D0"/>
    <w:rsid w:val="00476ED8"/>
    <w:rsid w:val="00476EF0"/>
    <w:rsid w:val="00477280"/>
    <w:rsid w:val="00477456"/>
    <w:rsid w:val="004777A4"/>
    <w:rsid w:val="00477C16"/>
    <w:rsid w:val="00477CD7"/>
    <w:rsid w:val="00477FFB"/>
    <w:rsid w:val="00480792"/>
    <w:rsid w:val="00480A23"/>
    <w:rsid w:val="00480EF9"/>
    <w:rsid w:val="00481237"/>
    <w:rsid w:val="0048136D"/>
    <w:rsid w:val="00481428"/>
    <w:rsid w:val="0048159C"/>
    <w:rsid w:val="00481AC8"/>
    <w:rsid w:val="00482010"/>
    <w:rsid w:val="00482412"/>
    <w:rsid w:val="00482820"/>
    <w:rsid w:val="00482DF5"/>
    <w:rsid w:val="00482DFD"/>
    <w:rsid w:val="004831B2"/>
    <w:rsid w:val="0048324C"/>
    <w:rsid w:val="004834C1"/>
    <w:rsid w:val="00483862"/>
    <w:rsid w:val="00483962"/>
    <w:rsid w:val="00483F48"/>
    <w:rsid w:val="0048402D"/>
    <w:rsid w:val="004841C3"/>
    <w:rsid w:val="0048436C"/>
    <w:rsid w:val="00484827"/>
    <w:rsid w:val="00484989"/>
    <w:rsid w:val="00484CE2"/>
    <w:rsid w:val="00484E86"/>
    <w:rsid w:val="00484EBE"/>
    <w:rsid w:val="00484FDE"/>
    <w:rsid w:val="00485002"/>
    <w:rsid w:val="004852D9"/>
    <w:rsid w:val="00485407"/>
    <w:rsid w:val="00485CC4"/>
    <w:rsid w:val="00485D29"/>
    <w:rsid w:val="00485DF6"/>
    <w:rsid w:val="004862F0"/>
    <w:rsid w:val="0048680B"/>
    <w:rsid w:val="00486835"/>
    <w:rsid w:val="004868DF"/>
    <w:rsid w:val="00486D31"/>
    <w:rsid w:val="004870DB"/>
    <w:rsid w:val="00487576"/>
    <w:rsid w:val="0048760A"/>
    <w:rsid w:val="00487827"/>
    <w:rsid w:val="00487F27"/>
    <w:rsid w:val="004901B5"/>
    <w:rsid w:val="0049054B"/>
    <w:rsid w:val="00490821"/>
    <w:rsid w:val="00490AC4"/>
    <w:rsid w:val="00490F34"/>
    <w:rsid w:val="00490F71"/>
    <w:rsid w:val="00491250"/>
    <w:rsid w:val="004912D9"/>
    <w:rsid w:val="004919D8"/>
    <w:rsid w:val="00491CC9"/>
    <w:rsid w:val="00491CED"/>
    <w:rsid w:val="00491DC6"/>
    <w:rsid w:val="0049202B"/>
    <w:rsid w:val="0049245E"/>
    <w:rsid w:val="0049250C"/>
    <w:rsid w:val="00492725"/>
    <w:rsid w:val="00492868"/>
    <w:rsid w:val="00492EEA"/>
    <w:rsid w:val="00494780"/>
    <w:rsid w:val="0049498F"/>
    <w:rsid w:val="00494C45"/>
    <w:rsid w:val="00495322"/>
    <w:rsid w:val="004955C4"/>
    <w:rsid w:val="004956A1"/>
    <w:rsid w:val="0049593E"/>
    <w:rsid w:val="00495B30"/>
    <w:rsid w:val="00495ED7"/>
    <w:rsid w:val="00496174"/>
    <w:rsid w:val="00496974"/>
    <w:rsid w:val="00496B67"/>
    <w:rsid w:val="004974EF"/>
    <w:rsid w:val="00497A28"/>
    <w:rsid w:val="00497CAB"/>
    <w:rsid w:val="00497D04"/>
    <w:rsid w:val="00497F5E"/>
    <w:rsid w:val="004A0477"/>
    <w:rsid w:val="004A08F6"/>
    <w:rsid w:val="004A0A0E"/>
    <w:rsid w:val="004A0FA0"/>
    <w:rsid w:val="004A1229"/>
    <w:rsid w:val="004A13D5"/>
    <w:rsid w:val="004A179F"/>
    <w:rsid w:val="004A1D70"/>
    <w:rsid w:val="004A1DDB"/>
    <w:rsid w:val="004A1FD3"/>
    <w:rsid w:val="004A21A5"/>
    <w:rsid w:val="004A2437"/>
    <w:rsid w:val="004A24C5"/>
    <w:rsid w:val="004A2D65"/>
    <w:rsid w:val="004A2F52"/>
    <w:rsid w:val="004A367C"/>
    <w:rsid w:val="004A36CA"/>
    <w:rsid w:val="004A37AB"/>
    <w:rsid w:val="004A3D44"/>
    <w:rsid w:val="004A3DC1"/>
    <w:rsid w:val="004A3F4D"/>
    <w:rsid w:val="004A4E99"/>
    <w:rsid w:val="004A5314"/>
    <w:rsid w:val="004A56FB"/>
    <w:rsid w:val="004A581E"/>
    <w:rsid w:val="004A5AF7"/>
    <w:rsid w:val="004A5C6A"/>
    <w:rsid w:val="004A5E55"/>
    <w:rsid w:val="004A6379"/>
    <w:rsid w:val="004A63DF"/>
    <w:rsid w:val="004A6598"/>
    <w:rsid w:val="004A68AD"/>
    <w:rsid w:val="004A6AFA"/>
    <w:rsid w:val="004A6C7C"/>
    <w:rsid w:val="004A6C91"/>
    <w:rsid w:val="004A6DA9"/>
    <w:rsid w:val="004A6E56"/>
    <w:rsid w:val="004A70AE"/>
    <w:rsid w:val="004A7494"/>
    <w:rsid w:val="004A74D8"/>
    <w:rsid w:val="004A74FD"/>
    <w:rsid w:val="004A7610"/>
    <w:rsid w:val="004A7E12"/>
    <w:rsid w:val="004B0036"/>
    <w:rsid w:val="004B03F9"/>
    <w:rsid w:val="004B07BD"/>
    <w:rsid w:val="004B104A"/>
    <w:rsid w:val="004B14FB"/>
    <w:rsid w:val="004B156F"/>
    <w:rsid w:val="004B1576"/>
    <w:rsid w:val="004B16F1"/>
    <w:rsid w:val="004B2014"/>
    <w:rsid w:val="004B2136"/>
    <w:rsid w:val="004B2AC6"/>
    <w:rsid w:val="004B319B"/>
    <w:rsid w:val="004B3456"/>
    <w:rsid w:val="004B384D"/>
    <w:rsid w:val="004B3893"/>
    <w:rsid w:val="004B3D04"/>
    <w:rsid w:val="004B3EB4"/>
    <w:rsid w:val="004B3EDA"/>
    <w:rsid w:val="004B42CE"/>
    <w:rsid w:val="004B49A9"/>
    <w:rsid w:val="004B4CDB"/>
    <w:rsid w:val="004B4EEE"/>
    <w:rsid w:val="004B50B3"/>
    <w:rsid w:val="004B5343"/>
    <w:rsid w:val="004B58BB"/>
    <w:rsid w:val="004B5BF9"/>
    <w:rsid w:val="004B5CE6"/>
    <w:rsid w:val="004B603F"/>
    <w:rsid w:val="004B61F3"/>
    <w:rsid w:val="004B6381"/>
    <w:rsid w:val="004B65CA"/>
    <w:rsid w:val="004B6976"/>
    <w:rsid w:val="004B740E"/>
    <w:rsid w:val="004B798D"/>
    <w:rsid w:val="004B7C5A"/>
    <w:rsid w:val="004B7E04"/>
    <w:rsid w:val="004B7E06"/>
    <w:rsid w:val="004B7F96"/>
    <w:rsid w:val="004C015C"/>
    <w:rsid w:val="004C021D"/>
    <w:rsid w:val="004C02B8"/>
    <w:rsid w:val="004C06E0"/>
    <w:rsid w:val="004C0CEB"/>
    <w:rsid w:val="004C0DE3"/>
    <w:rsid w:val="004C13B9"/>
    <w:rsid w:val="004C1A73"/>
    <w:rsid w:val="004C1B0D"/>
    <w:rsid w:val="004C1B8C"/>
    <w:rsid w:val="004C2094"/>
    <w:rsid w:val="004C2366"/>
    <w:rsid w:val="004C2509"/>
    <w:rsid w:val="004C2709"/>
    <w:rsid w:val="004C28D7"/>
    <w:rsid w:val="004C297B"/>
    <w:rsid w:val="004C33AF"/>
    <w:rsid w:val="004C448E"/>
    <w:rsid w:val="004C450C"/>
    <w:rsid w:val="004C471C"/>
    <w:rsid w:val="004C49D0"/>
    <w:rsid w:val="004C4DA8"/>
    <w:rsid w:val="004C4F4B"/>
    <w:rsid w:val="004C50A9"/>
    <w:rsid w:val="004C50BF"/>
    <w:rsid w:val="004C52D7"/>
    <w:rsid w:val="004C5676"/>
    <w:rsid w:val="004C56BE"/>
    <w:rsid w:val="004C56E1"/>
    <w:rsid w:val="004C5DFB"/>
    <w:rsid w:val="004C62CA"/>
    <w:rsid w:val="004C6392"/>
    <w:rsid w:val="004C662E"/>
    <w:rsid w:val="004C6E88"/>
    <w:rsid w:val="004C7185"/>
    <w:rsid w:val="004C71A1"/>
    <w:rsid w:val="004C75DD"/>
    <w:rsid w:val="004C78A7"/>
    <w:rsid w:val="004C7D6D"/>
    <w:rsid w:val="004D00D0"/>
    <w:rsid w:val="004D0500"/>
    <w:rsid w:val="004D0734"/>
    <w:rsid w:val="004D0AFF"/>
    <w:rsid w:val="004D0F61"/>
    <w:rsid w:val="004D105C"/>
    <w:rsid w:val="004D10CB"/>
    <w:rsid w:val="004D1115"/>
    <w:rsid w:val="004D13A2"/>
    <w:rsid w:val="004D13E7"/>
    <w:rsid w:val="004D14E5"/>
    <w:rsid w:val="004D15D7"/>
    <w:rsid w:val="004D1650"/>
    <w:rsid w:val="004D169D"/>
    <w:rsid w:val="004D16A5"/>
    <w:rsid w:val="004D1841"/>
    <w:rsid w:val="004D1BC1"/>
    <w:rsid w:val="004D1D14"/>
    <w:rsid w:val="004D1DD2"/>
    <w:rsid w:val="004D219C"/>
    <w:rsid w:val="004D27B7"/>
    <w:rsid w:val="004D2817"/>
    <w:rsid w:val="004D2A6F"/>
    <w:rsid w:val="004D2ABD"/>
    <w:rsid w:val="004D2D94"/>
    <w:rsid w:val="004D2F4A"/>
    <w:rsid w:val="004D3144"/>
    <w:rsid w:val="004D32F9"/>
    <w:rsid w:val="004D34B7"/>
    <w:rsid w:val="004D36CB"/>
    <w:rsid w:val="004D38D4"/>
    <w:rsid w:val="004D3BFB"/>
    <w:rsid w:val="004D3F71"/>
    <w:rsid w:val="004D402B"/>
    <w:rsid w:val="004D4226"/>
    <w:rsid w:val="004D4923"/>
    <w:rsid w:val="004D4F36"/>
    <w:rsid w:val="004D53B2"/>
    <w:rsid w:val="004D53CC"/>
    <w:rsid w:val="004D575E"/>
    <w:rsid w:val="004D5C56"/>
    <w:rsid w:val="004D60CB"/>
    <w:rsid w:val="004D6697"/>
    <w:rsid w:val="004D6CB4"/>
    <w:rsid w:val="004D6DF8"/>
    <w:rsid w:val="004D71AD"/>
    <w:rsid w:val="004D73E9"/>
    <w:rsid w:val="004D7BAD"/>
    <w:rsid w:val="004D7BFF"/>
    <w:rsid w:val="004D7C3B"/>
    <w:rsid w:val="004E0969"/>
    <w:rsid w:val="004E0C40"/>
    <w:rsid w:val="004E0DB2"/>
    <w:rsid w:val="004E10C2"/>
    <w:rsid w:val="004E1611"/>
    <w:rsid w:val="004E163E"/>
    <w:rsid w:val="004E1678"/>
    <w:rsid w:val="004E1D6D"/>
    <w:rsid w:val="004E1DD4"/>
    <w:rsid w:val="004E252A"/>
    <w:rsid w:val="004E2ABE"/>
    <w:rsid w:val="004E2B9A"/>
    <w:rsid w:val="004E2BDC"/>
    <w:rsid w:val="004E2E60"/>
    <w:rsid w:val="004E3034"/>
    <w:rsid w:val="004E3EAF"/>
    <w:rsid w:val="004E405A"/>
    <w:rsid w:val="004E4213"/>
    <w:rsid w:val="004E4232"/>
    <w:rsid w:val="004E48EB"/>
    <w:rsid w:val="004E49D7"/>
    <w:rsid w:val="004E4ABB"/>
    <w:rsid w:val="004E4BD8"/>
    <w:rsid w:val="004E4D36"/>
    <w:rsid w:val="004E4E8E"/>
    <w:rsid w:val="004E53EA"/>
    <w:rsid w:val="004E5506"/>
    <w:rsid w:val="004E5774"/>
    <w:rsid w:val="004E582B"/>
    <w:rsid w:val="004E59D4"/>
    <w:rsid w:val="004E6610"/>
    <w:rsid w:val="004E695B"/>
    <w:rsid w:val="004E6996"/>
    <w:rsid w:val="004E6CA3"/>
    <w:rsid w:val="004E75C7"/>
    <w:rsid w:val="004E7623"/>
    <w:rsid w:val="004E7B64"/>
    <w:rsid w:val="004E7C75"/>
    <w:rsid w:val="004E7CDE"/>
    <w:rsid w:val="004E7D82"/>
    <w:rsid w:val="004F0264"/>
    <w:rsid w:val="004F02C2"/>
    <w:rsid w:val="004F0358"/>
    <w:rsid w:val="004F04A1"/>
    <w:rsid w:val="004F0739"/>
    <w:rsid w:val="004F0909"/>
    <w:rsid w:val="004F0F17"/>
    <w:rsid w:val="004F10F3"/>
    <w:rsid w:val="004F190D"/>
    <w:rsid w:val="004F190F"/>
    <w:rsid w:val="004F198D"/>
    <w:rsid w:val="004F1BC4"/>
    <w:rsid w:val="004F1C8B"/>
    <w:rsid w:val="004F1D2C"/>
    <w:rsid w:val="004F2006"/>
    <w:rsid w:val="004F22E9"/>
    <w:rsid w:val="004F2321"/>
    <w:rsid w:val="004F232E"/>
    <w:rsid w:val="004F2579"/>
    <w:rsid w:val="004F26A4"/>
    <w:rsid w:val="004F2811"/>
    <w:rsid w:val="004F283E"/>
    <w:rsid w:val="004F2ABB"/>
    <w:rsid w:val="004F2E7B"/>
    <w:rsid w:val="004F309B"/>
    <w:rsid w:val="004F3142"/>
    <w:rsid w:val="004F3589"/>
    <w:rsid w:val="004F37C4"/>
    <w:rsid w:val="004F3ABE"/>
    <w:rsid w:val="004F3D24"/>
    <w:rsid w:val="004F3D35"/>
    <w:rsid w:val="004F410F"/>
    <w:rsid w:val="004F44A8"/>
    <w:rsid w:val="004F48A7"/>
    <w:rsid w:val="004F4916"/>
    <w:rsid w:val="004F4CE0"/>
    <w:rsid w:val="004F4DE0"/>
    <w:rsid w:val="004F4F1B"/>
    <w:rsid w:val="004F4FFE"/>
    <w:rsid w:val="004F5204"/>
    <w:rsid w:val="004F5F0C"/>
    <w:rsid w:val="004F62A9"/>
    <w:rsid w:val="004F63E9"/>
    <w:rsid w:val="004F686D"/>
    <w:rsid w:val="004F69C6"/>
    <w:rsid w:val="004F717D"/>
    <w:rsid w:val="004F7A67"/>
    <w:rsid w:val="004F7CE9"/>
    <w:rsid w:val="004F7E42"/>
    <w:rsid w:val="005000BD"/>
    <w:rsid w:val="00500255"/>
    <w:rsid w:val="0050025D"/>
    <w:rsid w:val="00500571"/>
    <w:rsid w:val="005006E4"/>
    <w:rsid w:val="005009D1"/>
    <w:rsid w:val="00500A54"/>
    <w:rsid w:val="00500DC2"/>
    <w:rsid w:val="005012F2"/>
    <w:rsid w:val="0050163E"/>
    <w:rsid w:val="00501A00"/>
    <w:rsid w:val="00501DAB"/>
    <w:rsid w:val="00501F53"/>
    <w:rsid w:val="00502C7D"/>
    <w:rsid w:val="0050315C"/>
    <w:rsid w:val="00503330"/>
    <w:rsid w:val="005034D6"/>
    <w:rsid w:val="0050385C"/>
    <w:rsid w:val="00503A20"/>
    <w:rsid w:val="00504403"/>
    <w:rsid w:val="005046DA"/>
    <w:rsid w:val="005047BA"/>
    <w:rsid w:val="00504995"/>
    <w:rsid w:val="00504DB7"/>
    <w:rsid w:val="005050EE"/>
    <w:rsid w:val="0050517A"/>
    <w:rsid w:val="00505368"/>
    <w:rsid w:val="005053EE"/>
    <w:rsid w:val="005055AC"/>
    <w:rsid w:val="00505642"/>
    <w:rsid w:val="005057B7"/>
    <w:rsid w:val="00505BBA"/>
    <w:rsid w:val="00505DC8"/>
    <w:rsid w:val="0050607F"/>
    <w:rsid w:val="00506486"/>
    <w:rsid w:val="005064A3"/>
    <w:rsid w:val="0050688A"/>
    <w:rsid w:val="00506BCC"/>
    <w:rsid w:val="005071FC"/>
    <w:rsid w:val="0050745C"/>
    <w:rsid w:val="00507552"/>
    <w:rsid w:val="005076E3"/>
    <w:rsid w:val="00507A4A"/>
    <w:rsid w:val="00507B2F"/>
    <w:rsid w:val="00507DF2"/>
    <w:rsid w:val="005108FF"/>
    <w:rsid w:val="0051110A"/>
    <w:rsid w:val="00511198"/>
    <w:rsid w:val="00511680"/>
    <w:rsid w:val="0051168E"/>
    <w:rsid w:val="00511730"/>
    <w:rsid w:val="00511C8B"/>
    <w:rsid w:val="0051256A"/>
    <w:rsid w:val="0051265A"/>
    <w:rsid w:val="00512A87"/>
    <w:rsid w:val="00512A9C"/>
    <w:rsid w:val="00512F63"/>
    <w:rsid w:val="00513CCF"/>
    <w:rsid w:val="00513DE7"/>
    <w:rsid w:val="005140B1"/>
    <w:rsid w:val="005142C8"/>
    <w:rsid w:val="00514430"/>
    <w:rsid w:val="005151DC"/>
    <w:rsid w:val="005151EA"/>
    <w:rsid w:val="00515A61"/>
    <w:rsid w:val="00515F71"/>
    <w:rsid w:val="0051629D"/>
    <w:rsid w:val="005164A3"/>
    <w:rsid w:val="00516555"/>
    <w:rsid w:val="0051658A"/>
    <w:rsid w:val="005166C3"/>
    <w:rsid w:val="00516738"/>
    <w:rsid w:val="00516BE5"/>
    <w:rsid w:val="00516BFD"/>
    <w:rsid w:val="00516C6D"/>
    <w:rsid w:val="00516F97"/>
    <w:rsid w:val="005174E6"/>
    <w:rsid w:val="00517560"/>
    <w:rsid w:val="005178BE"/>
    <w:rsid w:val="0051791C"/>
    <w:rsid w:val="00517CCB"/>
    <w:rsid w:val="00517EAA"/>
    <w:rsid w:val="00517F2F"/>
    <w:rsid w:val="0052031F"/>
    <w:rsid w:val="0052060A"/>
    <w:rsid w:val="005206E0"/>
    <w:rsid w:val="00520856"/>
    <w:rsid w:val="00520D8B"/>
    <w:rsid w:val="00521084"/>
    <w:rsid w:val="00521464"/>
    <w:rsid w:val="00521863"/>
    <w:rsid w:val="0052192A"/>
    <w:rsid w:val="005219FA"/>
    <w:rsid w:val="00521AAC"/>
    <w:rsid w:val="00521F49"/>
    <w:rsid w:val="0052244A"/>
    <w:rsid w:val="0052252B"/>
    <w:rsid w:val="005228ED"/>
    <w:rsid w:val="00522916"/>
    <w:rsid w:val="00522AD0"/>
    <w:rsid w:val="00522D12"/>
    <w:rsid w:val="00522D3B"/>
    <w:rsid w:val="00522DDC"/>
    <w:rsid w:val="005234A1"/>
    <w:rsid w:val="005236BA"/>
    <w:rsid w:val="00523A06"/>
    <w:rsid w:val="00523B27"/>
    <w:rsid w:val="00523BFF"/>
    <w:rsid w:val="005244C9"/>
    <w:rsid w:val="0052450B"/>
    <w:rsid w:val="0052472C"/>
    <w:rsid w:val="005247EE"/>
    <w:rsid w:val="0052480C"/>
    <w:rsid w:val="00524830"/>
    <w:rsid w:val="0052489B"/>
    <w:rsid w:val="00524ABC"/>
    <w:rsid w:val="00525922"/>
    <w:rsid w:val="00525DA0"/>
    <w:rsid w:val="0052666D"/>
    <w:rsid w:val="00526D30"/>
    <w:rsid w:val="00526D46"/>
    <w:rsid w:val="00526D58"/>
    <w:rsid w:val="005270E2"/>
    <w:rsid w:val="0052717C"/>
    <w:rsid w:val="00527E26"/>
    <w:rsid w:val="005300C6"/>
    <w:rsid w:val="00531184"/>
    <w:rsid w:val="005312E1"/>
    <w:rsid w:val="005318E6"/>
    <w:rsid w:val="00531986"/>
    <w:rsid w:val="00531BD6"/>
    <w:rsid w:val="005328F1"/>
    <w:rsid w:val="00532A07"/>
    <w:rsid w:val="00532BE2"/>
    <w:rsid w:val="00532DA1"/>
    <w:rsid w:val="005331B6"/>
    <w:rsid w:val="0053360A"/>
    <w:rsid w:val="005336E1"/>
    <w:rsid w:val="00533DA9"/>
    <w:rsid w:val="00533DAB"/>
    <w:rsid w:val="005351B9"/>
    <w:rsid w:val="005359C7"/>
    <w:rsid w:val="00536418"/>
    <w:rsid w:val="0053647C"/>
    <w:rsid w:val="00536659"/>
    <w:rsid w:val="00536A24"/>
    <w:rsid w:val="00536B33"/>
    <w:rsid w:val="00536D59"/>
    <w:rsid w:val="0053782C"/>
    <w:rsid w:val="005378BA"/>
    <w:rsid w:val="00537992"/>
    <w:rsid w:val="00537CF4"/>
    <w:rsid w:val="00540362"/>
    <w:rsid w:val="005404F8"/>
    <w:rsid w:val="0054072D"/>
    <w:rsid w:val="0054079B"/>
    <w:rsid w:val="00540AD7"/>
    <w:rsid w:val="00540AEE"/>
    <w:rsid w:val="00540E6F"/>
    <w:rsid w:val="00540F72"/>
    <w:rsid w:val="00541462"/>
    <w:rsid w:val="005421DF"/>
    <w:rsid w:val="0054234A"/>
    <w:rsid w:val="0054247D"/>
    <w:rsid w:val="005424A3"/>
    <w:rsid w:val="00542595"/>
    <w:rsid w:val="005425C3"/>
    <w:rsid w:val="00542889"/>
    <w:rsid w:val="005429B1"/>
    <w:rsid w:val="00542D54"/>
    <w:rsid w:val="00542F8F"/>
    <w:rsid w:val="00543174"/>
    <w:rsid w:val="0054395C"/>
    <w:rsid w:val="00543AA0"/>
    <w:rsid w:val="00543B6A"/>
    <w:rsid w:val="00543EFA"/>
    <w:rsid w:val="005444FB"/>
    <w:rsid w:val="005448A0"/>
    <w:rsid w:val="00544A6D"/>
    <w:rsid w:val="00544D26"/>
    <w:rsid w:val="0054564F"/>
    <w:rsid w:val="005456DD"/>
    <w:rsid w:val="00545EE3"/>
    <w:rsid w:val="005468E2"/>
    <w:rsid w:val="005469A0"/>
    <w:rsid w:val="005472B0"/>
    <w:rsid w:val="005473E8"/>
    <w:rsid w:val="005474C4"/>
    <w:rsid w:val="00547660"/>
    <w:rsid w:val="00547C44"/>
    <w:rsid w:val="00550917"/>
    <w:rsid w:val="005509BA"/>
    <w:rsid w:val="00550B68"/>
    <w:rsid w:val="00550EE7"/>
    <w:rsid w:val="00551392"/>
    <w:rsid w:val="00551950"/>
    <w:rsid w:val="00551A98"/>
    <w:rsid w:val="00552900"/>
    <w:rsid w:val="00552C4E"/>
    <w:rsid w:val="00552CD4"/>
    <w:rsid w:val="00552F66"/>
    <w:rsid w:val="005532F7"/>
    <w:rsid w:val="0055338C"/>
    <w:rsid w:val="005537E7"/>
    <w:rsid w:val="00554133"/>
    <w:rsid w:val="0055474B"/>
    <w:rsid w:val="00554A1B"/>
    <w:rsid w:val="00554CFA"/>
    <w:rsid w:val="00554DDF"/>
    <w:rsid w:val="00555096"/>
    <w:rsid w:val="00555413"/>
    <w:rsid w:val="0055575F"/>
    <w:rsid w:val="00555BAF"/>
    <w:rsid w:val="00555FEA"/>
    <w:rsid w:val="005562DD"/>
    <w:rsid w:val="00556535"/>
    <w:rsid w:val="00556590"/>
    <w:rsid w:val="00556604"/>
    <w:rsid w:val="00556D77"/>
    <w:rsid w:val="00556EE1"/>
    <w:rsid w:val="0055735B"/>
    <w:rsid w:val="00557CFF"/>
    <w:rsid w:val="00557DCB"/>
    <w:rsid w:val="005601D1"/>
    <w:rsid w:val="00560526"/>
    <w:rsid w:val="005605AC"/>
    <w:rsid w:val="00560CE2"/>
    <w:rsid w:val="00560D5F"/>
    <w:rsid w:val="00560E44"/>
    <w:rsid w:val="0056168D"/>
    <w:rsid w:val="00561C95"/>
    <w:rsid w:val="00561C97"/>
    <w:rsid w:val="00561CB6"/>
    <w:rsid w:val="00561EDE"/>
    <w:rsid w:val="005628AC"/>
    <w:rsid w:val="005629A2"/>
    <w:rsid w:val="005629CE"/>
    <w:rsid w:val="00562E0A"/>
    <w:rsid w:val="005632E6"/>
    <w:rsid w:val="005633EB"/>
    <w:rsid w:val="0056389D"/>
    <w:rsid w:val="00563AC5"/>
    <w:rsid w:val="00563F24"/>
    <w:rsid w:val="0056411B"/>
    <w:rsid w:val="0056413E"/>
    <w:rsid w:val="005641E1"/>
    <w:rsid w:val="005642B8"/>
    <w:rsid w:val="0056455E"/>
    <w:rsid w:val="005645C6"/>
    <w:rsid w:val="005646F1"/>
    <w:rsid w:val="0056484A"/>
    <w:rsid w:val="00564B47"/>
    <w:rsid w:val="00564B5A"/>
    <w:rsid w:val="00565325"/>
    <w:rsid w:val="005657EB"/>
    <w:rsid w:val="00565BF2"/>
    <w:rsid w:val="00565F12"/>
    <w:rsid w:val="005661B4"/>
    <w:rsid w:val="00566627"/>
    <w:rsid w:val="00566F6F"/>
    <w:rsid w:val="00567201"/>
    <w:rsid w:val="0056738C"/>
    <w:rsid w:val="0057026C"/>
    <w:rsid w:val="00570342"/>
    <w:rsid w:val="00570F07"/>
    <w:rsid w:val="00571092"/>
    <w:rsid w:val="00571449"/>
    <w:rsid w:val="005716FD"/>
    <w:rsid w:val="0057175C"/>
    <w:rsid w:val="005719E8"/>
    <w:rsid w:val="00571DE7"/>
    <w:rsid w:val="00571EA4"/>
    <w:rsid w:val="00572878"/>
    <w:rsid w:val="00572AA5"/>
    <w:rsid w:val="00572FC8"/>
    <w:rsid w:val="0057312B"/>
    <w:rsid w:val="00573427"/>
    <w:rsid w:val="005737A5"/>
    <w:rsid w:val="005739B9"/>
    <w:rsid w:val="005739E5"/>
    <w:rsid w:val="00573BCC"/>
    <w:rsid w:val="00573BDD"/>
    <w:rsid w:val="0057440B"/>
    <w:rsid w:val="00574836"/>
    <w:rsid w:val="00574842"/>
    <w:rsid w:val="00574953"/>
    <w:rsid w:val="005749A5"/>
    <w:rsid w:val="00574EED"/>
    <w:rsid w:val="005752B7"/>
    <w:rsid w:val="00575700"/>
    <w:rsid w:val="0057579B"/>
    <w:rsid w:val="00575976"/>
    <w:rsid w:val="00575B1A"/>
    <w:rsid w:val="00576122"/>
    <w:rsid w:val="00576732"/>
    <w:rsid w:val="00576A4B"/>
    <w:rsid w:val="00576FD5"/>
    <w:rsid w:val="00576FE2"/>
    <w:rsid w:val="00577755"/>
    <w:rsid w:val="005777B1"/>
    <w:rsid w:val="005777DC"/>
    <w:rsid w:val="00580058"/>
    <w:rsid w:val="00580252"/>
    <w:rsid w:val="005811A0"/>
    <w:rsid w:val="0058124A"/>
    <w:rsid w:val="0058181A"/>
    <w:rsid w:val="00581982"/>
    <w:rsid w:val="00581B46"/>
    <w:rsid w:val="00581BA7"/>
    <w:rsid w:val="00581F1A"/>
    <w:rsid w:val="00581FE4"/>
    <w:rsid w:val="00582186"/>
    <w:rsid w:val="00582ED8"/>
    <w:rsid w:val="00582F82"/>
    <w:rsid w:val="0058376D"/>
    <w:rsid w:val="005841DD"/>
    <w:rsid w:val="005843E5"/>
    <w:rsid w:val="005847C7"/>
    <w:rsid w:val="0058490B"/>
    <w:rsid w:val="005849DC"/>
    <w:rsid w:val="00584A9E"/>
    <w:rsid w:val="00584B81"/>
    <w:rsid w:val="00584C32"/>
    <w:rsid w:val="0058519F"/>
    <w:rsid w:val="005857AF"/>
    <w:rsid w:val="0058583D"/>
    <w:rsid w:val="00585E72"/>
    <w:rsid w:val="00585F80"/>
    <w:rsid w:val="00586087"/>
    <w:rsid w:val="005861A5"/>
    <w:rsid w:val="0058671C"/>
    <w:rsid w:val="00586D4E"/>
    <w:rsid w:val="0058720F"/>
    <w:rsid w:val="0058787D"/>
    <w:rsid w:val="00587A98"/>
    <w:rsid w:val="00587B2E"/>
    <w:rsid w:val="00587B6A"/>
    <w:rsid w:val="00590054"/>
    <w:rsid w:val="00590E4C"/>
    <w:rsid w:val="005915CC"/>
    <w:rsid w:val="0059165D"/>
    <w:rsid w:val="005917C1"/>
    <w:rsid w:val="00591F26"/>
    <w:rsid w:val="005926BA"/>
    <w:rsid w:val="005926EE"/>
    <w:rsid w:val="00592CD0"/>
    <w:rsid w:val="005930C6"/>
    <w:rsid w:val="0059323E"/>
    <w:rsid w:val="005938DD"/>
    <w:rsid w:val="00593E5B"/>
    <w:rsid w:val="005940A6"/>
    <w:rsid w:val="005941D5"/>
    <w:rsid w:val="0059432D"/>
    <w:rsid w:val="00594355"/>
    <w:rsid w:val="00594CB7"/>
    <w:rsid w:val="00594D92"/>
    <w:rsid w:val="005957B8"/>
    <w:rsid w:val="0059588D"/>
    <w:rsid w:val="00595D5D"/>
    <w:rsid w:val="00595E98"/>
    <w:rsid w:val="005962FF"/>
    <w:rsid w:val="00596550"/>
    <w:rsid w:val="005966EB"/>
    <w:rsid w:val="00596715"/>
    <w:rsid w:val="00596860"/>
    <w:rsid w:val="005968E7"/>
    <w:rsid w:val="005969E8"/>
    <w:rsid w:val="00596AAA"/>
    <w:rsid w:val="00596EA6"/>
    <w:rsid w:val="005973D5"/>
    <w:rsid w:val="005977E8"/>
    <w:rsid w:val="005977F1"/>
    <w:rsid w:val="00597A74"/>
    <w:rsid w:val="00597E1C"/>
    <w:rsid w:val="005A04AE"/>
    <w:rsid w:val="005A063C"/>
    <w:rsid w:val="005A0F03"/>
    <w:rsid w:val="005A125D"/>
    <w:rsid w:val="005A1AFE"/>
    <w:rsid w:val="005A1B11"/>
    <w:rsid w:val="005A22AE"/>
    <w:rsid w:val="005A2418"/>
    <w:rsid w:val="005A2653"/>
    <w:rsid w:val="005A28C9"/>
    <w:rsid w:val="005A2C71"/>
    <w:rsid w:val="005A2EF0"/>
    <w:rsid w:val="005A2F0A"/>
    <w:rsid w:val="005A2FB2"/>
    <w:rsid w:val="005A34D6"/>
    <w:rsid w:val="005A3618"/>
    <w:rsid w:val="005A364D"/>
    <w:rsid w:val="005A375A"/>
    <w:rsid w:val="005A3867"/>
    <w:rsid w:val="005A39C8"/>
    <w:rsid w:val="005A3C16"/>
    <w:rsid w:val="005A3D7D"/>
    <w:rsid w:val="005A404A"/>
    <w:rsid w:val="005A40CB"/>
    <w:rsid w:val="005A40E6"/>
    <w:rsid w:val="005A4B5E"/>
    <w:rsid w:val="005A5249"/>
    <w:rsid w:val="005A5953"/>
    <w:rsid w:val="005A59C4"/>
    <w:rsid w:val="005A5EDB"/>
    <w:rsid w:val="005A5EF0"/>
    <w:rsid w:val="005A6165"/>
    <w:rsid w:val="005A6307"/>
    <w:rsid w:val="005A631E"/>
    <w:rsid w:val="005A64A9"/>
    <w:rsid w:val="005A6570"/>
    <w:rsid w:val="005A6904"/>
    <w:rsid w:val="005A6957"/>
    <w:rsid w:val="005A6F56"/>
    <w:rsid w:val="005A7473"/>
    <w:rsid w:val="005A7494"/>
    <w:rsid w:val="005A760A"/>
    <w:rsid w:val="005A780D"/>
    <w:rsid w:val="005A78B3"/>
    <w:rsid w:val="005A78E0"/>
    <w:rsid w:val="005A7A9E"/>
    <w:rsid w:val="005A7C96"/>
    <w:rsid w:val="005A7E4D"/>
    <w:rsid w:val="005B0497"/>
    <w:rsid w:val="005B04E0"/>
    <w:rsid w:val="005B0640"/>
    <w:rsid w:val="005B0B21"/>
    <w:rsid w:val="005B12E1"/>
    <w:rsid w:val="005B1497"/>
    <w:rsid w:val="005B165F"/>
    <w:rsid w:val="005B1B41"/>
    <w:rsid w:val="005B231D"/>
    <w:rsid w:val="005B24D7"/>
    <w:rsid w:val="005B2530"/>
    <w:rsid w:val="005B2823"/>
    <w:rsid w:val="005B2880"/>
    <w:rsid w:val="005B2DCC"/>
    <w:rsid w:val="005B2DD6"/>
    <w:rsid w:val="005B3047"/>
    <w:rsid w:val="005B325B"/>
    <w:rsid w:val="005B3C0A"/>
    <w:rsid w:val="005B437F"/>
    <w:rsid w:val="005B49AC"/>
    <w:rsid w:val="005B4F97"/>
    <w:rsid w:val="005B5032"/>
    <w:rsid w:val="005B5370"/>
    <w:rsid w:val="005B5717"/>
    <w:rsid w:val="005B5815"/>
    <w:rsid w:val="005B58F2"/>
    <w:rsid w:val="005B5A49"/>
    <w:rsid w:val="005B5BE0"/>
    <w:rsid w:val="005B5BF6"/>
    <w:rsid w:val="005B5CC9"/>
    <w:rsid w:val="005B60BA"/>
    <w:rsid w:val="005B6119"/>
    <w:rsid w:val="005B6457"/>
    <w:rsid w:val="005B6677"/>
    <w:rsid w:val="005B6A21"/>
    <w:rsid w:val="005B6A32"/>
    <w:rsid w:val="005B70E1"/>
    <w:rsid w:val="005B728F"/>
    <w:rsid w:val="005B755C"/>
    <w:rsid w:val="005B75D1"/>
    <w:rsid w:val="005B7922"/>
    <w:rsid w:val="005B7B67"/>
    <w:rsid w:val="005B7C57"/>
    <w:rsid w:val="005B7D57"/>
    <w:rsid w:val="005B7E01"/>
    <w:rsid w:val="005C045E"/>
    <w:rsid w:val="005C05C8"/>
    <w:rsid w:val="005C079B"/>
    <w:rsid w:val="005C07B8"/>
    <w:rsid w:val="005C085F"/>
    <w:rsid w:val="005C08A1"/>
    <w:rsid w:val="005C08E8"/>
    <w:rsid w:val="005C0D7E"/>
    <w:rsid w:val="005C1021"/>
    <w:rsid w:val="005C13E1"/>
    <w:rsid w:val="005C144F"/>
    <w:rsid w:val="005C15E7"/>
    <w:rsid w:val="005C1B99"/>
    <w:rsid w:val="005C2337"/>
    <w:rsid w:val="005C24F5"/>
    <w:rsid w:val="005C2764"/>
    <w:rsid w:val="005C27DB"/>
    <w:rsid w:val="005C2CCB"/>
    <w:rsid w:val="005C2D85"/>
    <w:rsid w:val="005C315E"/>
    <w:rsid w:val="005C38B1"/>
    <w:rsid w:val="005C38F3"/>
    <w:rsid w:val="005C3BD8"/>
    <w:rsid w:val="005C3F27"/>
    <w:rsid w:val="005C405E"/>
    <w:rsid w:val="005C504B"/>
    <w:rsid w:val="005C53AB"/>
    <w:rsid w:val="005C5A24"/>
    <w:rsid w:val="005C5EF6"/>
    <w:rsid w:val="005C5FF2"/>
    <w:rsid w:val="005C62AA"/>
    <w:rsid w:val="005C6918"/>
    <w:rsid w:val="005C6C47"/>
    <w:rsid w:val="005C6F65"/>
    <w:rsid w:val="005C714E"/>
    <w:rsid w:val="005C71D6"/>
    <w:rsid w:val="005C73CC"/>
    <w:rsid w:val="005C7787"/>
    <w:rsid w:val="005C7CBA"/>
    <w:rsid w:val="005C7DC4"/>
    <w:rsid w:val="005C7EA5"/>
    <w:rsid w:val="005C7F65"/>
    <w:rsid w:val="005D0038"/>
    <w:rsid w:val="005D06F8"/>
    <w:rsid w:val="005D07B1"/>
    <w:rsid w:val="005D0B42"/>
    <w:rsid w:val="005D0E00"/>
    <w:rsid w:val="005D11C4"/>
    <w:rsid w:val="005D19C0"/>
    <w:rsid w:val="005D1DDB"/>
    <w:rsid w:val="005D2147"/>
    <w:rsid w:val="005D24D1"/>
    <w:rsid w:val="005D273A"/>
    <w:rsid w:val="005D2A68"/>
    <w:rsid w:val="005D2C06"/>
    <w:rsid w:val="005D30D3"/>
    <w:rsid w:val="005D342E"/>
    <w:rsid w:val="005D34F9"/>
    <w:rsid w:val="005D35B5"/>
    <w:rsid w:val="005D3D59"/>
    <w:rsid w:val="005D3D86"/>
    <w:rsid w:val="005D409C"/>
    <w:rsid w:val="005D4127"/>
    <w:rsid w:val="005D438F"/>
    <w:rsid w:val="005D4CC4"/>
    <w:rsid w:val="005D4CFD"/>
    <w:rsid w:val="005D4D26"/>
    <w:rsid w:val="005D522B"/>
    <w:rsid w:val="005D5567"/>
    <w:rsid w:val="005D5805"/>
    <w:rsid w:val="005D5A73"/>
    <w:rsid w:val="005D5E9E"/>
    <w:rsid w:val="005D5FE7"/>
    <w:rsid w:val="005D603D"/>
    <w:rsid w:val="005D610F"/>
    <w:rsid w:val="005D6165"/>
    <w:rsid w:val="005D653F"/>
    <w:rsid w:val="005D6AF4"/>
    <w:rsid w:val="005D6C28"/>
    <w:rsid w:val="005D6D04"/>
    <w:rsid w:val="005D6DF1"/>
    <w:rsid w:val="005D6F9F"/>
    <w:rsid w:val="005D7380"/>
    <w:rsid w:val="005D7511"/>
    <w:rsid w:val="005D7AE3"/>
    <w:rsid w:val="005E00FE"/>
    <w:rsid w:val="005E0195"/>
    <w:rsid w:val="005E039E"/>
    <w:rsid w:val="005E049E"/>
    <w:rsid w:val="005E063B"/>
    <w:rsid w:val="005E0A17"/>
    <w:rsid w:val="005E10D6"/>
    <w:rsid w:val="005E1A6F"/>
    <w:rsid w:val="005E1A8F"/>
    <w:rsid w:val="005E1CF2"/>
    <w:rsid w:val="005E1D69"/>
    <w:rsid w:val="005E1D6A"/>
    <w:rsid w:val="005E1DA9"/>
    <w:rsid w:val="005E1F85"/>
    <w:rsid w:val="005E239C"/>
    <w:rsid w:val="005E2D13"/>
    <w:rsid w:val="005E313B"/>
    <w:rsid w:val="005E31AA"/>
    <w:rsid w:val="005E3281"/>
    <w:rsid w:val="005E3B8E"/>
    <w:rsid w:val="005E3DC0"/>
    <w:rsid w:val="005E4D3E"/>
    <w:rsid w:val="005E4F0D"/>
    <w:rsid w:val="005E5170"/>
    <w:rsid w:val="005E5246"/>
    <w:rsid w:val="005E5385"/>
    <w:rsid w:val="005E5932"/>
    <w:rsid w:val="005E5D6B"/>
    <w:rsid w:val="005E67A6"/>
    <w:rsid w:val="005E68F6"/>
    <w:rsid w:val="005E69BA"/>
    <w:rsid w:val="005E6A16"/>
    <w:rsid w:val="005E6A44"/>
    <w:rsid w:val="005E7042"/>
    <w:rsid w:val="005E70A4"/>
    <w:rsid w:val="005E7137"/>
    <w:rsid w:val="005E72F2"/>
    <w:rsid w:val="005E73B0"/>
    <w:rsid w:val="005E7760"/>
    <w:rsid w:val="005E7AB0"/>
    <w:rsid w:val="005E7B89"/>
    <w:rsid w:val="005F0717"/>
    <w:rsid w:val="005F077C"/>
    <w:rsid w:val="005F0B23"/>
    <w:rsid w:val="005F0BDA"/>
    <w:rsid w:val="005F0C7D"/>
    <w:rsid w:val="005F0CEA"/>
    <w:rsid w:val="005F1991"/>
    <w:rsid w:val="005F1B54"/>
    <w:rsid w:val="005F1DF0"/>
    <w:rsid w:val="005F1E01"/>
    <w:rsid w:val="005F1EFE"/>
    <w:rsid w:val="005F2280"/>
    <w:rsid w:val="005F234D"/>
    <w:rsid w:val="005F23B4"/>
    <w:rsid w:val="005F2480"/>
    <w:rsid w:val="005F27A3"/>
    <w:rsid w:val="005F28EA"/>
    <w:rsid w:val="005F2B81"/>
    <w:rsid w:val="005F2D6C"/>
    <w:rsid w:val="005F33AA"/>
    <w:rsid w:val="005F33D3"/>
    <w:rsid w:val="005F3512"/>
    <w:rsid w:val="005F389C"/>
    <w:rsid w:val="005F38EA"/>
    <w:rsid w:val="005F4146"/>
    <w:rsid w:val="005F4568"/>
    <w:rsid w:val="005F4BDA"/>
    <w:rsid w:val="005F54C4"/>
    <w:rsid w:val="005F6018"/>
    <w:rsid w:val="005F6805"/>
    <w:rsid w:val="005F68C7"/>
    <w:rsid w:val="005F6933"/>
    <w:rsid w:val="005F6D93"/>
    <w:rsid w:val="005F7A45"/>
    <w:rsid w:val="005F7B7A"/>
    <w:rsid w:val="005F7E5E"/>
    <w:rsid w:val="00600B6F"/>
    <w:rsid w:val="00600E6A"/>
    <w:rsid w:val="00601024"/>
    <w:rsid w:val="00601148"/>
    <w:rsid w:val="00601348"/>
    <w:rsid w:val="00601EDE"/>
    <w:rsid w:val="00601F41"/>
    <w:rsid w:val="00602468"/>
    <w:rsid w:val="0060260D"/>
    <w:rsid w:val="00602941"/>
    <w:rsid w:val="00602B3E"/>
    <w:rsid w:val="00602BAF"/>
    <w:rsid w:val="006032A1"/>
    <w:rsid w:val="0060332C"/>
    <w:rsid w:val="00603608"/>
    <w:rsid w:val="0060362C"/>
    <w:rsid w:val="006036D0"/>
    <w:rsid w:val="006037FF"/>
    <w:rsid w:val="00603943"/>
    <w:rsid w:val="00603A85"/>
    <w:rsid w:val="00603B40"/>
    <w:rsid w:val="00603C96"/>
    <w:rsid w:val="00603E01"/>
    <w:rsid w:val="0060426E"/>
    <w:rsid w:val="0060454A"/>
    <w:rsid w:val="00604604"/>
    <w:rsid w:val="006046A0"/>
    <w:rsid w:val="00604B9F"/>
    <w:rsid w:val="00605160"/>
    <w:rsid w:val="00605232"/>
    <w:rsid w:val="006055CF"/>
    <w:rsid w:val="00605718"/>
    <w:rsid w:val="00605772"/>
    <w:rsid w:val="00605A75"/>
    <w:rsid w:val="00605FB0"/>
    <w:rsid w:val="00606089"/>
    <w:rsid w:val="0060681A"/>
    <w:rsid w:val="00606A03"/>
    <w:rsid w:val="00606B6E"/>
    <w:rsid w:val="00606F67"/>
    <w:rsid w:val="00607004"/>
    <w:rsid w:val="00607328"/>
    <w:rsid w:val="00607614"/>
    <w:rsid w:val="0061014E"/>
    <w:rsid w:val="00610480"/>
    <w:rsid w:val="00610724"/>
    <w:rsid w:val="006109E4"/>
    <w:rsid w:val="00610AA0"/>
    <w:rsid w:val="00610C89"/>
    <w:rsid w:val="00610D98"/>
    <w:rsid w:val="0061104E"/>
    <w:rsid w:val="006110CB"/>
    <w:rsid w:val="006116EE"/>
    <w:rsid w:val="00611788"/>
    <w:rsid w:val="00611868"/>
    <w:rsid w:val="00611B10"/>
    <w:rsid w:val="00611C7F"/>
    <w:rsid w:val="00611F8F"/>
    <w:rsid w:val="00611FE3"/>
    <w:rsid w:val="0061264A"/>
    <w:rsid w:val="0061282C"/>
    <w:rsid w:val="00612FD1"/>
    <w:rsid w:val="0061315D"/>
    <w:rsid w:val="00613292"/>
    <w:rsid w:val="0061358E"/>
    <w:rsid w:val="0061373E"/>
    <w:rsid w:val="006137C1"/>
    <w:rsid w:val="006139F2"/>
    <w:rsid w:val="00613BFD"/>
    <w:rsid w:val="006141EA"/>
    <w:rsid w:val="00614361"/>
    <w:rsid w:val="00614395"/>
    <w:rsid w:val="006149B4"/>
    <w:rsid w:val="00614E9F"/>
    <w:rsid w:val="0061519B"/>
    <w:rsid w:val="0061528E"/>
    <w:rsid w:val="00615294"/>
    <w:rsid w:val="00615856"/>
    <w:rsid w:val="00615F1A"/>
    <w:rsid w:val="00615F69"/>
    <w:rsid w:val="00616164"/>
    <w:rsid w:val="0061689F"/>
    <w:rsid w:val="00616C25"/>
    <w:rsid w:val="00616FE8"/>
    <w:rsid w:val="00617044"/>
    <w:rsid w:val="006172F6"/>
    <w:rsid w:val="00617541"/>
    <w:rsid w:val="00617C79"/>
    <w:rsid w:val="006201A4"/>
    <w:rsid w:val="006201FE"/>
    <w:rsid w:val="0062049C"/>
    <w:rsid w:val="00620C04"/>
    <w:rsid w:val="00620DFE"/>
    <w:rsid w:val="00621038"/>
    <w:rsid w:val="00621130"/>
    <w:rsid w:val="00621656"/>
    <w:rsid w:val="006218B2"/>
    <w:rsid w:val="006218F5"/>
    <w:rsid w:val="00621BEB"/>
    <w:rsid w:val="00621BF4"/>
    <w:rsid w:val="00621DC6"/>
    <w:rsid w:val="00621ED0"/>
    <w:rsid w:val="00621FA8"/>
    <w:rsid w:val="00622863"/>
    <w:rsid w:val="00622946"/>
    <w:rsid w:val="006229BF"/>
    <w:rsid w:val="00623210"/>
    <w:rsid w:val="00623507"/>
    <w:rsid w:val="006236DE"/>
    <w:rsid w:val="00623CDD"/>
    <w:rsid w:val="00623D91"/>
    <w:rsid w:val="00623F64"/>
    <w:rsid w:val="006240A3"/>
    <w:rsid w:val="006242D9"/>
    <w:rsid w:val="006248B3"/>
    <w:rsid w:val="00624AF3"/>
    <w:rsid w:val="00624CD3"/>
    <w:rsid w:val="00624DEE"/>
    <w:rsid w:val="00624E0E"/>
    <w:rsid w:val="00625129"/>
    <w:rsid w:val="006251CB"/>
    <w:rsid w:val="00625697"/>
    <w:rsid w:val="00625737"/>
    <w:rsid w:val="006257D4"/>
    <w:rsid w:val="00625CA9"/>
    <w:rsid w:val="006260CD"/>
    <w:rsid w:val="00626328"/>
    <w:rsid w:val="00626C09"/>
    <w:rsid w:val="00626CA5"/>
    <w:rsid w:val="00626D55"/>
    <w:rsid w:val="0062747A"/>
    <w:rsid w:val="006274FA"/>
    <w:rsid w:val="0062761A"/>
    <w:rsid w:val="006276BA"/>
    <w:rsid w:val="00627760"/>
    <w:rsid w:val="00627ACD"/>
    <w:rsid w:val="00627BF0"/>
    <w:rsid w:val="00630452"/>
    <w:rsid w:val="00630487"/>
    <w:rsid w:val="00630646"/>
    <w:rsid w:val="00630E24"/>
    <w:rsid w:val="00630F5B"/>
    <w:rsid w:val="006313BE"/>
    <w:rsid w:val="006323B5"/>
    <w:rsid w:val="00632C70"/>
    <w:rsid w:val="00632D9E"/>
    <w:rsid w:val="0063313A"/>
    <w:rsid w:val="00633562"/>
    <w:rsid w:val="006337E4"/>
    <w:rsid w:val="00633891"/>
    <w:rsid w:val="00633982"/>
    <w:rsid w:val="00633B89"/>
    <w:rsid w:val="00633BD7"/>
    <w:rsid w:val="00633FC6"/>
    <w:rsid w:val="00633FD3"/>
    <w:rsid w:val="00634962"/>
    <w:rsid w:val="00634BA7"/>
    <w:rsid w:val="00634C2F"/>
    <w:rsid w:val="00635080"/>
    <w:rsid w:val="0063551C"/>
    <w:rsid w:val="006355A0"/>
    <w:rsid w:val="006356CD"/>
    <w:rsid w:val="00635793"/>
    <w:rsid w:val="00635A69"/>
    <w:rsid w:val="00635CFC"/>
    <w:rsid w:val="00635D4D"/>
    <w:rsid w:val="00636219"/>
    <w:rsid w:val="0063744E"/>
    <w:rsid w:val="00637E48"/>
    <w:rsid w:val="0064021A"/>
    <w:rsid w:val="00640285"/>
    <w:rsid w:val="0064052D"/>
    <w:rsid w:val="00640C37"/>
    <w:rsid w:val="00641252"/>
    <w:rsid w:val="0064158A"/>
    <w:rsid w:val="00641788"/>
    <w:rsid w:val="00641C78"/>
    <w:rsid w:val="006420D2"/>
    <w:rsid w:val="006421C2"/>
    <w:rsid w:val="00642333"/>
    <w:rsid w:val="006426F0"/>
    <w:rsid w:val="006428F9"/>
    <w:rsid w:val="006429CB"/>
    <w:rsid w:val="00642B24"/>
    <w:rsid w:val="00642BEE"/>
    <w:rsid w:val="00642D86"/>
    <w:rsid w:val="0064305C"/>
    <w:rsid w:val="00643856"/>
    <w:rsid w:val="006438F8"/>
    <w:rsid w:val="00643BCB"/>
    <w:rsid w:val="00643C5D"/>
    <w:rsid w:val="00643DCA"/>
    <w:rsid w:val="00643F85"/>
    <w:rsid w:val="006441D7"/>
    <w:rsid w:val="00644248"/>
    <w:rsid w:val="00644306"/>
    <w:rsid w:val="0064441B"/>
    <w:rsid w:val="00644620"/>
    <w:rsid w:val="0064463E"/>
    <w:rsid w:val="00644975"/>
    <w:rsid w:val="00644E86"/>
    <w:rsid w:val="00644ED2"/>
    <w:rsid w:val="00644EDE"/>
    <w:rsid w:val="00644FEC"/>
    <w:rsid w:val="006454AF"/>
    <w:rsid w:val="00645722"/>
    <w:rsid w:val="00645A65"/>
    <w:rsid w:val="00645C20"/>
    <w:rsid w:val="00645C59"/>
    <w:rsid w:val="006465C9"/>
    <w:rsid w:val="006467FF"/>
    <w:rsid w:val="0064694B"/>
    <w:rsid w:val="00647135"/>
    <w:rsid w:val="00647156"/>
    <w:rsid w:val="006478A6"/>
    <w:rsid w:val="006478DF"/>
    <w:rsid w:val="00647AD6"/>
    <w:rsid w:val="00647D91"/>
    <w:rsid w:val="0065013E"/>
    <w:rsid w:val="00650216"/>
    <w:rsid w:val="00650882"/>
    <w:rsid w:val="00650EB8"/>
    <w:rsid w:val="0065136B"/>
    <w:rsid w:val="006513CD"/>
    <w:rsid w:val="0065163C"/>
    <w:rsid w:val="006518A2"/>
    <w:rsid w:val="00651992"/>
    <w:rsid w:val="00651DBC"/>
    <w:rsid w:val="00651F6E"/>
    <w:rsid w:val="00651FA6"/>
    <w:rsid w:val="006525C0"/>
    <w:rsid w:val="00652606"/>
    <w:rsid w:val="00652A1E"/>
    <w:rsid w:val="00652C10"/>
    <w:rsid w:val="00652EE9"/>
    <w:rsid w:val="006535F8"/>
    <w:rsid w:val="006537AE"/>
    <w:rsid w:val="0065381B"/>
    <w:rsid w:val="0065398A"/>
    <w:rsid w:val="00653C69"/>
    <w:rsid w:val="0065438E"/>
    <w:rsid w:val="0065464A"/>
    <w:rsid w:val="006546AF"/>
    <w:rsid w:val="00654882"/>
    <w:rsid w:val="006549E2"/>
    <w:rsid w:val="00654AFA"/>
    <w:rsid w:val="00654CC2"/>
    <w:rsid w:val="00654F87"/>
    <w:rsid w:val="00655028"/>
    <w:rsid w:val="006550C7"/>
    <w:rsid w:val="00655136"/>
    <w:rsid w:val="0065513D"/>
    <w:rsid w:val="00655397"/>
    <w:rsid w:val="00655665"/>
    <w:rsid w:val="006558F5"/>
    <w:rsid w:val="00655A8F"/>
    <w:rsid w:val="00656197"/>
    <w:rsid w:val="0065621F"/>
    <w:rsid w:val="0065666B"/>
    <w:rsid w:val="006567A6"/>
    <w:rsid w:val="0065686A"/>
    <w:rsid w:val="00656B05"/>
    <w:rsid w:val="00656D12"/>
    <w:rsid w:val="00656F67"/>
    <w:rsid w:val="00656F74"/>
    <w:rsid w:val="0065703D"/>
    <w:rsid w:val="006575C6"/>
    <w:rsid w:val="00657910"/>
    <w:rsid w:val="00657A96"/>
    <w:rsid w:val="00657C7D"/>
    <w:rsid w:val="006600A3"/>
    <w:rsid w:val="006600C6"/>
    <w:rsid w:val="006600CB"/>
    <w:rsid w:val="006608C0"/>
    <w:rsid w:val="00660A4A"/>
    <w:rsid w:val="00660D1B"/>
    <w:rsid w:val="00660E1B"/>
    <w:rsid w:val="0066104E"/>
    <w:rsid w:val="006613EC"/>
    <w:rsid w:val="006616B6"/>
    <w:rsid w:val="00662637"/>
    <w:rsid w:val="0066280C"/>
    <w:rsid w:val="006629BA"/>
    <w:rsid w:val="00662A2A"/>
    <w:rsid w:val="00662BB3"/>
    <w:rsid w:val="00662E1C"/>
    <w:rsid w:val="00662F2B"/>
    <w:rsid w:val="006634A7"/>
    <w:rsid w:val="006638F1"/>
    <w:rsid w:val="0066390E"/>
    <w:rsid w:val="0066396E"/>
    <w:rsid w:val="00663CD2"/>
    <w:rsid w:val="00663D13"/>
    <w:rsid w:val="00663EC5"/>
    <w:rsid w:val="0066432E"/>
    <w:rsid w:val="0066455A"/>
    <w:rsid w:val="00664B50"/>
    <w:rsid w:val="006654CC"/>
    <w:rsid w:val="006659A5"/>
    <w:rsid w:val="00665A68"/>
    <w:rsid w:val="00666306"/>
    <w:rsid w:val="006665FC"/>
    <w:rsid w:val="00666697"/>
    <w:rsid w:val="006668B2"/>
    <w:rsid w:val="00666BE0"/>
    <w:rsid w:val="00667101"/>
    <w:rsid w:val="0066716E"/>
    <w:rsid w:val="006676A3"/>
    <w:rsid w:val="00667CF9"/>
    <w:rsid w:val="00670203"/>
    <w:rsid w:val="006705D0"/>
    <w:rsid w:val="00670734"/>
    <w:rsid w:val="006708D8"/>
    <w:rsid w:val="00670C74"/>
    <w:rsid w:val="00670D1A"/>
    <w:rsid w:val="00670F89"/>
    <w:rsid w:val="00671092"/>
    <w:rsid w:val="00671866"/>
    <w:rsid w:val="00671E44"/>
    <w:rsid w:val="00672088"/>
    <w:rsid w:val="006722C0"/>
    <w:rsid w:val="00673365"/>
    <w:rsid w:val="00673673"/>
    <w:rsid w:val="00675123"/>
    <w:rsid w:val="00675142"/>
    <w:rsid w:val="006756B1"/>
    <w:rsid w:val="006759E1"/>
    <w:rsid w:val="00675B49"/>
    <w:rsid w:val="00675B99"/>
    <w:rsid w:val="00675E92"/>
    <w:rsid w:val="006762FB"/>
    <w:rsid w:val="0067701C"/>
    <w:rsid w:val="006771AB"/>
    <w:rsid w:val="006773C0"/>
    <w:rsid w:val="00677744"/>
    <w:rsid w:val="0067789B"/>
    <w:rsid w:val="00677994"/>
    <w:rsid w:val="0068001D"/>
    <w:rsid w:val="00680275"/>
    <w:rsid w:val="006803FE"/>
    <w:rsid w:val="006804D1"/>
    <w:rsid w:val="0068092C"/>
    <w:rsid w:val="006809E9"/>
    <w:rsid w:val="00680C25"/>
    <w:rsid w:val="00680C7C"/>
    <w:rsid w:val="00680DDF"/>
    <w:rsid w:val="00680EF9"/>
    <w:rsid w:val="00681037"/>
    <w:rsid w:val="00681041"/>
    <w:rsid w:val="00681249"/>
    <w:rsid w:val="00681684"/>
    <w:rsid w:val="006819C9"/>
    <w:rsid w:val="00681B3D"/>
    <w:rsid w:val="00681C40"/>
    <w:rsid w:val="00681D65"/>
    <w:rsid w:val="00682117"/>
    <w:rsid w:val="00682542"/>
    <w:rsid w:val="006825BE"/>
    <w:rsid w:val="00682B1D"/>
    <w:rsid w:val="00682EDD"/>
    <w:rsid w:val="00682FB1"/>
    <w:rsid w:val="006834E1"/>
    <w:rsid w:val="0068377C"/>
    <w:rsid w:val="006839A3"/>
    <w:rsid w:val="00684383"/>
    <w:rsid w:val="00684592"/>
    <w:rsid w:val="00684AD5"/>
    <w:rsid w:val="0068587F"/>
    <w:rsid w:val="00685A07"/>
    <w:rsid w:val="00685A73"/>
    <w:rsid w:val="00685A8E"/>
    <w:rsid w:val="00685DA1"/>
    <w:rsid w:val="00685FA0"/>
    <w:rsid w:val="00686000"/>
    <w:rsid w:val="00686018"/>
    <w:rsid w:val="00686470"/>
    <w:rsid w:val="00686F82"/>
    <w:rsid w:val="0069125D"/>
    <w:rsid w:val="006913C9"/>
    <w:rsid w:val="00691472"/>
    <w:rsid w:val="006917D9"/>
    <w:rsid w:val="006919B2"/>
    <w:rsid w:val="00691A94"/>
    <w:rsid w:val="00691BDC"/>
    <w:rsid w:val="00691BF8"/>
    <w:rsid w:val="006920E9"/>
    <w:rsid w:val="0069227F"/>
    <w:rsid w:val="006923B9"/>
    <w:rsid w:val="00692476"/>
    <w:rsid w:val="00692AB1"/>
    <w:rsid w:val="00692ACA"/>
    <w:rsid w:val="00692AE9"/>
    <w:rsid w:val="00692B4A"/>
    <w:rsid w:val="00692DA8"/>
    <w:rsid w:val="00692EBC"/>
    <w:rsid w:val="00692FD0"/>
    <w:rsid w:val="00693121"/>
    <w:rsid w:val="006932B9"/>
    <w:rsid w:val="006935E5"/>
    <w:rsid w:val="006936A1"/>
    <w:rsid w:val="006939D7"/>
    <w:rsid w:val="00693BB4"/>
    <w:rsid w:val="006944F6"/>
    <w:rsid w:val="0069520D"/>
    <w:rsid w:val="006954EF"/>
    <w:rsid w:val="00695564"/>
    <w:rsid w:val="0069630C"/>
    <w:rsid w:val="006965AA"/>
    <w:rsid w:val="00696C16"/>
    <w:rsid w:val="006971DB"/>
    <w:rsid w:val="0069762E"/>
    <w:rsid w:val="00697B81"/>
    <w:rsid w:val="006A02AA"/>
    <w:rsid w:val="006A09C1"/>
    <w:rsid w:val="006A1528"/>
    <w:rsid w:val="006A1799"/>
    <w:rsid w:val="006A1982"/>
    <w:rsid w:val="006A1A76"/>
    <w:rsid w:val="006A1E20"/>
    <w:rsid w:val="006A1ED7"/>
    <w:rsid w:val="006A26E6"/>
    <w:rsid w:val="006A2764"/>
    <w:rsid w:val="006A3365"/>
    <w:rsid w:val="006A3E21"/>
    <w:rsid w:val="006A466C"/>
    <w:rsid w:val="006A486F"/>
    <w:rsid w:val="006A4D77"/>
    <w:rsid w:val="006A4E0D"/>
    <w:rsid w:val="006A4E97"/>
    <w:rsid w:val="006A5078"/>
    <w:rsid w:val="006A5181"/>
    <w:rsid w:val="006A51DD"/>
    <w:rsid w:val="006A520D"/>
    <w:rsid w:val="006A56A1"/>
    <w:rsid w:val="006A5842"/>
    <w:rsid w:val="006A5E1C"/>
    <w:rsid w:val="006A5F7C"/>
    <w:rsid w:val="006A602C"/>
    <w:rsid w:val="006A60CF"/>
    <w:rsid w:val="006A677A"/>
    <w:rsid w:val="006A774F"/>
    <w:rsid w:val="006A788B"/>
    <w:rsid w:val="006A78C3"/>
    <w:rsid w:val="006A7AB1"/>
    <w:rsid w:val="006B0190"/>
    <w:rsid w:val="006B0197"/>
    <w:rsid w:val="006B0238"/>
    <w:rsid w:val="006B02CC"/>
    <w:rsid w:val="006B05D3"/>
    <w:rsid w:val="006B06DB"/>
    <w:rsid w:val="006B0713"/>
    <w:rsid w:val="006B0805"/>
    <w:rsid w:val="006B0984"/>
    <w:rsid w:val="006B0A05"/>
    <w:rsid w:val="006B0AA8"/>
    <w:rsid w:val="006B105E"/>
    <w:rsid w:val="006B130A"/>
    <w:rsid w:val="006B16BC"/>
    <w:rsid w:val="006B1905"/>
    <w:rsid w:val="006B1E9E"/>
    <w:rsid w:val="006B1F8D"/>
    <w:rsid w:val="006B2172"/>
    <w:rsid w:val="006B225A"/>
    <w:rsid w:val="006B240B"/>
    <w:rsid w:val="006B243C"/>
    <w:rsid w:val="006B2657"/>
    <w:rsid w:val="006B28D4"/>
    <w:rsid w:val="006B3020"/>
    <w:rsid w:val="006B3649"/>
    <w:rsid w:val="006B3F4A"/>
    <w:rsid w:val="006B413A"/>
    <w:rsid w:val="006B41AA"/>
    <w:rsid w:val="006B4C24"/>
    <w:rsid w:val="006B4D6F"/>
    <w:rsid w:val="006B514F"/>
    <w:rsid w:val="006B5FA2"/>
    <w:rsid w:val="006B60B6"/>
    <w:rsid w:val="006B635D"/>
    <w:rsid w:val="006B6578"/>
    <w:rsid w:val="006B6869"/>
    <w:rsid w:val="006B6B17"/>
    <w:rsid w:val="006B6B63"/>
    <w:rsid w:val="006B7112"/>
    <w:rsid w:val="006B71B4"/>
    <w:rsid w:val="006B7521"/>
    <w:rsid w:val="006B753B"/>
    <w:rsid w:val="006B763F"/>
    <w:rsid w:val="006B7943"/>
    <w:rsid w:val="006B794B"/>
    <w:rsid w:val="006B7A99"/>
    <w:rsid w:val="006C0681"/>
    <w:rsid w:val="006C0731"/>
    <w:rsid w:val="006C0866"/>
    <w:rsid w:val="006C0ABD"/>
    <w:rsid w:val="006C0F5C"/>
    <w:rsid w:val="006C13E4"/>
    <w:rsid w:val="006C1479"/>
    <w:rsid w:val="006C1796"/>
    <w:rsid w:val="006C2442"/>
    <w:rsid w:val="006C2615"/>
    <w:rsid w:val="006C27DF"/>
    <w:rsid w:val="006C27EF"/>
    <w:rsid w:val="006C28A5"/>
    <w:rsid w:val="006C2A1A"/>
    <w:rsid w:val="006C2A47"/>
    <w:rsid w:val="006C2C79"/>
    <w:rsid w:val="006C2CC4"/>
    <w:rsid w:val="006C2E10"/>
    <w:rsid w:val="006C30D2"/>
    <w:rsid w:val="006C315C"/>
    <w:rsid w:val="006C32E5"/>
    <w:rsid w:val="006C37D1"/>
    <w:rsid w:val="006C3C1F"/>
    <w:rsid w:val="006C3FC9"/>
    <w:rsid w:val="006C4446"/>
    <w:rsid w:val="006C44D1"/>
    <w:rsid w:val="006C4AF8"/>
    <w:rsid w:val="006C4FCA"/>
    <w:rsid w:val="006C5307"/>
    <w:rsid w:val="006C5362"/>
    <w:rsid w:val="006C5A6A"/>
    <w:rsid w:val="006C5CD4"/>
    <w:rsid w:val="006C5EC9"/>
    <w:rsid w:val="006C6133"/>
    <w:rsid w:val="006C639E"/>
    <w:rsid w:val="006C644B"/>
    <w:rsid w:val="006C64A0"/>
    <w:rsid w:val="006C68FD"/>
    <w:rsid w:val="006C6924"/>
    <w:rsid w:val="006C6A3F"/>
    <w:rsid w:val="006C6FC7"/>
    <w:rsid w:val="006C7216"/>
    <w:rsid w:val="006C7979"/>
    <w:rsid w:val="006C7E3F"/>
    <w:rsid w:val="006C7FAC"/>
    <w:rsid w:val="006D0118"/>
    <w:rsid w:val="006D0204"/>
    <w:rsid w:val="006D0347"/>
    <w:rsid w:val="006D054B"/>
    <w:rsid w:val="006D12CE"/>
    <w:rsid w:val="006D1F32"/>
    <w:rsid w:val="006D2421"/>
    <w:rsid w:val="006D25A7"/>
    <w:rsid w:val="006D26D8"/>
    <w:rsid w:val="006D2729"/>
    <w:rsid w:val="006D29E1"/>
    <w:rsid w:val="006D2A83"/>
    <w:rsid w:val="006D2AC1"/>
    <w:rsid w:val="006D2FC8"/>
    <w:rsid w:val="006D306B"/>
    <w:rsid w:val="006D33A7"/>
    <w:rsid w:val="006D37E9"/>
    <w:rsid w:val="006D399B"/>
    <w:rsid w:val="006D3ACB"/>
    <w:rsid w:val="006D40BA"/>
    <w:rsid w:val="006D43EA"/>
    <w:rsid w:val="006D44D9"/>
    <w:rsid w:val="006D47EC"/>
    <w:rsid w:val="006D4B65"/>
    <w:rsid w:val="006D527C"/>
    <w:rsid w:val="006D52B9"/>
    <w:rsid w:val="006D574C"/>
    <w:rsid w:val="006D5B6B"/>
    <w:rsid w:val="006D6253"/>
    <w:rsid w:val="006D6621"/>
    <w:rsid w:val="006D6674"/>
    <w:rsid w:val="006D669A"/>
    <w:rsid w:val="006D68B1"/>
    <w:rsid w:val="006D6EF6"/>
    <w:rsid w:val="006D70C4"/>
    <w:rsid w:val="006D7479"/>
    <w:rsid w:val="006D7BA6"/>
    <w:rsid w:val="006D7D41"/>
    <w:rsid w:val="006D7FBE"/>
    <w:rsid w:val="006D7FF0"/>
    <w:rsid w:val="006E0208"/>
    <w:rsid w:val="006E02A4"/>
    <w:rsid w:val="006E087D"/>
    <w:rsid w:val="006E088C"/>
    <w:rsid w:val="006E0A0A"/>
    <w:rsid w:val="006E0CC8"/>
    <w:rsid w:val="006E0F76"/>
    <w:rsid w:val="006E106D"/>
    <w:rsid w:val="006E10E3"/>
    <w:rsid w:val="006E11EB"/>
    <w:rsid w:val="006E1789"/>
    <w:rsid w:val="006E1AF1"/>
    <w:rsid w:val="006E1CD9"/>
    <w:rsid w:val="006E21F7"/>
    <w:rsid w:val="006E2317"/>
    <w:rsid w:val="006E27A8"/>
    <w:rsid w:val="006E2E5B"/>
    <w:rsid w:val="006E33CB"/>
    <w:rsid w:val="006E3497"/>
    <w:rsid w:val="006E3857"/>
    <w:rsid w:val="006E3E73"/>
    <w:rsid w:val="006E4271"/>
    <w:rsid w:val="006E4BCE"/>
    <w:rsid w:val="006E4EB4"/>
    <w:rsid w:val="006E50D0"/>
    <w:rsid w:val="006E5350"/>
    <w:rsid w:val="006E542E"/>
    <w:rsid w:val="006E546D"/>
    <w:rsid w:val="006E55B5"/>
    <w:rsid w:val="006E56FD"/>
    <w:rsid w:val="006E5F4C"/>
    <w:rsid w:val="006E62B4"/>
    <w:rsid w:val="006E65ED"/>
    <w:rsid w:val="006E67FF"/>
    <w:rsid w:val="006E6DE4"/>
    <w:rsid w:val="006E6F46"/>
    <w:rsid w:val="006E7096"/>
    <w:rsid w:val="006E75C1"/>
    <w:rsid w:val="006E7ADD"/>
    <w:rsid w:val="006E7C66"/>
    <w:rsid w:val="006F0356"/>
    <w:rsid w:val="006F05D1"/>
    <w:rsid w:val="006F07D8"/>
    <w:rsid w:val="006F0D51"/>
    <w:rsid w:val="006F0D86"/>
    <w:rsid w:val="006F0F5D"/>
    <w:rsid w:val="006F1159"/>
    <w:rsid w:val="006F1162"/>
    <w:rsid w:val="006F1639"/>
    <w:rsid w:val="006F1C2D"/>
    <w:rsid w:val="006F1EC7"/>
    <w:rsid w:val="006F1EF6"/>
    <w:rsid w:val="006F21CB"/>
    <w:rsid w:val="006F231D"/>
    <w:rsid w:val="006F27F8"/>
    <w:rsid w:val="006F2B7C"/>
    <w:rsid w:val="006F2C33"/>
    <w:rsid w:val="006F3044"/>
    <w:rsid w:val="006F34FF"/>
    <w:rsid w:val="006F39FE"/>
    <w:rsid w:val="006F42AD"/>
    <w:rsid w:val="006F4301"/>
    <w:rsid w:val="006F4365"/>
    <w:rsid w:val="006F4493"/>
    <w:rsid w:val="006F45EB"/>
    <w:rsid w:val="006F4806"/>
    <w:rsid w:val="006F4A18"/>
    <w:rsid w:val="006F4D03"/>
    <w:rsid w:val="006F4D94"/>
    <w:rsid w:val="006F524B"/>
    <w:rsid w:val="006F56C8"/>
    <w:rsid w:val="006F591A"/>
    <w:rsid w:val="006F5EC0"/>
    <w:rsid w:val="006F6040"/>
    <w:rsid w:val="006F60DC"/>
    <w:rsid w:val="006F64D9"/>
    <w:rsid w:val="006F6609"/>
    <w:rsid w:val="006F6780"/>
    <w:rsid w:val="006F684C"/>
    <w:rsid w:val="006F6A6E"/>
    <w:rsid w:val="006F6D4C"/>
    <w:rsid w:val="006F6EF7"/>
    <w:rsid w:val="006F7B61"/>
    <w:rsid w:val="006F7EAC"/>
    <w:rsid w:val="006F7F61"/>
    <w:rsid w:val="006F7F6A"/>
    <w:rsid w:val="007006CB"/>
    <w:rsid w:val="00700881"/>
    <w:rsid w:val="0070162A"/>
    <w:rsid w:val="0070180C"/>
    <w:rsid w:val="00701A2C"/>
    <w:rsid w:val="0070207E"/>
    <w:rsid w:val="0070283A"/>
    <w:rsid w:val="0070297E"/>
    <w:rsid w:val="00702D78"/>
    <w:rsid w:val="0070311B"/>
    <w:rsid w:val="00703346"/>
    <w:rsid w:val="007035B8"/>
    <w:rsid w:val="00703C83"/>
    <w:rsid w:val="00703DB6"/>
    <w:rsid w:val="00704292"/>
    <w:rsid w:val="007047D7"/>
    <w:rsid w:val="007047EC"/>
    <w:rsid w:val="00704E85"/>
    <w:rsid w:val="00705558"/>
    <w:rsid w:val="00705731"/>
    <w:rsid w:val="00705825"/>
    <w:rsid w:val="00705F24"/>
    <w:rsid w:val="00705FE9"/>
    <w:rsid w:val="0070603A"/>
    <w:rsid w:val="00706A81"/>
    <w:rsid w:val="00706CA9"/>
    <w:rsid w:val="00706EF7"/>
    <w:rsid w:val="007073D9"/>
    <w:rsid w:val="00707597"/>
    <w:rsid w:val="007078D2"/>
    <w:rsid w:val="00707DAF"/>
    <w:rsid w:val="00707F4B"/>
    <w:rsid w:val="00710577"/>
    <w:rsid w:val="007105B4"/>
    <w:rsid w:val="00710708"/>
    <w:rsid w:val="00710A12"/>
    <w:rsid w:val="00710C82"/>
    <w:rsid w:val="00710DC7"/>
    <w:rsid w:val="00710EFE"/>
    <w:rsid w:val="007110E8"/>
    <w:rsid w:val="007114ED"/>
    <w:rsid w:val="0071182F"/>
    <w:rsid w:val="007118A5"/>
    <w:rsid w:val="007118B9"/>
    <w:rsid w:val="00711B3D"/>
    <w:rsid w:val="007121DA"/>
    <w:rsid w:val="00712394"/>
    <w:rsid w:val="0071282C"/>
    <w:rsid w:val="00712C7F"/>
    <w:rsid w:val="00712CB7"/>
    <w:rsid w:val="00712CFF"/>
    <w:rsid w:val="00712DEA"/>
    <w:rsid w:val="00712FEC"/>
    <w:rsid w:val="00713042"/>
    <w:rsid w:val="00713385"/>
    <w:rsid w:val="0071344C"/>
    <w:rsid w:val="00713785"/>
    <w:rsid w:val="00713FAB"/>
    <w:rsid w:val="00714061"/>
    <w:rsid w:val="0071430A"/>
    <w:rsid w:val="0071472D"/>
    <w:rsid w:val="007147CB"/>
    <w:rsid w:val="00714C52"/>
    <w:rsid w:val="00714E6E"/>
    <w:rsid w:val="007150A6"/>
    <w:rsid w:val="007153DB"/>
    <w:rsid w:val="007157C4"/>
    <w:rsid w:val="00715AAA"/>
    <w:rsid w:val="007160EF"/>
    <w:rsid w:val="00716118"/>
    <w:rsid w:val="007161D3"/>
    <w:rsid w:val="0071652F"/>
    <w:rsid w:val="00716E62"/>
    <w:rsid w:val="00716FA2"/>
    <w:rsid w:val="00716FCB"/>
    <w:rsid w:val="00717738"/>
    <w:rsid w:val="0071775D"/>
    <w:rsid w:val="0071795D"/>
    <w:rsid w:val="007179F1"/>
    <w:rsid w:val="00717B5E"/>
    <w:rsid w:val="00717FEA"/>
    <w:rsid w:val="007201EA"/>
    <w:rsid w:val="00720347"/>
    <w:rsid w:val="00720FEE"/>
    <w:rsid w:val="0072146D"/>
    <w:rsid w:val="00722136"/>
    <w:rsid w:val="00722539"/>
    <w:rsid w:val="0072267F"/>
    <w:rsid w:val="00722C74"/>
    <w:rsid w:val="00722DBE"/>
    <w:rsid w:val="00722E87"/>
    <w:rsid w:val="007230E7"/>
    <w:rsid w:val="00723554"/>
    <w:rsid w:val="00723B8F"/>
    <w:rsid w:val="00723B93"/>
    <w:rsid w:val="00724653"/>
    <w:rsid w:val="007249EC"/>
    <w:rsid w:val="00724E9A"/>
    <w:rsid w:val="00725061"/>
    <w:rsid w:val="0072536B"/>
    <w:rsid w:val="00725637"/>
    <w:rsid w:val="00725754"/>
    <w:rsid w:val="00725AE0"/>
    <w:rsid w:val="00725EEF"/>
    <w:rsid w:val="007261D9"/>
    <w:rsid w:val="007262BC"/>
    <w:rsid w:val="00726620"/>
    <w:rsid w:val="00726B44"/>
    <w:rsid w:val="00727014"/>
    <w:rsid w:val="007272B9"/>
    <w:rsid w:val="00727797"/>
    <w:rsid w:val="007277BA"/>
    <w:rsid w:val="00727F1A"/>
    <w:rsid w:val="00727F3D"/>
    <w:rsid w:val="00730A26"/>
    <w:rsid w:val="00730A59"/>
    <w:rsid w:val="00730EE0"/>
    <w:rsid w:val="00731132"/>
    <w:rsid w:val="007312F8"/>
    <w:rsid w:val="00731690"/>
    <w:rsid w:val="00731C60"/>
    <w:rsid w:val="00731C67"/>
    <w:rsid w:val="00731E3A"/>
    <w:rsid w:val="00731E40"/>
    <w:rsid w:val="007328DC"/>
    <w:rsid w:val="00732A6A"/>
    <w:rsid w:val="00732C1B"/>
    <w:rsid w:val="00732E7D"/>
    <w:rsid w:val="007332E2"/>
    <w:rsid w:val="0073351E"/>
    <w:rsid w:val="00733A9E"/>
    <w:rsid w:val="00733AC3"/>
    <w:rsid w:val="00733EF6"/>
    <w:rsid w:val="00734184"/>
    <w:rsid w:val="0073419E"/>
    <w:rsid w:val="00734ED2"/>
    <w:rsid w:val="00734F4A"/>
    <w:rsid w:val="007350EB"/>
    <w:rsid w:val="007351AB"/>
    <w:rsid w:val="00735235"/>
    <w:rsid w:val="007359B6"/>
    <w:rsid w:val="007359CE"/>
    <w:rsid w:val="00735AD3"/>
    <w:rsid w:val="00735E89"/>
    <w:rsid w:val="00735EB2"/>
    <w:rsid w:val="00736042"/>
    <w:rsid w:val="00736545"/>
    <w:rsid w:val="00736916"/>
    <w:rsid w:val="007372A2"/>
    <w:rsid w:val="0073758A"/>
    <w:rsid w:val="0074041D"/>
    <w:rsid w:val="00740444"/>
    <w:rsid w:val="007405F6"/>
    <w:rsid w:val="0074085E"/>
    <w:rsid w:val="0074091F"/>
    <w:rsid w:val="00740A25"/>
    <w:rsid w:val="00740F84"/>
    <w:rsid w:val="007410C5"/>
    <w:rsid w:val="007415D8"/>
    <w:rsid w:val="00741AAF"/>
    <w:rsid w:val="00741BCB"/>
    <w:rsid w:val="00742225"/>
    <w:rsid w:val="00742630"/>
    <w:rsid w:val="0074265A"/>
    <w:rsid w:val="0074277D"/>
    <w:rsid w:val="0074296C"/>
    <w:rsid w:val="00742987"/>
    <w:rsid w:val="00742D87"/>
    <w:rsid w:val="00742FAD"/>
    <w:rsid w:val="007433DB"/>
    <w:rsid w:val="007434EC"/>
    <w:rsid w:val="0074351A"/>
    <w:rsid w:val="0074351C"/>
    <w:rsid w:val="0074390A"/>
    <w:rsid w:val="007439F1"/>
    <w:rsid w:val="00743B05"/>
    <w:rsid w:val="007446C9"/>
    <w:rsid w:val="0074520A"/>
    <w:rsid w:val="00745862"/>
    <w:rsid w:val="00745DC7"/>
    <w:rsid w:val="00745F06"/>
    <w:rsid w:val="0074629B"/>
    <w:rsid w:val="00746455"/>
    <w:rsid w:val="007467EE"/>
    <w:rsid w:val="00746A82"/>
    <w:rsid w:val="00746BB2"/>
    <w:rsid w:val="0074745E"/>
    <w:rsid w:val="0074793F"/>
    <w:rsid w:val="00747969"/>
    <w:rsid w:val="00747DD3"/>
    <w:rsid w:val="0075055D"/>
    <w:rsid w:val="00750622"/>
    <w:rsid w:val="00750E2E"/>
    <w:rsid w:val="0075117F"/>
    <w:rsid w:val="0075181C"/>
    <w:rsid w:val="00752457"/>
    <w:rsid w:val="007529C5"/>
    <w:rsid w:val="00752B22"/>
    <w:rsid w:val="00753474"/>
    <w:rsid w:val="0075347D"/>
    <w:rsid w:val="007537B2"/>
    <w:rsid w:val="00754187"/>
    <w:rsid w:val="00754233"/>
    <w:rsid w:val="007545D6"/>
    <w:rsid w:val="0075475E"/>
    <w:rsid w:val="00754CA6"/>
    <w:rsid w:val="00754FF4"/>
    <w:rsid w:val="007556A5"/>
    <w:rsid w:val="00755871"/>
    <w:rsid w:val="00755D82"/>
    <w:rsid w:val="00756522"/>
    <w:rsid w:val="00756875"/>
    <w:rsid w:val="00756A67"/>
    <w:rsid w:val="00756E10"/>
    <w:rsid w:val="00756FB4"/>
    <w:rsid w:val="00757231"/>
    <w:rsid w:val="0075727D"/>
    <w:rsid w:val="007572A3"/>
    <w:rsid w:val="007574FD"/>
    <w:rsid w:val="00757726"/>
    <w:rsid w:val="00757A3D"/>
    <w:rsid w:val="00760531"/>
    <w:rsid w:val="00760CA4"/>
    <w:rsid w:val="00760D45"/>
    <w:rsid w:val="00760E5A"/>
    <w:rsid w:val="00760FBE"/>
    <w:rsid w:val="007616CB"/>
    <w:rsid w:val="007618A0"/>
    <w:rsid w:val="007618E3"/>
    <w:rsid w:val="00761E8F"/>
    <w:rsid w:val="0076221C"/>
    <w:rsid w:val="007622B8"/>
    <w:rsid w:val="00762303"/>
    <w:rsid w:val="007627AE"/>
    <w:rsid w:val="0076296E"/>
    <w:rsid w:val="007632B4"/>
    <w:rsid w:val="007634D7"/>
    <w:rsid w:val="007635EB"/>
    <w:rsid w:val="007637A8"/>
    <w:rsid w:val="007637AE"/>
    <w:rsid w:val="00763C38"/>
    <w:rsid w:val="00763D3A"/>
    <w:rsid w:val="007646E3"/>
    <w:rsid w:val="00764DAA"/>
    <w:rsid w:val="00764FCC"/>
    <w:rsid w:val="00765466"/>
    <w:rsid w:val="007655C1"/>
    <w:rsid w:val="007655DC"/>
    <w:rsid w:val="007657B5"/>
    <w:rsid w:val="00765996"/>
    <w:rsid w:val="00765DC5"/>
    <w:rsid w:val="00765EA9"/>
    <w:rsid w:val="0076644A"/>
    <w:rsid w:val="00766572"/>
    <w:rsid w:val="007665F3"/>
    <w:rsid w:val="00766649"/>
    <w:rsid w:val="0076697B"/>
    <w:rsid w:val="00766E4D"/>
    <w:rsid w:val="00766F51"/>
    <w:rsid w:val="00766FEC"/>
    <w:rsid w:val="007679C9"/>
    <w:rsid w:val="00767CFB"/>
    <w:rsid w:val="00767DCE"/>
    <w:rsid w:val="00767EF9"/>
    <w:rsid w:val="00767F5C"/>
    <w:rsid w:val="00770465"/>
    <w:rsid w:val="007706C0"/>
    <w:rsid w:val="00770791"/>
    <w:rsid w:val="0077093C"/>
    <w:rsid w:val="00770B4F"/>
    <w:rsid w:val="00770C9D"/>
    <w:rsid w:val="00770E63"/>
    <w:rsid w:val="00771345"/>
    <w:rsid w:val="007715C6"/>
    <w:rsid w:val="007715FE"/>
    <w:rsid w:val="007718BD"/>
    <w:rsid w:val="00771991"/>
    <w:rsid w:val="00771BDE"/>
    <w:rsid w:val="00771C32"/>
    <w:rsid w:val="00771E36"/>
    <w:rsid w:val="00772087"/>
    <w:rsid w:val="007725B0"/>
    <w:rsid w:val="007725ED"/>
    <w:rsid w:val="00772998"/>
    <w:rsid w:val="00772AB5"/>
    <w:rsid w:val="00772E9D"/>
    <w:rsid w:val="00772FAA"/>
    <w:rsid w:val="00773BDD"/>
    <w:rsid w:val="00773CA8"/>
    <w:rsid w:val="0077416A"/>
    <w:rsid w:val="007743CA"/>
    <w:rsid w:val="0077473D"/>
    <w:rsid w:val="0077495F"/>
    <w:rsid w:val="00774FE7"/>
    <w:rsid w:val="007759F5"/>
    <w:rsid w:val="00775B79"/>
    <w:rsid w:val="00775C9B"/>
    <w:rsid w:val="00775D54"/>
    <w:rsid w:val="0077629A"/>
    <w:rsid w:val="00776B5A"/>
    <w:rsid w:val="00776D15"/>
    <w:rsid w:val="00777093"/>
    <w:rsid w:val="007773AD"/>
    <w:rsid w:val="00777878"/>
    <w:rsid w:val="00777889"/>
    <w:rsid w:val="00777AC9"/>
    <w:rsid w:val="00777AEE"/>
    <w:rsid w:val="00777C87"/>
    <w:rsid w:val="00777D54"/>
    <w:rsid w:val="00777FAC"/>
    <w:rsid w:val="00780089"/>
    <w:rsid w:val="0078032C"/>
    <w:rsid w:val="007803D8"/>
    <w:rsid w:val="00780A53"/>
    <w:rsid w:val="00780BDA"/>
    <w:rsid w:val="007813E2"/>
    <w:rsid w:val="007814BE"/>
    <w:rsid w:val="00781D71"/>
    <w:rsid w:val="00781F8B"/>
    <w:rsid w:val="00782092"/>
    <w:rsid w:val="00782111"/>
    <w:rsid w:val="00782283"/>
    <w:rsid w:val="00782428"/>
    <w:rsid w:val="0078278A"/>
    <w:rsid w:val="007830A2"/>
    <w:rsid w:val="00783A77"/>
    <w:rsid w:val="00783B92"/>
    <w:rsid w:val="00783D74"/>
    <w:rsid w:val="00783F60"/>
    <w:rsid w:val="00784069"/>
    <w:rsid w:val="007840B6"/>
    <w:rsid w:val="007842E9"/>
    <w:rsid w:val="0078444A"/>
    <w:rsid w:val="007845EF"/>
    <w:rsid w:val="007848F3"/>
    <w:rsid w:val="00784A82"/>
    <w:rsid w:val="00784DF0"/>
    <w:rsid w:val="007850CB"/>
    <w:rsid w:val="0078539D"/>
    <w:rsid w:val="007853B2"/>
    <w:rsid w:val="0078555F"/>
    <w:rsid w:val="00785B68"/>
    <w:rsid w:val="0078635D"/>
    <w:rsid w:val="00787D56"/>
    <w:rsid w:val="007905D6"/>
    <w:rsid w:val="00790744"/>
    <w:rsid w:val="007909CF"/>
    <w:rsid w:val="00790BB9"/>
    <w:rsid w:val="007911FF"/>
    <w:rsid w:val="00791431"/>
    <w:rsid w:val="00791C4A"/>
    <w:rsid w:val="00791DEA"/>
    <w:rsid w:val="00791EF0"/>
    <w:rsid w:val="007922C7"/>
    <w:rsid w:val="00792956"/>
    <w:rsid w:val="00792A86"/>
    <w:rsid w:val="00792DEF"/>
    <w:rsid w:val="007931A0"/>
    <w:rsid w:val="0079325B"/>
    <w:rsid w:val="0079421B"/>
    <w:rsid w:val="00794451"/>
    <w:rsid w:val="007945C0"/>
    <w:rsid w:val="0079478C"/>
    <w:rsid w:val="007951BF"/>
    <w:rsid w:val="007955E9"/>
    <w:rsid w:val="0079563D"/>
    <w:rsid w:val="0079589B"/>
    <w:rsid w:val="0079617E"/>
    <w:rsid w:val="00796388"/>
    <w:rsid w:val="007968B1"/>
    <w:rsid w:val="007968B9"/>
    <w:rsid w:val="007969DD"/>
    <w:rsid w:val="00796A76"/>
    <w:rsid w:val="00796E5D"/>
    <w:rsid w:val="007971C5"/>
    <w:rsid w:val="0079773E"/>
    <w:rsid w:val="00797775"/>
    <w:rsid w:val="00797841"/>
    <w:rsid w:val="00797BC8"/>
    <w:rsid w:val="00797DD2"/>
    <w:rsid w:val="00797DFA"/>
    <w:rsid w:val="007A037B"/>
    <w:rsid w:val="007A0A0F"/>
    <w:rsid w:val="007A0AF7"/>
    <w:rsid w:val="007A1285"/>
    <w:rsid w:val="007A1873"/>
    <w:rsid w:val="007A19AC"/>
    <w:rsid w:val="007A1D5D"/>
    <w:rsid w:val="007A1ED1"/>
    <w:rsid w:val="007A2107"/>
    <w:rsid w:val="007A29F7"/>
    <w:rsid w:val="007A2E78"/>
    <w:rsid w:val="007A3053"/>
    <w:rsid w:val="007A307E"/>
    <w:rsid w:val="007A30C7"/>
    <w:rsid w:val="007A331B"/>
    <w:rsid w:val="007A39C0"/>
    <w:rsid w:val="007A3C40"/>
    <w:rsid w:val="007A3F7B"/>
    <w:rsid w:val="007A424C"/>
    <w:rsid w:val="007A46D5"/>
    <w:rsid w:val="007A4847"/>
    <w:rsid w:val="007A49F5"/>
    <w:rsid w:val="007A508F"/>
    <w:rsid w:val="007A519F"/>
    <w:rsid w:val="007A5543"/>
    <w:rsid w:val="007A6B63"/>
    <w:rsid w:val="007A6B9D"/>
    <w:rsid w:val="007A6CE7"/>
    <w:rsid w:val="007A6D2A"/>
    <w:rsid w:val="007A6EA0"/>
    <w:rsid w:val="007A6FA4"/>
    <w:rsid w:val="007A719D"/>
    <w:rsid w:val="007A73F0"/>
    <w:rsid w:val="007A7927"/>
    <w:rsid w:val="007B00E0"/>
    <w:rsid w:val="007B0102"/>
    <w:rsid w:val="007B023A"/>
    <w:rsid w:val="007B0452"/>
    <w:rsid w:val="007B0487"/>
    <w:rsid w:val="007B0637"/>
    <w:rsid w:val="007B0808"/>
    <w:rsid w:val="007B0BC8"/>
    <w:rsid w:val="007B0EE2"/>
    <w:rsid w:val="007B107F"/>
    <w:rsid w:val="007B1121"/>
    <w:rsid w:val="007B11DC"/>
    <w:rsid w:val="007B1A96"/>
    <w:rsid w:val="007B2D11"/>
    <w:rsid w:val="007B3184"/>
    <w:rsid w:val="007B334E"/>
    <w:rsid w:val="007B374E"/>
    <w:rsid w:val="007B39F5"/>
    <w:rsid w:val="007B3BD0"/>
    <w:rsid w:val="007B4321"/>
    <w:rsid w:val="007B433C"/>
    <w:rsid w:val="007B47EF"/>
    <w:rsid w:val="007B4916"/>
    <w:rsid w:val="007B4DC9"/>
    <w:rsid w:val="007B50DF"/>
    <w:rsid w:val="007B5359"/>
    <w:rsid w:val="007B54F9"/>
    <w:rsid w:val="007B5938"/>
    <w:rsid w:val="007B5AC6"/>
    <w:rsid w:val="007B5D30"/>
    <w:rsid w:val="007B5E36"/>
    <w:rsid w:val="007B5F26"/>
    <w:rsid w:val="007B6458"/>
    <w:rsid w:val="007B65DF"/>
    <w:rsid w:val="007B6665"/>
    <w:rsid w:val="007B67C1"/>
    <w:rsid w:val="007B6E21"/>
    <w:rsid w:val="007B7237"/>
    <w:rsid w:val="007B75A3"/>
    <w:rsid w:val="007B7FBF"/>
    <w:rsid w:val="007C01B1"/>
    <w:rsid w:val="007C15F0"/>
    <w:rsid w:val="007C1BF6"/>
    <w:rsid w:val="007C1D9C"/>
    <w:rsid w:val="007C1FBB"/>
    <w:rsid w:val="007C21CF"/>
    <w:rsid w:val="007C26CA"/>
    <w:rsid w:val="007C2921"/>
    <w:rsid w:val="007C2A4F"/>
    <w:rsid w:val="007C338B"/>
    <w:rsid w:val="007C37FA"/>
    <w:rsid w:val="007C3A05"/>
    <w:rsid w:val="007C3C78"/>
    <w:rsid w:val="007C3D3A"/>
    <w:rsid w:val="007C3DF2"/>
    <w:rsid w:val="007C3E1F"/>
    <w:rsid w:val="007C4556"/>
    <w:rsid w:val="007C4557"/>
    <w:rsid w:val="007C4A98"/>
    <w:rsid w:val="007C4F22"/>
    <w:rsid w:val="007C52B3"/>
    <w:rsid w:val="007C52FF"/>
    <w:rsid w:val="007C53C9"/>
    <w:rsid w:val="007C5827"/>
    <w:rsid w:val="007C5AB6"/>
    <w:rsid w:val="007C5AC6"/>
    <w:rsid w:val="007C5BC0"/>
    <w:rsid w:val="007C5FE6"/>
    <w:rsid w:val="007C6141"/>
    <w:rsid w:val="007C65F7"/>
    <w:rsid w:val="007C6CB4"/>
    <w:rsid w:val="007C704B"/>
    <w:rsid w:val="007C73F4"/>
    <w:rsid w:val="007C74BB"/>
    <w:rsid w:val="007C7BF5"/>
    <w:rsid w:val="007C7DBC"/>
    <w:rsid w:val="007D05B8"/>
    <w:rsid w:val="007D08F4"/>
    <w:rsid w:val="007D0AED"/>
    <w:rsid w:val="007D0C00"/>
    <w:rsid w:val="007D0E89"/>
    <w:rsid w:val="007D11C8"/>
    <w:rsid w:val="007D1288"/>
    <w:rsid w:val="007D1EC6"/>
    <w:rsid w:val="007D216D"/>
    <w:rsid w:val="007D222A"/>
    <w:rsid w:val="007D251A"/>
    <w:rsid w:val="007D2735"/>
    <w:rsid w:val="007D2B7C"/>
    <w:rsid w:val="007D3326"/>
    <w:rsid w:val="007D396A"/>
    <w:rsid w:val="007D3A0B"/>
    <w:rsid w:val="007D3A18"/>
    <w:rsid w:val="007D3E4E"/>
    <w:rsid w:val="007D3F73"/>
    <w:rsid w:val="007D4189"/>
    <w:rsid w:val="007D4406"/>
    <w:rsid w:val="007D44D1"/>
    <w:rsid w:val="007D503D"/>
    <w:rsid w:val="007D5599"/>
    <w:rsid w:val="007D5C40"/>
    <w:rsid w:val="007D5D12"/>
    <w:rsid w:val="007D60A4"/>
    <w:rsid w:val="007D62F5"/>
    <w:rsid w:val="007D6410"/>
    <w:rsid w:val="007D677A"/>
    <w:rsid w:val="007D6865"/>
    <w:rsid w:val="007D6975"/>
    <w:rsid w:val="007D6C7A"/>
    <w:rsid w:val="007D6CFD"/>
    <w:rsid w:val="007D6D04"/>
    <w:rsid w:val="007D6DD1"/>
    <w:rsid w:val="007D6E4E"/>
    <w:rsid w:val="007E00DB"/>
    <w:rsid w:val="007E033E"/>
    <w:rsid w:val="007E045A"/>
    <w:rsid w:val="007E075B"/>
    <w:rsid w:val="007E0E22"/>
    <w:rsid w:val="007E13FC"/>
    <w:rsid w:val="007E196C"/>
    <w:rsid w:val="007E1ACC"/>
    <w:rsid w:val="007E1BEC"/>
    <w:rsid w:val="007E24A9"/>
    <w:rsid w:val="007E290F"/>
    <w:rsid w:val="007E368D"/>
    <w:rsid w:val="007E3922"/>
    <w:rsid w:val="007E3C71"/>
    <w:rsid w:val="007E3DBD"/>
    <w:rsid w:val="007E45CD"/>
    <w:rsid w:val="007E47AA"/>
    <w:rsid w:val="007E496D"/>
    <w:rsid w:val="007E4B0F"/>
    <w:rsid w:val="007E4B33"/>
    <w:rsid w:val="007E4B4A"/>
    <w:rsid w:val="007E516A"/>
    <w:rsid w:val="007E53DA"/>
    <w:rsid w:val="007E591A"/>
    <w:rsid w:val="007E5BE6"/>
    <w:rsid w:val="007E5D67"/>
    <w:rsid w:val="007E6309"/>
    <w:rsid w:val="007E67D2"/>
    <w:rsid w:val="007E67D9"/>
    <w:rsid w:val="007E6857"/>
    <w:rsid w:val="007E699D"/>
    <w:rsid w:val="007E6C39"/>
    <w:rsid w:val="007E7012"/>
    <w:rsid w:val="007F0277"/>
    <w:rsid w:val="007F06E8"/>
    <w:rsid w:val="007F0808"/>
    <w:rsid w:val="007F083D"/>
    <w:rsid w:val="007F0ECD"/>
    <w:rsid w:val="007F1213"/>
    <w:rsid w:val="007F134B"/>
    <w:rsid w:val="007F1728"/>
    <w:rsid w:val="007F1A25"/>
    <w:rsid w:val="007F1E0B"/>
    <w:rsid w:val="007F2855"/>
    <w:rsid w:val="007F2B35"/>
    <w:rsid w:val="007F2FC5"/>
    <w:rsid w:val="007F2FDB"/>
    <w:rsid w:val="007F319D"/>
    <w:rsid w:val="007F3715"/>
    <w:rsid w:val="007F3968"/>
    <w:rsid w:val="007F3DED"/>
    <w:rsid w:val="007F3EDD"/>
    <w:rsid w:val="007F3FBA"/>
    <w:rsid w:val="007F481A"/>
    <w:rsid w:val="007F4930"/>
    <w:rsid w:val="007F4E50"/>
    <w:rsid w:val="007F515B"/>
    <w:rsid w:val="007F59AC"/>
    <w:rsid w:val="007F5A60"/>
    <w:rsid w:val="007F5AFC"/>
    <w:rsid w:val="007F624C"/>
    <w:rsid w:val="007F62AD"/>
    <w:rsid w:val="007F63B5"/>
    <w:rsid w:val="007F63B8"/>
    <w:rsid w:val="007F65FD"/>
    <w:rsid w:val="007F6720"/>
    <w:rsid w:val="007F67D1"/>
    <w:rsid w:val="007F6943"/>
    <w:rsid w:val="007F69B2"/>
    <w:rsid w:val="007F6C1D"/>
    <w:rsid w:val="007F71DA"/>
    <w:rsid w:val="007F7633"/>
    <w:rsid w:val="007F7929"/>
    <w:rsid w:val="007F7A6B"/>
    <w:rsid w:val="007F7A7D"/>
    <w:rsid w:val="007F7C54"/>
    <w:rsid w:val="007F7D66"/>
    <w:rsid w:val="007F7E66"/>
    <w:rsid w:val="007F7FD0"/>
    <w:rsid w:val="00800154"/>
    <w:rsid w:val="0080039C"/>
    <w:rsid w:val="00800441"/>
    <w:rsid w:val="008007AE"/>
    <w:rsid w:val="00800962"/>
    <w:rsid w:val="00800A8D"/>
    <w:rsid w:val="00800E01"/>
    <w:rsid w:val="00800E9E"/>
    <w:rsid w:val="0080103C"/>
    <w:rsid w:val="008010EC"/>
    <w:rsid w:val="0080165D"/>
    <w:rsid w:val="00801E89"/>
    <w:rsid w:val="00801FA4"/>
    <w:rsid w:val="00802021"/>
    <w:rsid w:val="008023CB"/>
    <w:rsid w:val="008023E9"/>
    <w:rsid w:val="00802A42"/>
    <w:rsid w:val="00802DAC"/>
    <w:rsid w:val="00802E1D"/>
    <w:rsid w:val="00802EE8"/>
    <w:rsid w:val="0080326B"/>
    <w:rsid w:val="00803289"/>
    <w:rsid w:val="0080393E"/>
    <w:rsid w:val="008039EB"/>
    <w:rsid w:val="00803DDE"/>
    <w:rsid w:val="00804524"/>
    <w:rsid w:val="0080471C"/>
    <w:rsid w:val="008048BA"/>
    <w:rsid w:val="00804ADA"/>
    <w:rsid w:val="00804E39"/>
    <w:rsid w:val="00804E9D"/>
    <w:rsid w:val="00804EAA"/>
    <w:rsid w:val="008051ED"/>
    <w:rsid w:val="00805218"/>
    <w:rsid w:val="00805302"/>
    <w:rsid w:val="00805CE4"/>
    <w:rsid w:val="00805EEE"/>
    <w:rsid w:val="008063A1"/>
    <w:rsid w:val="008067C5"/>
    <w:rsid w:val="008067D4"/>
    <w:rsid w:val="0080720E"/>
    <w:rsid w:val="00807377"/>
    <w:rsid w:val="0080746A"/>
    <w:rsid w:val="008078B2"/>
    <w:rsid w:val="00807BB8"/>
    <w:rsid w:val="00807C9C"/>
    <w:rsid w:val="00807EA8"/>
    <w:rsid w:val="008100F8"/>
    <w:rsid w:val="00810E12"/>
    <w:rsid w:val="008110B8"/>
    <w:rsid w:val="00811398"/>
    <w:rsid w:val="00811598"/>
    <w:rsid w:val="00811FF8"/>
    <w:rsid w:val="0081214F"/>
    <w:rsid w:val="008123BF"/>
    <w:rsid w:val="008128E3"/>
    <w:rsid w:val="00812A0C"/>
    <w:rsid w:val="00813154"/>
    <w:rsid w:val="00813714"/>
    <w:rsid w:val="008137FA"/>
    <w:rsid w:val="00813D26"/>
    <w:rsid w:val="00813DD1"/>
    <w:rsid w:val="00813E02"/>
    <w:rsid w:val="00813FE6"/>
    <w:rsid w:val="00814927"/>
    <w:rsid w:val="00814980"/>
    <w:rsid w:val="008149EF"/>
    <w:rsid w:val="00814DDD"/>
    <w:rsid w:val="00815018"/>
    <w:rsid w:val="00815115"/>
    <w:rsid w:val="00815346"/>
    <w:rsid w:val="0081537D"/>
    <w:rsid w:val="0081590B"/>
    <w:rsid w:val="00815950"/>
    <w:rsid w:val="00815B27"/>
    <w:rsid w:val="00815BE7"/>
    <w:rsid w:val="00815C0C"/>
    <w:rsid w:val="00815C12"/>
    <w:rsid w:val="00816237"/>
    <w:rsid w:val="00816985"/>
    <w:rsid w:val="00816EFA"/>
    <w:rsid w:val="00817323"/>
    <w:rsid w:val="008176C6"/>
    <w:rsid w:val="0081776F"/>
    <w:rsid w:val="00817CA8"/>
    <w:rsid w:val="00817CC9"/>
    <w:rsid w:val="00817CF6"/>
    <w:rsid w:val="00820BEC"/>
    <w:rsid w:val="00820D31"/>
    <w:rsid w:val="00820F89"/>
    <w:rsid w:val="0082188E"/>
    <w:rsid w:val="0082197F"/>
    <w:rsid w:val="00821A82"/>
    <w:rsid w:val="00821B49"/>
    <w:rsid w:val="00821DBE"/>
    <w:rsid w:val="00821DF4"/>
    <w:rsid w:val="00821F8F"/>
    <w:rsid w:val="008221F4"/>
    <w:rsid w:val="008221F7"/>
    <w:rsid w:val="00822210"/>
    <w:rsid w:val="0082252E"/>
    <w:rsid w:val="00822651"/>
    <w:rsid w:val="008227B5"/>
    <w:rsid w:val="00822EA0"/>
    <w:rsid w:val="00823273"/>
    <w:rsid w:val="00823284"/>
    <w:rsid w:val="00823629"/>
    <w:rsid w:val="00823A08"/>
    <w:rsid w:val="0082465C"/>
    <w:rsid w:val="00824BE8"/>
    <w:rsid w:val="00824C6B"/>
    <w:rsid w:val="00824E1D"/>
    <w:rsid w:val="008251D9"/>
    <w:rsid w:val="0082542E"/>
    <w:rsid w:val="008257A9"/>
    <w:rsid w:val="0082580B"/>
    <w:rsid w:val="008258A8"/>
    <w:rsid w:val="00825927"/>
    <w:rsid w:val="00825ABC"/>
    <w:rsid w:val="00825B2C"/>
    <w:rsid w:val="0082680C"/>
    <w:rsid w:val="0082702A"/>
    <w:rsid w:val="00827BAE"/>
    <w:rsid w:val="00827C7E"/>
    <w:rsid w:val="00827E60"/>
    <w:rsid w:val="008301C5"/>
    <w:rsid w:val="00830371"/>
    <w:rsid w:val="008309E5"/>
    <w:rsid w:val="00831718"/>
    <w:rsid w:val="00831728"/>
    <w:rsid w:val="0083186F"/>
    <w:rsid w:val="00831887"/>
    <w:rsid w:val="00831AFE"/>
    <w:rsid w:val="00831B23"/>
    <w:rsid w:val="00831E26"/>
    <w:rsid w:val="00831F4D"/>
    <w:rsid w:val="008320E9"/>
    <w:rsid w:val="00832767"/>
    <w:rsid w:val="00832905"/>
    <w:rsid w:val="00832B26"/>
    <w:rsid w:val="00832C4D"/>
    <w:rsid w:val="008336DE"/>
    <w:rsid w:val="00833966"/>
    <w:rsid w:val="00833C12"/>
    <w:rsid w:val="008340B4"/>
    <w:rsid w:val="008343B3"/>
    <w:rsid w:val="00834583"/>
    <w:rsid w:val="008346F6"/>
    <w:rsid w:val="00834772"/>
    <w:rsid w:val="00834895"/>
    <w:rsid w:val="00834AE6"/>
    <w:rsid w:val="00834BEE"/>
    <w:rsid w:val="008351FD"/>
    <w:rsid w:val="0083527C"/>
    <w:rsid w:val="00835DF0"/>
    <w:rsid w:val="00835F67"/>
    <w:rsid w:val="0083604E"/>
    <w:rsid w:val="00836337"/>
    <w:rsid w:val="008363EC"/>
    <w:rsid w:val="008369E1"/>
    <w:rsid w:val="008369FF"/>
    <w:rsid w:val="00836A44"/>
    <w:rsid w:val="00836BE3"/>
    <w:rsid w:val="00836C33"/>
    <w:rsid w:val="00836E90"/>
    <w:rsid w:val="00837100"/>
    <w:rsid w:val="008374D0"/>
    <w:rsid w:val="0083769A"/>
    <w:rsid w:val="00837C3D"/>
    <w:rsid w:val="008401AC"/>
    <w:rsid w:val="00840201"/>
    <w:rsid w:val="008402A0"/>
    <w:rsid w:val="008407E0"/>
    <w:rsid w:val="0084080B"/>
    <w:rsid w:val="00840BE9"/>
    <w:rsid w:val="00840C74"/>
    <w:rsid w:val="00840F37"/>
    <w:rsid w:val="00840FD8"/>
    <w:rsid w:val="00841720"/>
    <w:rsid w:val="008417DB"/>
    <w:rsid w:val="0084184A"/>
    <w:rsid w:val="0084198E"/>
    <w:rsid w:val="0084216A"/>
    <w:rsid w:val="00842A32"/>
    <w:rsid w:val="00842EE6"/>
    <w:rsid w:val="00843037"/>
    <w:rsid w:val="00843AB4"/>
    <w:rsid w:val="0084410E"/>
    <w:rsid w:val="00844199"/>
    <w:rsid w:val="0084442B"/>
    <w:rsid w:val="008444E1"/>
    <w:rsid w:val="008445C6"/>
    <w:rsid w:val="008448F1"/>
    <w:rsid w:val="00844B12"/>
    <w:rsid w:val="00844CD0"/>
    <w:rsid w:val="008450B3"/>
    <w:rsid w:val="0084522A"/>
    <w:rsid w:val="008453D0"/>
    <w:rsid w:val="008454F4"/>
    <w:rsid w:val="00845591"/>
    <w:rsid w:val="008455A5"/>
    <w:rsid w:val="00845867"/>
    <w:rsid w:val="00845983"/>
    <w:rsid w:val="008459AF"/>
    <w:rsid w:val="00845C56"/>
    <w:rsid w:val="00845DBE"/>
    <w:rsid w:val="00845E5D"/>
    <w:rsid w:val="00845F4D"/>
    <w:rsid w:val="00846999"/>
    <w:rsid w:val="008472AB"/>
    <w:rsid w:val="00847673"/>
    <w:rsid w:val="008478BC"/>
    <w:rsid w:val="0084796A"/>
    <w:rsid w:val="00850040"/>
    <w:rsid w:val="0085011D"/>
    <w:rsid w:val="008501F3"/>
    <w:rsid w:val="0085049A"/>
    <w:rsid w:val="008504E4"/>
    <w:rsid w:val="00850B56"/>
    <w:rsid w:val="00850E18"/>
    <w:rsid w:val="00850EAD"/>
    <w:rsid w:val="00850FE1"/>
    <w:rsid w:val="00851168"/>
    <w:rsid w:val="008513C0"/>
    <w:rsid w:val="00851694"/>
    <w:rsid w:val="00851824"/>
    <w:rsid w:val="00851828"/>
    <w:rsid w:val="00851AE2"/>
    <w:rsid w:val="00851BA3"/>
    <w:rsid w:val="00851E0A"/>
    <w:rsid w:val="00851EC0"/>
    <w:rsid w:val="0085293E"/>
    <w:rsid w:val="008537C0"/>
    <w:rsid w:val="00853839"/>
    <w:rsid w:val="0085390B"/>
    <w:rsid w:val="00853D86"/>
    <w:rsid w:val="00853E20"/>
    <w:rsid w:val="00854979"/>
    <w:rsid w:val="00854D06"/>
    <w:rsid w:val="00854D1D"/>
    <w:rsid w:val="00854E55"/>
    <w:rsid w:val="00854F68"/>
    <w:rsid w:val="0085533E"/>
    <w:rsid w:val="008554C2"/>
    <w:rsid w:val="0085594E"/>
    <w:rsid w:val="00855C3B"/>
    <w:rsid w:val="008563BA"/>
    <w:rsid w:val="008563C5"/>
    <w:rsid w:val="0085649C"/>
    <w:rsid w:val="0085757E"/>
    <w:rsid w:val="008575C3"/>
    <w:rsid w:val="00857741"/>
    <w:rsid w:val="00857D6C"/>
    <w:rsid w:val="00857F2C"/>
    <w:rsid w:val="00857FF2"/>
    <w:rsid w:val="0086026E"/>
    <w:rsid w:val="008603A7"/>
    <w:rsid w:val="008603DB"/>
    <w:rsid w:val="00860426"/>
    <w:rsid w:val="00860B8E"/>
    <w:rsid w:val="00860CFA"/>
    <w:rsid w:val="00860F01"/>
    <w:rsid w:val="0086115E"/>
    <w:rsid w:val="008612B3"/>
    <w:rsid w:val="008619A8"/>
    <w:rsid w:val="00861A80"/>
    <w:rsid w:val="00861DAF"/>
    <w:rsid w:val="00862192"/>
    <w:rsid w:val="00862411"/>
    <w:rsid w:val="00862AC7"/>
    <w:rsid w:val="00862C58"/>
    <w:rsid w:val="00862F86"/>
    <w:rsid w:val="008630E3"/>
    <w:rsid w:val="0086315E"/>
    <w:rsid w:val="0086359F"/>
    <w:rsid w:val="00863A4B"/>
    <w:rsid w:val="00863DEC"/>
    <w:rsid w:val="00863ED3"/>
    <w:rsid w:val="00864119"/>
    <w:rsid w:val="008643A5"/>
    <w:rsid w:val="0086475F"/>
    <w:rsid w:val="00864CBB"/>
    <w:rsid w:val="0086520F"/>
    <w:rsid w:val="0086521E"/>
    <w:rsid w:val="00865233"/>
    <w:rsid w:val="00865563"/>
    <w:rsid w:val="00865A0C"/>
    <w:rsid w:val="00865B35"/>
    <w:rsid w:val="00865F08"/>
    <w:rsid w:val="0086609F"/>
    <w:rsid w:val="008660D2"/>
    <w:rsid w:val="0086611E"/>
    <w:rsid w:val="00866270"/>
    <w:rsid w:val="0086640E"/>
    <w:rsid w:val="008665DF"/>
    <w:rsid w:val="00866B60"/>
    <w:rsid w:val="00866E35"/>
    <w:rsid w:val="00866F10"/>
    <w:rsid w:val="008676E4"/>
    <w:rsid w:val="00867BCD"/>
    <w:rsid w:val="00867E7D"/>
    <w:rsid w:val="00867F05"/>
    <w:rsid w:val="0087060C"/>
    <w:rsid w:val="008707AD"/>
    <w:rsid w:val="00870D64"/>
    <w:rsid w:val="00870DC0"/>
    <w:rsid w:val="008712C5"/>
    <w:rsid w:val="008714D7"/>
    <w:rsid w:val="008717C1"/>
    <w:rsid w:val="008717F8"/>
    <w:rsid w:val="00871A5A"/>
    <w:rsid w:val="00871C98"/>
    <w:rsid w:val="00872093"/>
    <w:rsid w:val="00872266"/>
    <w:rsid w:val="008728C7"/>
    <w:rsid w:val="00872922"/>
    <w:rsid w:val="008729AF"/>
    <w:rsid w:val="00872CF1"/>
    <w:rsid w:val="00873109"/>
    <w:rsid w:val="00873174"/>
    <w:rsid w:val="008739E3"/>
    <w:rsid w:val="008741C6"/>
    <w:rsid w:val="008742C6"/>
    <w:rsid w:val="00874327"/>
    <w:rsid w:val="00874380"/>
    <w:rsid w:val="008743D4"/>
    <w:rsid w:val="0087463E"/>
    <w:rsid w:val="00874BC2"/>
    <w:rsid w:val="00874FC2"/>
    <w:rsid w:val="00875124"/>
    <w:rsid w:val="0087575C"/>
    <w:rsid w:val="00876034"/>
    <w:rsid w:val="00876543"/>
    <w:rsid w:val="00876A55"/>
    <w:rsid w:val="00876A9F"/>
    <w:rsid w:val="00876B49"/>
    <w:rsid w:val="00876DF6"/>
    <w:rsid w:val="00877554"/>
    <w:rsid w:val="00877B40"/>
    <w:rsid w:val="00880370"/>
    <w:rsid w:val="008805B8"/>
    <w:rsid w:val="008806B2"/>
    <w:rsid w:val="00880B5B"/>
    <w:rsid w:val="00880F30"/>
    <w:rsid w:val="008813C3"/>
    <w:rsid w:val="00881A43"/>
    <w:rsid w:val="00881ADF"/>
    <w:rsid w:val="00881EAC"/>
    <w:rsid w:val="008820B6"/>
    <w:rsid w:val="00882295"/>
    <w:rsid w:val="00882329"/>
    <w:rsid w:val="00882597"/>
    <w:rsid w:val="00882B79"/>
    <w:rsid w:val="00882B92"/>
    <w:rsid w:val="00882DE4"/>
    <w:rsid w:val="00882E9B"/>
    <w:rsid w:val="00883091"/>
    <w:rsid w:val="00883148"/>
    <w:rsid w:val="008833E6"/>
    <w:rsid w:val="00883635"/>
    <w:rsid w:val="00883850"/>
    <w:rsid w:val="00884047"/>
    <w:rsid w:val="00884694"/>
    <w:rsid w:val="00884B57"/>
    <w:rsid w:val="00884BE3"/>
    <w:rsid w:val="00884D96"/>
    <w:rsid w:val="00885134"/>
    <w:rsid w:val="00885936"/>
    <w:rsid w:val="00885AA0"/>
    <w:rsid w:val="00885B06"/>
    <w:rsid w:val="008864EE"/>
    <w:rsid w:val="0088663B"/>
    <w:rsid w:val="008867E5"/>
    <w:rsid w:val="008868A8"/>
    <w:rsid w:val="008869B5"/>
    <w:rsid w:val="00886ACA"/>
    <w:rsid w:val="00886F73"/>
    <w:rsid w:val="00887016"/>
    <w:rsid w:val="00887461"/>
    <w:rsid w:val="008877D3"/>
    <w:rsid w:val="008879E3"/>
    <w:rsid w:val="00887A09"/>
    <w:rsid w:val="00887AF3"/>
    <w:rsid w:val="00887BA0"/>
    <w:rsid w:val="00887F26"/>
    <w:rsid w:val="0089026A"/>
    <w:rsid w:val="00890358"/>
    <w:rsid w:val="0089047F"/>
    <w:rsid w:val="008905A2"/>
    <w:rsid w:val="00890D02"/>
    <w:rsid w:val="00891E62"/>
    <w:rsid w:val="0089210B"/>
    <w:rsid w:val="00892553"/>
    <w:rsid w:val="0089261B"/>
    <w:rsid w:val="00892713"/>
    <w:rsid w:val="00892C61"/>
    <w:rsid w:val="00893266"/>
    <w:rsid w:val="008933EB"/>
    <w:rsid w:val="00893E13"/>
    <w:rsid w:val="00893E75"/>
    <w:rsid w:val="00894013"/>
    <w:rsid w:val="00894071"/>
    <w:rsid w:val="00894D6E"/>
    <w:rsid w:val="00894F8F"/>
    <w:rsid w:val="00895359"/>
    <w:rsid w:val="00895559"/>
    <w:rsid w:val="00895780"/>
    <w:rsid w:val="00895E1A"/>
    <w:rsid w:val="0089603A"/>
    <w:rsid w:val="008961E0"/>
    <w:rsid w:val="008964D7"/>
    <w:rsid w:val="0089674B"/>
    <w:rsid w:val="0089690E"/>
    <w:rsid w:val="008969BB"/>
    <w:rsid w:val="00896AE1"/>
    <w:rsid w:val="00896FF5"/>
    <w:rsid w:val="00897347"/>
    <w:rsid w:val="00897C3A"/>
    <w:rsid w:val="00897E9F"/>
    <w:rsid w:val="008A05D7"/>
    <w:rsid w:val="008A0898"/>
    <w:rsid w:val="008A0A6C"/>
    <w:rsid w:val="008A0E56"/>
    <w:rsid w:val="008A11C3"/>
    <w:rsid w:val="008A1334"/>
    <w:rsid w:val="008A15DC"/>
    <w:rsid w:val="008A15E6"/>
    <w:rsid w:val="008A171B"/>
    <w:rsid w:val="008A1C9C"/>
    <w:rsid w:val="008A1F16"/>
    <w:rsid w:val="008A209C"/>
    <w:rsid w:val="008A2354"/>
    <w:rsid w:val="008A2660"/>
    <w:rsid w:val="008A2803"/>
    <w:rsid w:val="008A2948"/>
    <w:rsid w:val="008A2A2D"/>
    <w:rsid w:val="008A3202"/>
    <w:rsid w:val="008A3284"/>
    <w:rsid w:val="008A32D1"/>
    <w:rsid w:val="008A37EB"/>
    <w:rsid w:val="008A3AC2"/>
    <w:rsid w:val="008A3CCE"/>
    <w:rsid w:val="008A3E7E"/>
    <w:rsid w:val="008A42D2"/>
    <w:rsid w:val="008A5233"/>
    <w:rsid w:val="008A53CC"/>
    <w:rsid w:val="008A5441"/>
    <w:rsid w:val="008A54F3"/>
    <w:rsid w:val="008A5E64"/>
    <w:rsid w:val="008A5E77"/>
    <w:rsid w:val="008A5EEF"/>
    <w:rsid w:val="008A6172"/>
    <w:rsid w:val="008A63F5"/>
    <w:rsid w:val="008A6436"/>
    <w:rsid w:val="008A66BE"/>
    <w:rsid w:val="008A69D2"/>
    <w:rsid w:val="008A6A9C"/>
    <w:rsid w:val="008A6DFB"/>
    <w:rsid w:val="008A7B56"/>
    <w:rsid w:val="008A7CBF"/>
    <w:rsid w:val="008B030A"/>
    <w:rsid w:val="008B091F"/>
    <w:rsid w:val="008B0C7F"/>
    <w:rsid w:val="008B11CD"/>
    <w:rsid w:val="008B19B8"/>
    <w:rsid w:val="008B1ACE"/>
    <w:rsid w:val="008B1CBB"/>
    <w:rsid w:val="008B1FCC"/>
    <w:rsid w:val="008B2219"/>
    <w:rsid w:val="008B2242"/>
    <w:rsid w:val="008B240F"/>
    <w:rsid w:val="008B25CF"/>
    <w:rsid w:val="008B29C1"/>
    <w:rsid w:val="008B2B23"/>
    <w:rsid w:val="008B2C63"/>
    <w:rsid w:val="008B3316"/>
    <w:rsid w:val="008B3428"/>
    <w:rsid w:val="008B3C8E"/>
    <w:rsid w:val="008B40B4"/>
    <w:rsid w:val="008B4162"/>
    <w:rsid w:val="008B424B"/>
    <w:rsid w:val="008B44AF"/>
    <w:rsid w:val="008B4632"/>
    <w:rsid w:val="008B4767"/>
    <w:rsid w:val="008B47F3"/>
    <w:rsid w:val="008B4A45"/>
    <w:rsid w:val="008B4BD2"/>
    <w:rsid w:val="008B50F9"/>
    <w:rsid w:val="008B5569"/>
    <w:rsid w:val="008B5DE3"/>
    <w:rsid w:val="008B5FDB"/>
    <w:rsid w:val="008B632A"/>
    <w:rsid w:val="008B636C"/>
    <w:rsid w:val="008B650A"/>
    <w:rsid w:val="008B6586"/>
    <w:rsid w:val="008B6778"/>
    <w:rsid w:val="008B6AC6"/>
    <w:rsid w:val="008B6B76"/>
    <w:rsid w:val="008B6BCF"/>
    <w:rsid w:val="008B6F88"/>
    <w:rsid w:val="008B7113"/>
    <w:rsid w:val="008B78FF"/>
    <w:rsid w:val="008B7B70"/>
    <w:rsid w:val="008C001E"/>
    <w:rsid w:val="008C02CA"/>
    <w:rsid w:val="008C063F"/>
    <w:rsid w:val="008C08E6"/>
    <w:rsid w:val="008C0B4D"/>
    <w:rsid w:val="008C0D4D"/>
    <w:rsid w:val="008C1177"/>
    <w:rsid w:val="008C11A7"/>
    <w:rsid w:val="008C1867"/>
    <w:rsid w:val="008C1BD7"/>
    <w:rsid w:val="008C1FF6"/>
    <w:rsid w:val="008C2308"/>
    <w:rsid w:val="008C2643"/>
    <w:rsid w:val="008C264E"/>
    <w:rsid w:val="008C2AE9"/>
    <w:rsid w:val="008C2CCD"/>
    <w:rsid w:val="008C2E67"/>
    <w:rsid w:val="008C3729"/>
    <w:rsid w:val="008C4926"/>
    <w:rsid w:val="008C49A6"/>
    <w:rsid w:val="008C4D0E"/>
    <w:rsid w:val="008C4E16"/>
    <w:rsid w:val="008C4F21"/>
    <w:rsid w:val="008C4F7C"/>
    <w:rsid w:val="008C5096"/>
    <w:rsid w:val="008C5741"/>
    <w:rsid w:val="008C598D"/>
    <w:rsid w:val="008C5B7D"/>
    <w:rsid w:val="008C5EC5"/>
    <w:rsid w:val="008C6307"/>
    <w:rsid w:val="008C64C7"/>
    <w:rsid w:val="008C6785"/>
    <w:rsid w:val="008C67C9"/>
    <w:rsid w:val="008C68BC"/>
    <w:rsid w:val="008C6B40"/>
    <w:rsid w:val="008C6B58"/>
    <w:rsid w:val="008C6BA3"/>
    <w:rsid w:val="008C6E3A"/>
    <w:rsid w:val="008C6E48"/>
    <w:rsid w:val="008C706F"/>
    <w:rsid w:val="008C7141"/>
    <w:rsid w:val="008C76D3"/>
    <w:rsid w:val="008C7937"/>
    <w:rsid w:val="008D002E"/>
    <w:rsid w:val="008D0037"/>
    <w:rsid w:val="008D02DF"/>
    <w:rsid w:val="008D05A1"/>
    <w:rsid w:val="008D0A5D"/>
    <w:rsid w:val="008D144A"/>
    <w:rsid w:val="008D14DA"/>
    <w:rsid w:val="008D1B2F"/>
    <w:rsid w:val="008D2D04"/>
    <w:rsid w:val="008D301F"/>
    <w:rsid w:val="008D31C5"/>
    <w:rsid w:val="008D336A"/>
    <w:rsid w:val="008D36E6"/>
    <w:rsid w:val="008D3715"/>
    <w:rsid w:val="008D3E6E"/>
    <w:rsid w:val="008D481C"/>
    <w:rsid w:val="008D4969"/>
    <w:rsid w:val="008D5446"/>
    <w:rsid w:val="008D6257"/>
    <w:rsid w:val="008D638E"/>
    <w:rsid w:val="008D6666"/>
    <w:rsid w:val="008D69AB"/>
    <w:rsid w:val="008D6D6B"/>
    <w:rsid w:val="008D6D9C"/>
    <w:rsid w:val="008D7129"/>
    <w:rsid w:val="008D7178"/>
    <w:rsid w:val="008D7528"/>
    <w:rsid w:val="008D7834"/>
    <w:rsid w:val="008D7AB1"/>
    <w:rsid w:val="008D7CE8"/>
    <w:rsid w:val="008D7D8C"/>
    <w:rsid w:val="008D7DC5"/>
    <w:rsid w:val="008D7F92"/>
    <w:rsid w:val="008E04E4"/>
    <w:rsid w:val="008E1038"/>
    <w:rsid w:val="008E11DF"/>
    <w:rsid w:val="008E1336"/>
    <w:rsid w:val="008E1549"/>
    <w:rsid w:val="008E15E8"/>
    <w:rsid w:val="008E1714"/>
    <w:rsid w:val="008E1868"/>
    <w:rsid w:val="008E18FE"/>
    <w:rsid w:val="008E1AD0"/>
    <w:rsid w:val="008E1BB5"/>
    <w:rsid w:val="008E1DC5"/>
    <w:rsid w:val="008E1F5F"/>
    <w:rsid w:val="008E2258"/>
    <w:rsid w:val="008E25CE"/>
    <w:rsid w:val="008E2AAF"/>
    <w:rsid w:val="008E2BC6"/>
    <w:rsid w:val="008E2C89"/>
    <w:rsid w:val="008E2CF0"/>
    <w:rsid w:val="008E30A7"/>
    <w:rsid w:val="008E30B8"/>
    <w:rsid w:val="008E33CB"/>
    <w:rsid w:val="008E391F"/>
    <w:rsid w:val="008E3DA6"/>
    <w:rsid w:val="008E3DE4"/>
    <w:rsid w:val="008E401A"/>
    <w:rsid w:val="008E446F"/>
    <w:rsid w:val="008E4508"/>
    <w:rsid w:val="008E482E"/>
    <w:rsid w:val="008E4F98"/>
    <w:rsid w:val="008E5092"/>
    <w:rsid w:val="008E5247"/>
    <w:rsid w:val="008E5462"/>
    <w:rsid w:val="008E55A0"/>
    <w:rsid w:val="008E5B92"/>
    <w:rsid w:val="008E5F7A"/>
    <w:rsid w:val="008E5FDC"/>
    <w:rsid w:val="008E65FF"/>
    <w:rsid w:val="008E675F"/>
    <w:rsid w:val="008E676C"/>
    <w:rsid w:val="008E685E"/>
    <w:rsid w:val="008E69B8"/>
    <w:rsid w:val="008E70B5"/>
    <w:rsid w:val="008E71F5"/>
    <w:rsid w:val="008E7BEA"/>
    <w:rsid w:val="008E7F02"/>
    <w:rsid w:val="008F032A"/>
    <w:rsid w:val="008F1371"/>
    <w:rsid w:val="008F13FD"/>
    <w:rsid w:val="008F1DFE"/>
    <w:rsid w:val="008F22B6"/>
    <w:rsid w:val="008F24BC"/>
    <w:rsid w:val="008F24D3"/>
    <w:rsid w:val="008F2574"/>
    <w:rsid w:val="008F265A"/>
    <w:rsid w:val="008F28AB"/>
    <w:rsid w:val="008F2CF8"/>
    <w:rsid w:val="008F2E04"/>
    <w:rsid w:val="008F2E6F"/>
    <w:rsid w:val="008F2F3E"/>
    <w:rsid w:val="008F3038"/>
    <w:rsid w:val="008F384F"/>
    <w:rsid w:val="008F385E"/>
    <w:rsid w:val="008F4624"/>
    <w:rsid w:val="008F4A34"/>
    <w:rsid w:val="008F4AC1"/>
    <w:rsid w:val="008F4CCA"/>
    <w:rsid w:val="008F50BF"/>
    <w:rsid w:val="008F6782"/>
    <w:rsid w:val="008F6DA7"/>
    <w:rsid w:val="008F71C6"/>
    <w:rsid w:val="008F73D1"/>
    <w:rsid w:val="008F7A18"/>
    <w:rsid w:val="0090178E"/>
    <w:rsid w:val="00901A04"/>
    <w:rsid w:val="00901C8E"/>
    <w:rsid w:val="00901D53"/>
    <w:rsid w:val="00902B61"/>
    <w:rsid w:val="00902B63"/>
    <w:rsid w:val="00902FED"/>
    <w:rsid w:val="009034BE"/>
    <w:rsid w:val="0090363D"/>
    <w:rsid w:val="00903EAE"/>
    <w:rsid w:val="00903F53"/>
    <w:rsid w:val="00903F68"/>
    <w:rsid w:val="0090400E"/>
    <w:rsid w:val="009043FB"/>
    <w:rsid w:val="0090468C"/>
    <w:rsid w:val="00904691"/>
    <w:rsid w:val="0090505B"/>
    <w:rsid w:val="009062A4"/>
    <w:rsid w:val="00906AE7"/>
    <w:rsid w:val="00906B79"/>
    <w:rsid w:val="00906DB9"/>
    <w:rsid w:val="0090729A"/>
    <w:rsid w:val="00907B12"/>
    <w:rsid w:val="00907FD8"/>
    <w:rsid w:val="00910634"/>
    <w:rsid w:val="00910740"/>
    <w:rsid w:val="00910C90"/>
    <w:rsid w:val="00910D4C"/>
    <w:rsid w:val="00910D6F"/>
    <w:rsid w:val="00911001"/>
    <w:rsid w:val="009111F8"/>
    <w:rsid w:val="00911234"/>
    <w:rsid w:val="0091134F"/>
    <w:rsid w:val="009114AB"/>
    <w:rsid w:val="00911E10"/>
    <w:rsid w:val="0091238B"/>
    <w:rsid w:val="009127FE"/>
    <w:rsid w:val="009139F8"/>
    <w:rsid w:val="00914472"/>
    <w:rsid w:val="00914B9A"/>
    <w:rsid w:val="00914FC5"/>
    <w:rsid w:val="00915B23"/>
    <w:rsid w:val="009161F5"/>
    <w:rsid w:val="00916239"/>
    <w:rsid w:val="009163A4"/>
    <w:rsid w:val="00916516"/>
    <w:rsid w:val="009167A6"/>
    <w:rsid w:val="00916DFF"/>
    <w:rsid w:val="0091708A"/>
    <w:rsid w:val="0091748B"/>
    <w:rsid w:val="009201DC"/>
    <w:rsid w:val="009209AF"/>
    <w:rsid w:val="0092135B"/>
    <w:rsid w:val="009213AB"/>
    <w:rsid w:val="00921596"/>
    <w:rsid w:val="0092196F"/>
    <w:rsid w:val="00921C17"/>
    <w:rsid w:val="00921C5F"/>
    <w:rsid w:val="00921DCF"/>
    <w:rsid w:val="00921F7A"/>
    <w:rsid w:val="009221C1"/>
    <w:rsid w:val="0092281C"/>
    <w:rsid w:val="00922B4B"/>
    <w:rsid w:val="00922FCF"/>
    <w:rsid w:val="0092304E"/>
    <w:rsid w:val="00923068"/>
    <w:rsid w:val="00923CB6"/>
    <w:rsid w:val="0092434A"/>
    <w:rsid w:val="00924633"/>
    <w:rsid w:val="00924752"/>
    <w:rsid w:val="00924A45"/>
    <w:rsid w:val="00924C5A"/>
    <w:rsid w:val="00924CC6"/>
    <w:rsid w:val="00924D90"/>
    <w:rsid w:val="00924EBF"/>
    <w:rsid w:val="0092508D"/>
    <w:rsid w:val="009250CC"/>
    <w:rsid w:val="009251EC"/>
    <w:rsid w:val="00925D5F"/>
    <w:rsid w:val="009261A7"/>
    <w:rsid w:val="00926447"/>
    <w:rsid w:val="0092653A"/>
    <w:rsid w:val="00926653"/>
    <w:rsid w:val="00926759"/>
    <w:rsid w:val="0092676D"/>
    <w:rsid w:val="009269F4"/>
    <w:rsid w:val="00926C37"/>
    <w:rsid w:val="00926DF0"/>
    <w:rsid w:val="00926E86"/>
    <w:rsid w:val="00927135"/>
    <w:rsid w:val="00927A02"/>
    <w:rsid w:val="00927A46"/>
    <w:rsid w:val="00927F6F"/>
    <w:rsid w:val="009305CF"/>
    <w:rsid w:val="00930782"/>
    <w:rsid w:val="00930A1E"/>
    <w:rsid w:val="00931979"/>
    <w:rsid w:val="00931A83"/>
    <w:rsid w:val="00931CAB"/>
    <w:rsid w:val="00931D34"/>
    <w:rsid w:val="0093218D"/>
    <w:rsid w:val="0093234F"/>
    <w:rsid w:val="0093239D"/>
    <w:rsid w:val="009325FE"/>
    <w:rsid w:val="00932605"/>
    <w:rsid w:val="00932754"/>
    <w:rsid w:val="009329CE"/>
    <w:rsid w:val="00932A5F"/>
    <w:rsid w:val="00932D70"/>
    <w:rsid w:val="00932DCF"/>
    <w:rsid w:val="00932F82"/>
    <w:rsid w:val="00933024"/>
    <w:rsid w:val="00933DB5"/>
    <w:rsid w:val="009340AC"/>
    <w:rsid w:val="009348B0"/>
    <w:rsid w:val="009348F2"/>
    <w:rsid w:val="00934BA2"/>
    <w:rsid w:val="00935719"/>
    <w:rsid w:val="00935738"/>
    <w:rsid w:val="00935B86"/>
    <w:rsid w:val="00935ECA"/>
    <w:rsid w:val="00936665"/>
    <w:rsid w:val="00936670"/>
    <w:rsid w:val="00936954"/>
    <w:rsid w:val="0093697D"/>
    <w:rsid w:val="00936BBF"/>
    <w:rsid w:val="00936F2D"/>
    <w:rsid w:val="00937873"/>
    <w:rsid w:val="00937A76"/>
    <w:rsid w:val="00937AA4"/>
    <w:rsid w:val="00937E49"/>
    <w:rsid w:val="009400DC"/>
    <w:rsid w:val="009401F3"/>
    <w:rsid w:val="009401F8"/>
    <w:rsid w:val="0094023B"/>
    <w:rsid w:val="00940279"/>
    <w:rsid w:val="00940408"/>
    <w:rsid w:val="009408EA"/>
    <w:rsid w:val="0094092D"/>
    <w:rsid w:val="009409C6"/>
    <w:rsid w:val="00940C5F"/>
    <w:rsid w:val="00941390"/>
    <w:rsid w:val="00942412"/>
    <w:rsid w:val="009427DB"/>
    <w:rsid w:val="0094284F"/>
    <w:rsid w:val="00942CAC"/>
    <w:rsid w:val="00942D80"/>
    <w:rsid w:val="0094368E"/>
    <w:rsid w:val="0094370C"/>
    <w:rsid w:val="00943C2A"/>
    <w:rsid w:val="00943F19"/>
    <w:rsid w:val="00944017"/>
    <w:rsid w:val="009440A5"/>
    <w:rsid w:val="00944100"/>
    <w:rsid w:val="0094413D"/>
    <w:rsid w:val="00944517"/>
    <w:rsid w:val="0094455F"/>
    <w:rsid w:val="009447F4"/>
    <w:rsid w:val="00944E29"/>
    <w:rsid w:val="009453AC"/>
    <w:rsid w:val="009454DF"/>
    <w:rsid w:val="00945681"/>
    <w:rsid w:val="009456BD"/>
    <w:rsid w:val="00945AD7"/>
    <w:rsid w:val="00945DF1"/>
    <w:rsid w:val="00945FEE"/>
    <w:rsid w:val="009463A3"/>
    <w:rsid w:val="009468FA"/>
    <w:rsid w:val="00947229"/>
    <w:rsid w:val="00947B5A"/>
    <w:rsid w:val="00947C15"/>
    <w:rsid w:val="009510D8"/>
    <w:rsid w:val="00951186"/>
    <w:rsid w:val="0095118A"/>
    <w:rsid w:val="00951207"/>
    <w:rsid w:val="009513BC"/>
    <w:rsid w:val="00951700"/>
    <w:rsid w:val="009517AD"/>
    <w:rsid w:val="00952142"/>
    <w:rsid w:val="00952268"/>
    <w:rsid w:val="0095232A"/>
    <w:rsid w:val="00952401"/>
    <w:rsid w:val="00952568"/>
    <w:rsid w:val="00952856"/>
    <w:rsid w:val="00952C5A"/>
    <w:rsid w:val="00952C82"/>
    <w:rsid w:val="00952CEE"/>
    <w:rsid w:val="00952EFF"/>
    <w:rsid w:val="00952F17"/>
    <w:rsid w:val="00952F81"/>
    <w:rsid w:val="00952FA1"/>
    <w:rsid w:val="009530BF"/>
    <w:rsid w:val="00953330"/>
    <w:rsid w:val="0095388B"/>
    <w:rsid w:val="00953A88"/>
    <w:rsid w:val="00953BAC"/>
    <w:rsid w:val="00953CEE"/>
    <w:rsid w:val="00954233"/>
    <w:rsid w:val="009544EA"/>
    <w:rsid w:val="00954567"/>
    <w:rsid w:val="00954921"/>
    <w:rsid w:val="00954C67"/>
    <w:rsid w:val="00954FFF"/>
    <w:rsid w:val="009551BD"/>
    <w:rsid w:val="009557B4"/>
    <w:rsid w:val="00955A6E"/>
    <w:rsid w:val="00955DF1"/>
    <w:rsid w:val="00955F23"/>
    <w:rsid w:val="00956F62"/>
    <w:rsid w:val="00957047"/>
    <w:rsid w:val="0095790D"/>
    <w:rsid w:val="00960163"/>
    <w:rsid w:val="009601B3"/>
    <w:rsid w:val="009601D0"/>
    <w:rsid w:val="0096034D"/>
    <w:rsid w:val="009603F5"/>
    <w:rsid w:val="00960A1E"/>
    <w:rsid w:val="00960B40"/>
    <w:rsid w:val="00960E32"/>
    <w:rsid w:val="0096135E"/>
    <w:rsid w:val="009613B7"/>
    <w:rsid w:val="00961992"/>
    <w:rsid w:val="00961E8D"/>
    <w:rsid w:val="00961FCE"/>
    <w:rsid w:val="0096226F"/>
    <w:rsid w:val="009622F1"/>
    <w:rsid w:val="00963283"/>
    <w:rsid w:val="0096366B"/>
    <w:rsid w:val="00963AAD"/>
    <w:rsid w:val="00963EB9"/>
    <w:rsid w:val="0096419C"/>
    <w:rsid w:val="00964257"/>
    <w:rsid w:val="00964850"/>
    <w:rsid w:val="00964894"/>
    <w:rsid w:val="00964D00"/>
    <w:rsid w:val="00964E25"/>
    <w:rsid w:val="0096521F"/>
    <w:rsid w:val="009653F6"/>
    <w:rsid w:val="009655F1"/>
    <w:rsid w:val="009655F6"/>
    <w:rsid w:val="00965C1B"/>
    <w:rsid w:val="009665BF"/>
    <w:rsid w:val="009666C3"/>
    <w:rsid w:val="00966A0B"/>
    <w:rsid w:val="00966A3A"/>
    <w:rsid w:val="00966B3D"/>
    <w:rsid w:val="00966E57"/>
    <w:rsid w:val="009670C1"/>
    <w:rsid w:val="00967322"/>
    <w:rsid w:val="009677E8"/>
    <w:rsid w:val="00967A6C"/>
    <w:rsid w:val="00967B14"/>
    <w:rsid w:val="00967BC2"/>
    <w:rsid w:val="009701AE"/>
    <w:rsid w:val="009702CD"/>
    <w:rsid w:val="00970346"/>
    <w:rsid w:val="00970737"/>
    <w:rsid w:val="0097097A"/>
    <w:rsid w:val="009709E9"/>
    <w:rsid w:val="00970E14"/>
    <w:rsid w:val="00970E49"/>
    <w:rsid w:val="00970E61"/>
    <w:rsid w:val="00970ECE"/>
    <w:rsid w:val="00970F0A"/>
    <w:rsid w:val="009711A7"/>
    <w:rsid w:val="00971878"/>
    <w:rsid w:val="0097193A"/>
    <w:rsid w:val="00971C65"/>
    <w:rsid w:val="00971D0B"/>
    <w:rsid w:val="00971DAD"/>
    <w:rsid w:val="009721E6"/>
    <w:rsid w:val="00972369"/>
    <w:rsid w:val="00972760"/>
    <w:rsid w:val="00972846"/>
    <w:rsid w:val="00972858"/>
    <w:rsid w:val="009729AF"/>
    <w:rsid w:val="00972F29"/>
    <w:rsid w:val="009735BA"/>
    <w:rsid w:val="0097377F"/>
    <w:rsid w:val="009737A9"/>
    <w:rsid w:val="009738B4"/>
    <w:rsid w:val="00973EAD"/>
    <w:rsid w:val="00974B8C"/>
    <w:rsid w:val="00975862"/>
    <w:rsid w:val="00975AF3"/>
    <w:rsid w:val="00975D66"/>
    <w:rsid w:val="00975E52"/>
    <w:rsid w:val="00976185"/>
    <w:rsid w:val="00976337"/>
    <w:rsid w:val="00976CF0"/>
    <w:rsid w:val="00976E59"/>
    <w:rsid w:val="00977170"/>
    <w:rsid w:val="0097743C"/>
    <w:rsid w:val="009777E6"/>
    <w:rsid w:val="00980470"/>
    <w:rsid w:val="00980EC5"/>
    <w:rsid w:val="00980EF4"/>
    <w:rsid w:val="009810C7"/>
    <w:rsid w:val="00981108"/>
    <w:rsid w:val="009812BD"/>
    <w:rsid w:val="00981333"/>
    <w:rsid w:val="00981506"/>
    <w:rsid w:val="009815AE"/>
    <w:rsid w:val="009817A6"/>
    <w:rsid w:val="009817BF"/>
    <w:rsid w:val="00981855"/>
    <w:rsid w:val="00981970"/>
    <w:rsid w:val="009819BA"/>
    <w:rsid w:val="009819CD"/>
    <w:rsid w:val="00982194"/>
    <w:rsid w:val="009822AB"/>
    <w:rsid w:val="009827CE"/>
    <w:rsid w:val="009835D7"/>
    <w:rsid w:val="00983DFA"/>
    <w:rsid w:val="0098470A"/>
    <w:rsid w:val="00984840"/>
    <w:rsid w:val="00984C1D"/>
    <w:rsid w:val="00984F08"/>
    <w:rsid w:val="00985B92"/>
    <w:rsid w:val="00986B5B"/>
    <w:rsid w:val="00986B84"/>
    <w:rsid w:val="00986BF8"/>
    <w:rsid w:val="00986DCD"/>
    <w:rsid w:val="00986E8F"/>
    <w:rsid w:val="00987565"/>
    <w:rsid w:val="00987D1E"/>
    <w:rsid w:val="0099014C"/>
    <w:rsid w:val="00990612"/>
    <w:rsid w:val="00990957"/>
    <w:rsid w:val="00990FCB"/>
    <w:rsid w:val="0099188E"/>
    <w:rsid w:val="0099199D"/>
    <w:rsid w:val="00991A3F"/>
    <w:rsid w:val="00991BBD"/>
    <w:rsid w:val="009920F7"/>
    <w:rsid w:val="0099250F"/>
    <w:rsid w:val="00992674"/>
    <w:rsid w:val="009926C3"/>
    <w:rsid w:val="009926F1"/>
    <w:rsid w:val="00992A7B"/>
    <w:rsid w:val="00992A7E"/>
    <w:rsid w:val="009941F1"/>
    <w:rsid w:val="0099448C"/>
    <w:rsid w:val="0099456D"/>
    <w:rsid w:val="009947F2"/>
    <w:rsid w:val="009949CF"/>
    <w:rsid w:val="00995023"/>
    <w:rsid w:val="0099511E"/>
    <w:rsid w:val="00995607"/>
    <w:rsid w:val="00995686"/>
    <w:rsid w:val="0099596E"/>
    <w:rsid w:val="00995E76"/>
    <w:rsid w:val="00995FCF"/>
    <w:rsid w:val="00996198"/>
    <w:rsid w:val="0099672D"/>
    <w:rsid w:val="00996823"/>
    <w:rsid w:val="009969B5"/>
    <w:rsid w:val="00996CBC"/>
    <w:rsid w:val="00996F8E"/>
    <w:rsid w:val="00997010"/>
    <w:rsid w:val="00997025"/>
    <w:rsid w:val="009972AE"/>
    <w:rsid w:val="0099741C"/>
    <w:rsid w:val="0099758D"/>
    <w:rsid w:val="00997734"/>
    <w:rsid w:val="009978E0"/>
    <w:rsid w:val="00997A87"/>
    <w:rsid w:val="00997F7D"/>
    <w:rsid w:val="009A019A"/>
    <w:rsid w:val="009A01D5"/>
    <w:rsid w:val="009A0428"/>
    <w:rsid w:val="009A1105"/>
    <w:rsid w:val="009A19AA"/>
    <w:rsid w:val="009A1B5B"/>
    <w:rsid w:val="009A203A"/>
    <w:rsid w:val="009A2253"/>
    <w:rsid w:val="009A23C3"/>
    <w:rsid w:val="009A2AE4"/>
    <w:rsid w:val="009A2BC8"/>
    <w:rsid w:val="009A2C80"/>
    <w:rsid w:val="009A2CA3"/>
    <w:rsid w:val="009A2DF4"/>
    <w:rsid w:val="009A3272"/>
    <w:rsid w:val="009A3381"/>
    <w:rsid w:val="009A36AC"/>
    <w:rsid w:val="009A3BD2"/>
    <w:rsid w:val="009A3F87"/>
    <w:rsid w:val="009A40CE"/>
    <w:rsid w:val="009A4661"/>
    <w:rsid w:val="009A4692"/>
    <w:rsid w:val="009A48A3"/>
    <w:rsid w:val="009A4F68"/>
    <w:rsid w:val="009A564D"/>
    <w:rsid w:val="009A5956"/>
    <w:rsid w:val="009A5A15"/>
    <w:rsid w:val="009A5B55"/>
    <w:rsid w:val="009A5B79"/>
    <w:rsid w:val="009A5FA2"/>
    <w:rsid w:val="009A64CF"/>
    <w:rsid w:val="009A65CB"/>
    <w:rsid w:val="009A6DED"/>
    <w:rsid w:val="009A6E0A"/>
    <w:rsid w:val="009A71BA"/>
    <w:rsid w:val="009A7292"/>
    <w:rsid w:val="009A7A5D"/>
    <w:rsid w:val="009B0400"/>
    <w:rsid w:val="009B0409"/>
    <w:rsid w:val="009B07F3"/>
    <w:rsid w:val="009B1860"/>
    <w:rsid w:val="009B1AD8"/>
    <w:rsid w:val="009B2829"/>
    <w:rsid w:val="009B2C33"/>
    <w:rsid w:val="009B328D"/>
    <w:rsid w:val="009B32B5"/>
    <w:rsid w:val="009B3535"/>
    <w:rsid w:val="009B35C2"/>
    <w:rsid w:val="009B3722"/>
    <w:rsid w:val="009B389F"/>
    <w:rsid w:val="009B3B12"/>
    <w:rsid w:val="009B3BAA"/>
    <w:rsid w:val="009B3BBE"/>
    <w:rsid w:val="009B3C61"/>
    <w:rsid w:val="009B3E22"/>
    <w:rsid w:val="009B3E3F"/>
    <w:rsid w:val="009B3E90"/>
    <w:rsid w:val="009B3F78"/>
    <w:rsid w:val="009B3FC7"/>
    <w:rsid w:val="009B44EE"/>
    <w:rsid w:val="009B493A"/>
    <w:rsid w:val="009B4CC0"/>
    <w:rsid w:val="009B51E8"/>
    <w:rsid w:val="009B51FB"/>
    <w:rsid w:val="009B5452"/>
    <w:rsid w:val="009B5AC6"/>
    <w:rsid w:val="009B5E00"/>
    <w:rsid w:val="009B632B"/>
    <w:rsid w:val="009B6657"/>
    <w:rsid w:val="009B6680"/>
    <w:rsid w:val="009B6976"/>
    <w:rsid w:val="009B6AE2"/>
    <w:rsid w:val="009B6FFB"/>
    <w:rsid w:val="009B75D2"/>
    <w:rsid w:val="009B7F86"/>
    <w:rsid w:val="009C00B8"/>
    <w:rsid w:val="009C03B9"/>
    <w:rsid w:val="009C04B7"/>
    <w:rsid w:val="009C0F86"/>
    <w:rsid w:val="009C1451"/>
    <w:rsid w:val="009C1537"/>
    <w:rsid w:val="009C1ECB"/>
    <w:rsid w:val="009C1FB3"/>
    <w:rsid w:val="009C220D"/>
    <w:rsid w:val="009C255F"/>
    <w:rsid w:val="009C277B"/>
    <w:rsid w:val="009C2E56"/>
    <w:rsid w:val="009C34AA"/>
    <w:rsid w:val="009C3787"/>
    <w:rsid w:val="009C3EE2"/>
    <w:rsid w:val="009C3FF6"/>
    <w:rsid w:val="009C4407"/>
    <w:rsid w:val="009C4E63"/>
    <w:rsid w:val="009C52F5"/>
    <w:rsid w:val="009C57B7"/>
    <w:rsid w:val="009C57EE"/>
    <w:rsid w:val="009C5820"/>
    <w:rsid w:val="009C5A21"/>
    <w:rsid w:val="009C5B61"/>
    <w:rsid w:val="009C5CD5"/>
    <w:rsid w:val="009C62D7"/>
    <w:rsid w:val="009C6A16"/>
    <w:rsid w:val="009C6BD1"/>
    <w:rsid w:val="009C6C57"/>
    <w:rsid w:val="009C7868"/>
    <w:rsid w:val="009C7E0E"/>
    <w:rsid w:val="009D06BE"/>
    <w:rsid w:val="009D0EB8"/>
    <w:rsid w:val="009D10B5"/>
    <w:rsid w:val="009D13A6"/>
    <w:rsid w:val="009D16EB"/>
    <w:rsid w:val="009D18DC"/>
    <w:rsid w:val="009D1981"/>
    <w:rsid w:val="009D1B49"/>
    <w:rsid w:val="009D1E29"/>
    <w:rsid w:val="009D20FB"/>
    <w:rsid w:val="009D2559"/>
    <w:rsid w:val="009D259D"/>
    <w:rsid w:val="009D2AC5"/>
    <w:rsid w:val="009D2ECC"/>
    <w:rsid w:val="009D2F2A"/>
    <w:rsid w:val="009D2FC9"/>
    <w:rsid w:val="009D2FCD"/>
    <w:rsid w:val="009D34B0"/>
    <w:rsid w:val="009D37B2"/>
    <w:rsid w:val="009D3B08"/>
    <w:rsid w:val="009D44C8"/>
    <w:rsid w:val="009D5214"/>
    <w:rsid w:val="009D5777"/>
    <w:rsid w:val="009D5AAC"/>
    <w:rsid w:val="009D5B38"/>
    <w:rsid w:val="009D5D95"/>
    <w:rsid w:val="009D6336"/>
    <w:rsid w:val="009D63EB"/>
    <w:rsid w:val="009D660C"/>
    <w:rsid w:val="009D6832"/>
    <w:rsid w:val="009D7777"/>
    <w:rsid w:val="009D7A3D"/>
    <w:rsid w:val="009D7A97"/>
    <w:rsid w:val="009E0116"/>
    <w:rsid w:val="009E0221"/>
    <w:rsid w:val="009E02CC"/>
    <w:rsid w:val="009E059E"/>
    <w:rsid w:val="009E0738"/>
    <w:rsid w:val="009E0A3B"/>
    <w:rsid w:val="009E0E94"/>
    <w:rsid w:val="009E198A"/>
    <w:rsid w:val="009E1A47"/>
    <w:rsid w:val="009E1B94"/>
    <w:rsid w:val="009E1DCE"/>
    <w:rsid w:val="009E20E0"/>
    <w:rsid w:val="009E23CF"/>
    <w:rsid w:val="009E29F0"/>
    <w:rsid w:val="009E2A91"/>
    <w:rsid w:val="009E2CB5"/>
    <w:rsid w:val="009E2EE4"/>
    <w:rsid w:val="009E3349"/>
    <w:rsid w:val="009E33CF"/>
    <w:rsid w:val="009E357F"/>
    <w:rsid w:val="009E38CD"/>
    <w:rsid w:val="009E3B88"/>
    <w:rsid w:val="009E3D0B"/>
    <w:rsid w:val="009E3DC5"/>
    <w:rsid w:val="009E4037"/>
    <w:rsid w:val="009E40D7"/>
    <w:rsid w:val="009E4299"/>
    <w:rsid w:val="009E42A5"/>
    <w:rsid w:val="009E4AAF"/>
    <w:rsid w:val="009E4B7F"/>
    <w:rsid w:val="009E4E49"/>
    <w:rsid w:val="009E50EB"/>
    <w:rsid w:val="009E5314"/>
    <w:rsid w:val="009E5426"/>
    <w:rsid w:val="009E56CD"/>
    <w:rsid w:val="009E592F"/>
    <w:rsid w:val="009E5C5C"/>
    <w:rsid w:val="009E61B3"/>
    <w:rsid w:val="009E6382"/>
    <w:rsid w:val="009E6614"/>
    <w:rsid w:val="009E6910"/>
    <w:rsid w:val="009E7D8D"/>
    <w:rsid w:val="009E7ECE"/>
    <w:rsid w:val="009F03EB"/>
    <w:rsid w:val="009F047A"/>
    <w:rsid w:val="009F05BA"/>
    <w:rsid w:val="009F0708"/>
    <w:rsid w:val="009F0D79"/>
    <w:rsid w:val="009F0E0C"/>
    <w:rsid w:val="009F115D"/>
    <w:rsid w:val="009F11AA"/>
    <w:rsid w:val="009F12A6"/>
    <w:rsid w:val="009F1AA0"/>
    <w:rsid w:val="009F1CCB"/>
    <w:rsid w:val="009F2143"/>
    <w:rsid w:val="009F2801"/>
    <w:rsid w:val="009F298D"/>
    <w:rsid w:val="009F2F2C"/>
    <w:rsid w:val="009F2FF3"/>
    <w:rsid w:val="009F33ED"/>
    <w:rsid w:val="009F3495"/>
    <w:rsid w:val="009F431A"/>
    <w:rsid w:val="009F4380"/>
    <w:rsid w:val="009F44A1"/>
    <w:rsid w:val="009F4526"/>
    <w:rsid w:val="009F4C7A"/>
    <w:rsid w:val="009F5323"/>
    <w:rsid w:val="009F5A6A"/>
    <w:rsid w:val="009F5BFD"/>
    <w:rsid w:val="009F5C0F"/>
    <w:rsid w:val="009F5DBE"/>
    <w:rsid w:val="009F5DFE"/>
    <w:rsid w:val="009F5F8D"/>
    <w:rsid w:val="009F60E0"/>
    <w:rsid w:val="009F610C"/>
    <w:rsid w:val="009F63F0"/>
    <w:rsid w:val="009F6418"/>
    <w:rsid w:val="009F648D"/>
    <w:rsid w:val="009F6655"/>
    <w:rsid w:val="009F6868"/>
    <w:rsid w:val="009F6A7E"/>
    <w:rsid w:val="009F706E"/>
    <w:rsid w:val="009F725B"/>
    <w:rsid w:val="009F7276"/>
    <w:rsid w:val="009F72AF"/>
    <w:rsid w:val="009F7B60"/>
    <w:rsid w:val="009F7C45"/>
    <w:rsid w:val="009F7D86"/>
    <w:rsid w:val="009F7FDD"/>
    <w:rsid w:val="00A00372"/>
    <w:rsid w:val="00A006B6"/>
    <w:rsid w:val="00A007E0"/>
    <w:rsid w:val="00A008CE"/>
    <w:rsid w:val="00A00979"/>
    <w:rsid w:val="00A009E2"/>
    <w:rsid w:val="00A00DA2"/>
    <w:rsid w:val="00A0100B"/>
    <w:rsid w:val="00A01933"/>
    <w:rsid w:val="00A01C59"/>
    <w:rsid w:val="00A01C6B"/>
    <w:rsid w:val="00A01D24"/>
    <w:rsid w:val="00A0224F"/>
    <w:rsid w:val="00A027C7"/>
    <w:rsid w:val="00A02CD5"/>
    <w:rsid w:val="00A02F3C"/>
    <w:rsid w:val="00A03107"/>
    <w:rsid w:val="00A032A3"/>
    <w:rsid w:val="00A03A32"/>
    <w:rsid w:val="00A03E1D"/>
    <w:rsid w:val="00A04195"/>
    <w:rsid w:val="00A041B9"/>
    <w:rsid w:val="00A04358"/>
    <w:rsid w:val="00A0450A"/>
    <w:rsid w:val="00A04594"/>
    <w:rsid w:val="00A04718"/>
    <w:rsid w:val="00A04D74"/>
    <w:rsid w:val="00A04FC4"/>
    <w:rsid w:val="00A05158"/>
    <w:rsid w:val="00A05626"/>
    <w:rsid w:val="00A05649"/>
    <w:rsid w:val="00A05B9A"/>
    <w:rsid w:val="00A06020"/>
    <w:rsid w:val="00A06533"/>
    <w:rsid w:val="00A06A9F"/>
    <w:rsid w:val="00A06C5C"/>
    <w:rsid w:val="00A074BF"/>
    <w:rsid w:val="00A07720"/>
    <w:rsid w:val="00A07834"/>
    <w:rsid w:val="00A07FF1"/>
    <w:rsid w:val="00A10437"/>
    <w:rsid w:val="00A10607"/>
    <w:rsid w:val="00A107E4"/>
    <w:rsid w:val="00A10D68"/>
    <w:rsid w:val="00A11552"/>
    <w:rsid w:val="00A11954"/>
    <w:rsid w:val="00A11F6F"/>
    <w:rsid w:val="00A127F3"/>
    <w:rsid w:val="00A1283C"/>
    <w:rsid w:val="00A12ABB"/>
    <w:rsid w:val="00A12DFB"/>
    <w:rsid w:val="00A12E3A"/>
    <w:rsid w:val="00A13049"/>
    <w:rsid w:val="00A13361"/>
    <w:rsid w:val="00A133C7"/>
    <w:rsid w:val="00A134F8"/>
    <w:rsid w:val="00A13AC0"/>
    <w:rsid w:val="00A144D4"/>
    <w:rsid w:val="00A1478D"/>
    <w:rsid w:val="00A14A22"/>
    <w:rsid w:val="00A14B1D"/>
    <w:rsid w:val="00A14C3B"/>
    <w:rsid w:val="00A14CED"/>
    <w:rsid w:val="00A14E1F"/>
    <w:rsid w:val="00A151D3"/>
    <w:rsid w:val="00A1532B"/>
    <w:rsid w:val="00A15358"/>
    <w:rsid w:val="00A158A0"/>
    <w:rsid w:val="00A1610D"/>
    <w:rsid w:val="00A16A67"/>
    <w:rsid w:val="00A16BCC"/>
    <w:rsid w:val="00A171D9"/>
    <w:rsid w:val="00A1753E"/>
    <w:rsid w:val="00A177E2"/>
    <w:rsid w:val="00A179DC"/>
    <w:rsid w:val="00A17AB4"/>
    <w:rsid w:val="00A17C47"/>
    <w:rsid w:val="00A17C82"/>
    <w:rsid w:val="00A207C1"/>
    <w:rsid w:val="00A20864"/>
    <w:rsid w:val="00A20D3E"/>
    <w:rsid w:val="00A20FE2"/>
    <w:rsid w:val="00A21440"/>
    <w:rsid w:val="00A21C27"/>
    <w:rsid w:val="00A21ED9"/>
    <w:rsid w:val="00A22063"/>
    <w:rsid w:val="00A22085"/>
    <w:rsid w:val="00A22384"/>
    <w:rsid w:val="00A22E66"/>
    <w:rsid w:val="00A22F45"/>
    <w:rsid w:val="00A233F7"/>
    <w:rsid w:val="00A23495"/>
    <w:rsid w:val="00A23804"/>
    <w:rsid w:val="00A23CB1"/>
    <w:rsid w:val="00A24004"/>
    <w:rsid w:val="00A248A3"/>
    <w:rsid w:val="00A24C59"/>
    <w:rsid w:val="00A24CF5"/>
    <w:rsid w:val="00A25184"/>
    <w:rsid w:val="00A25563"/>
    <w:rsid w:val="00A25BA0"/>
    <w:rsid w:val="00A25E18"/>
    <w:rsid w:val="00A2626F"/>
    <w:rsid w:val="00A262C2"/>
    <w:rsid w:val="00A268CC"/>
    <w:rsid w:val="00A2699D"/>
    <w:rsid w:val="00A26A73"/>
    <w:rsid w:val="00A26CB2"/>
    <w:rsid w:val="00A26F9C"/>
    <w:rsid w:val="00A27043"/>
    <w:rsid w:val="00A272B6"/>
    <w:rsid w:val="00A272CB"/>
    <w:rsid w:val="00A27707"/>
    <w:rsid w:val="00A27F90"/>
    <w:rsid w:val="00A30058"/>
    <w:rsid w:val="00A301EA"/>
    <w:rsid w:val="00A301EF"/>
    <w:rsid w:val="00A30635"/>
    <w:rsid w:val="00A30918"/>
    <w:rsid w:val="00A30A52"/>
    <w:rsid w:val="00A30A6A"/>
    <w:rsid w:val="00A30B1E"/>
    <w:rsid w:val="00A31210"/>
    <w:rsid w:val="00A3152E"/>
    <w:rsid w:val="00A31571"/>
    <w:rsid w:val="00A316B0"/>
    <w:rsid w:val="00A31836"/>
    <w:rsid w:val="00A31896"/>
    <w:rsid w:val="00A3189B"/>
    <w:rsid w:val="00A32219"/>
    <w:rsid w:val="00A32F81"/>
    <w:rsid w:val="00A33237"/>
    <w:rsid w:val="00A33395"/>
    <w:rsid w:val="00A334B9"/>
    <w:rsid w:val="00A33777"/>
    <w:rsid w:val="00A339AD"/>
    <w:rsid w:val="00A3417C"/>
    <w:rsid w:val="00A34795"/>
    <w:rsid w:val="00A3495A"/>
    <w:rsid w:val="00A34C32"/>
    <w:rsid w:val="00A34FDA"/>
    <w:rsid w:val="00A34FE8"/>
    <w:rsid w:val="00A3501B"/>
    <w:rsid w:val="00A3536E"/>
    <w:rsid w:val="00A353C2"/>
    <w:rsid w:val="00A355F0"/>
    <w:rsid w:val="00A35B54"/>
    <w:rsid w:val="00A366A0"/>
    <w:rsid w:val="00A36862"/>
    <w:rsid w:val="00A36896"/>
    <w:rsid w:val="00A36A7A"/>
    <w:rsid w:val="00A36C6C"/>
    <w:rsid w:val="00A36CB3"/>
    <w:rsid w:val="00A36EC0"/>
    <w:rsid w:val="00A37AC2"/>
    <w:rsid w:val="00A40703"/>
    <w:rsid w:val="00A40A03"/>
    <w:rsid w:val="00A40EB7"/>
    <w:rsid w:val="00A40EE9"/>
    <w:rsid w:val="00A4177A"/>
    <w:rsid w:val="00A41788"/>
    <w:rsid w:val="00A41850"/>
    <w:rsid w:val="00A41898"/>
    <w:rsid w:val="00A41B1A"/>
    <w:rsid w:val="00A41CE1"/>
    <w:rsid w:val="00A41D12"/>
    <w:rsid w:val="00A41DD9"/>
    <w:rsid w:val="00A41E3C"/>
    <w:rsid w:val="00A4229F"/>
    <w:rsid w:val="00A42464"/>
    <w:rsid w:val="00A42546"/>
    <w:rsid w:val="00A4271B"/>
    <w:rsid w:val="00A427DE"/>
    <w:rsid w:val="00A42BD2"/>
    <w:rsid w:val="00A430DB"/>
    <w:rsid w:val="00A43551"/>
    <w:rsid w:val="00A435DA"/>
    <w:rsid w:val="00A4363C"/>
    <w:rsid w:val="00A43753"/>
    <w:rsid w:val="00A43858"/>
    <w:rsid w:val="00A43A84"/>
    <w:rsid w:val="00A43CFE"/>
    <w:rsid w:val="00A43E34"/>
    <w:rsid w:val="00A43EA7"/>
    <w:rsid w:val="00A43F11"/>
    <w:rsid w:val="00A44295"/>
    <w:rsid w:val="00A44457"/>
    <w:rsid w:val="00A44593"/>
    <w:rsid w:val="00A447EB"/>
    <w:rsid w:val="00A44943"/>
    <w:rsid w:val="00A44DF5"/>
    <w:rsid w:val="00A45041"/>
    <w:rsid w:val="00A452A6"/>
    <w:rsid w:val="00A45886"/>
    <w:rsid w:val="00A45CC4"/>
    <w:rsid w:val="00A45D25"/>
    <w:rsid w:val="00A46208"/>
    <w:rsid w:val="00A46464"/>
    <w:rsid w:val="00A46AC2"/>
    <w:rsid w:val="00A4702C"/>
    <w:rsid w:val="00A47245"/>
    <w:rsid w:val="00A47539"/>
    <w:rsid w:val="00A47697"/>
    <w:rsid w:val="00A4785D"/>
    <w:rsid w:val="00A47A9B"/>
    <w:rsid w:val="00A47F01"/>
    <w:rsid w:val="00A501AF"/>
    <w:rsid w:val="00A506B6"/>
    <w:rsid w:val="00A50775"/>
    <w:rsid w:val="00A509A7"/>
    <w:rsid w:val="00A50D28"/>
    <w:rsid w:val="00A50DE1"/>
    <w:rsid w:val="00A5137C"/>
    <w:rsid w:val="00A5196B"/>
    <w:rsid w:val="00A51D11"/>
    <w:rsid w:val="00A51FE3"/>
    <w:rsid w:val="00A520EB"/>
    <w:rsid w:val="00A5244A"/>
    <w:rsid w:val="00A526E6"/>
    <w:rsid w:val="00A52886"/>
    <w:rsid w:val="00A528EE"/>
    <w:rsid w:val="00A5323C"/>
    <w:rsid w:val="00A53E4B"/>
    <w:rsid w:val="00A53EE5"/>
    <w:rsid w:val="00A53F48"/>
    <w:rsid w:val="00A54363"/>
    <w:rsid w:val="00A54A4F"/>
    <w:rsid w:val="00A5504D"/>
    <w:rsid w:val="00A550F6"/>
    <w:rsid w:val="00A55168"/>
    <w:rsid w:val="00A55267"/>
    <w:rsid w:val="00A5527D"/>
    <w:rsid w:val="00A5554C"/>
    <w:rsid w:val="00A5575C"/>
    <w:rsid w:val="00A55963"/>
    <w:rsid w:val="00A55CD4"/>
    <w:rsid w:val="00A55E28"/>
    <w:rsid w:val="00A56BF3"/>
    <w:rsid w:val="00A56FD3"/>
    <w:rsid w:val="00A56FFB"/>
    <w:rsid w:val="00A570FB"/>
    <w:rsid w:val="00A571C9"/>
    <w:rsid w:val="00A572D9"/>
    <w:rsid w:val="00A575BB"/>
    <w:rsid w:val="00A5767E"/>
    <w:rsid w:val="00A57898"/>
    <w:rsid w:val="00A579D3"/>
    <w:rsid w:val="00A57BF2"/>
    <w:rsid w:val="00A57D62"/>
    <w:rsid w:val="00A6022A"/>
    <w:rsid w:val="00A602B7"/>
    <w:rsid w:val="00A6030A"/>
    <w:rsid w:val="00A60332"/>
    <w:rsid w:val="00A612CD"/>
    <w:rsid w:val="00A61417"/>
    <w:rsid w:val="00A6168D"/>
    <w:rsid w:val="00A618C1"/>
    <w:rsid w:val="00A61A48"/>
    <w:rsid w:val="00A62D03"/>
    <w:rsid w:val="00A62E24"/>
    <w:rsid w:val="00A62FCA"/>
    <w:rsid w:val="00A6349F"/>
    <w:rsid w:val="00A63BF5"/>
    <w:rsid w:val="00A6452F"/>
    <w:rsid w:val="00A645CB"/>
    <w:rsid w:val="00A65239"/>
    <w:rsid w:val="00A652A5"/>
    <w:rsid w:val="00A65488"/>
    <w:rsid w:val="00A655F9"/>
    <w:rsid w:val="00A6560D"/>
    <w:rsid w:val="00A65AA9"/>
    <w:rsid w:val="00A65E9A"/>
    <w:rsid w:val="00A667D4"/>
    <w:rsid w:val="00A669A0"/>
    <w:rsid w:val="00A66AB2"/>
    <w:rsid w:val="00A66C84"/>
    <w:rsid w:val="00A66CE3"/>
    <w:rsid w:val="00A6721C"/>
    <w:rsid w:val="00A6725E"/>
    <w:rsid w:val="00A67F71"/>
    <w:rsid w:val="00A7064C"/>
    <w:rsid w:val="00A7081A"/>
    <w:rsid w:val="00A70884"/>
    <w:rsid w:val="00A70989"/>
    <w:rsid w:val="00A70A25"/>
    <w:rsid w:val="00A70B02"/>
    <w:rsid w:val="00A70B32"/>
    <w:rsid w:val="00A70E2E"/>
    <w:rsid w:val="00A70E9A"/>
    <w:rsid w:val="00A70EA0"/>
    <w:rsid w:val="00A71180"/>
    <w:rsid w:val="00A71791"/>
    <w:rsid w:val="00A71C91"/>
    <w:rsid w:val="00A71E72"/>
    <w:rsid w:val="00A720BA"/>
    <w:rsid w:val="00A72363"/>
    <w:rsid w:val="00A7251E"/>
    <w:rsid w:val="00A7252B"/>
    <w:rsid w:val="00A72638"/>
    <w:rsid w:val="00A72799"/>
    <w:rsid w:val="00A72D4C"/>
    <w:rsid w:val="00A730EF"/>
    <w:rsid w:val="00A73164"/>
    <w:rsid w:val="00A73217"/>
    <w:rsid w:val="00A733A4"/>
    <w:rsid w:val="00A745CF"/>
    <w:rsid w:val="00A7478C"/>
    <w:rsid w:val="00A74950"/>
    <w:rsid w:val="00A74ECA"/>
    <w:rsid w:val="00A75451"/>
    <w:rsid w:val="00A75512"/>
    <w:rsid w:val="00A764E1"/>
    <w:rsid w:val="00A766F5"/>
    <w:rsid w:val="00A76BF5"/>
    <w:rsid w:val="00A77419"/>
    <w:rsid w:val="00A77C5C"/>
    <w:rsid w:val="00A77E34"/>
    <w:rsid w:val="00A77E6A"/>
    <w:rsid w:val="00A803C6"/>
    <w:rsid w:val="00A8041C"/>
    <w:rsid w:val="00A80BE9"/>
    <w:rsid w:val="00A8119C"/>
    <w:rsid w:val="00A813A8"/>
    <w:rsid w:val="00A8163B"/>
    <w:rsid w:val="00A81C09"/>
    <w:rsid w:val="00A81E0B"/>
    <w:rsid w:val="00A81FAD"/>
    <w:rsid w:val="00A824CA"/>
    <w:rsid w:val="00A82913"/>
    <w:rsid w:val="00A82A36"/>
    <w:rsid w:val="00A82BA9"/>
    <w:rsid w:val="00A82C46"/>
    <w:rsid w:val="00A82C57"/>
    <w:rsid w:val="00A83085"/>
    <w:rsid w:val="00A8308E"/>
    <w:rsid w:val="00A830E5"/>
    <w:rsid w:val="00A83487"/>
    <w:rsid w:val="00A835E0"/>
    <w:rsid w:val="00A839A6"/>
    <w:rsid w:val="00A84433"/>
    <w:rsid w:val="00A8463B"/>
    <w:rsid w:val="00A84A73"/>
    <w:rsid w:val="00A84F5C"/>
    <w:rsid w:val="00A850AA"/>
    <w:rsid w:val="00A85843"/>
    <w:rsid w:val="00A858B2"/>
    <w:rsid w:val="00A85D44"/>
    <w:rsid w:val="00A8630A"/>
    <w:rsid w:val="00A86522"/>
    <w:rsid w:val="00A8720D"/>
    <w:rsid w:val="00A8728F"/>
    <w:rsid w:val="00A876CA"/>
    <w:rsid w:val="00A90158"/>
    <w:rsid w:val="00A9033F"/>
    <w:rsid w:val="00A90BA1"/>
    <w:rsid w:val="00A90C98"/>
    <w:rsid w:val="00A90DCB"/>
    <w:rsid w:val="00A91449"/>
    <w:rsid w:val="00A91491"/>
    <w:rsid w:val="00A918BD"/>
    <w:rsid w:val="00A91919"/>
    <w:rsid w:val="00A91D07"/>
    <w:rsid w:val="00A91F94"/>
    <w:rsid w:val="00A91FF4"/>
    <w:rsid w:val="00A920F3"/>
    <w:rsid w:val="00A922BD"/>
    <w:rsid w:val="00A92367"/>
    <w:rsid w:val="00A926CC"/>
    <w:rsid w:val="00A927FE"/>
    <w:rsid w:val="00A92A71"/>
    <w:rsid w:val="00A92D08"/>
    <w:rsid w:val="00A92E00"/>
    <w:rsid w:val="00A93325"/>
    <w:rsid w:val="00A94D7F"/>
    <w:rsid w:val="00A94F32"/>
    <w:rsid w:val="00A95262"/>
    <w:rsid w:val="00A95552"/>
    <w:rsid w:val="00A9556F"/>
    <w:rsid w:val="00A955A5"/>
    <w:rsid w:val="00A95DDB"/>
    <w:rsid w:val="00A95E02"/>
    <w:rsid w:val="00A960FA"/>
    <w:rsid w:val="00A9654C"/>
    <w:rsid w:val="00A966C5"/>
    <w:rsid w:val="00A96EEA"/>
    <w:rsid w:val="00A9783D"/>
    <w:rsid w:val="00AA00E1"/>
    <w:rsid w:val="00AA02D2"/>
    <w:rsid w:val="00AA0CD0"/>
    <w:rsid w:val="00AA138D"/>
    <w:rsid w:val="00AA1466"/>
    <w:rsid w:val="00AA1500"/>
    <w:rsid w:val="00AA15FD"/>
    <w:rsid w:val="00AA1789"/>
    <w:rsid w:val="00AA191D"/>
    <w:rsid w:val="00AA204C"/>
    <w:rsid w:val="00AA210C"/>
    <w:rsid w:val="00AA2669"/>
    <w:rsid w:val="00AA2E65"/>
    <w:rsid w:val="00AA3042"/>
    <w:rsid w:val="00AA3187"/>
    <w:rsid w:val="00AA3714"/>
    <w:rsid w:val="00AA37CD"/>
    <w:rsid w:val="00AA4104"/>
    <w:rsid w:val="00AA45A4"/>
    <w:rsid w:val="00AA47EA"/>
    <w:rsid w:val="00AA514F"/>
    <w:rsid w:val="00AA52C9"/>
    <w:rsid w:val="00AA52CA"/>
    <w:rsid w:val="00AA561E"/>
    <w:rsid w:val="00AA5F68"/>
    <w:rsid w:val="00AA641B"/>
    <w:rsid w:val="00AA6851"/>
    <w:rsid w:val="00AA695B"/>
    <w:rsid w:val="00AA720E"/>
    <w:rsid w:val="00AA74E9"/>
    <w:rsid w:val="00AA7630"/>
    <w:rsid w:val="00AA768B"/>
    <w:rsid w:val="00AA7BF6"/>
    <w:rsid w:val="00AB01EA"/>
    <w:rsid w:val="00AB0354"/>
    <w:rsid w:val="00AB0D22"/>
    <w:rsid w:val="00AB0FD2"/>
    <w:rsid w:val="00AB13DA"/>
    <w:rsid w:val="00AB1587"/>
    <w:rsid w:val="00AB15F8"/>
    <w:rsid w:val="00AB179A"/>
    <w:rsid w:val="00AB1F3B"/>
    <w:rsid w:val="00AB2AC0"/>
    <w:rsid w:val="00AB2B9A"/>
    <w:rsid w:val="00AB2BCD"/>
    <w:rsid w:val="00AB2C8F"/>
    <w:rsid w:val="00AB2DCF"/>
    <w:rsid w:val="00AB2F42"/>
    <w:rsid w:val="00AB3755"/>
    <w:rsid w:val="00AB3A46"/>
    <w:rsid w:val="00AB3AF7"/>
    <w:rsid w:val="00AB42A4"/>
    <w:rsid w:val="00AB42CA"/>
    <w:rsid w:val="00AB4571"/>
    <w:rsid w:val="00AB494B"/>
    <w:rsid w:val="00AB4B2B"/>
    <w:rsid w:val="00AB4C9E"/>
    <w:rsid w:val="00AB50D0"/>
    <w:rsid w:val="00AB5185"/>
    <w:rsid w:val="00AB5399"/>
    <w:rsid w:val="00AB57D8"/>
    <w:rsid w:val="00AB5875"/>
    <w:rsid w:val="00AB607C"/>
    <w:rsid w:val="00AB6707"/>
    <w:rsid w:val="00AB6944"/>
    <w:rsid w:val="00AB6B65"/>
    <w:rsid w:val="00AB6C78"/>
    <w:rsid w:val="00AB6C9D"/>
    <w:rsid w:val="00AB72E4"/>
    <w:rsid w:val="00AB77AE"/>
    <w:rsid w:val="00AB7DCD"/>
    <w:rsid w:val="00AB7F33"/>
    <w:rsid w:val="00AB7F96"/>
    <w:rsid w:val="00AC0489"/>
    <w:rsid w:val="00AC04EF"/>
    <w:rsid w:val="00AC0F85"/>
    <w:rsid w:val="00AC1170"/>
    <w:rsid w:val="00AC119A"/>
    <w:rsid w:val="00AC150C"/>
    <w:rsid w:val="00AC1914"/>
    <w:rsid w:val="00AC2424"/>
    <w:rsid w:val="00AC2443"/>
    <w:rsid w:val="00AC24DE"/>
    <w:rsid w:val="00AC27BE"/>
    <w:rsid w:val="00AC2A9E"/>
    <w:rsid w:val="00AC2AB8"/>
    <w:rsid w:val="00AC2B05"/>
    <w:rsid w:val="00AC2F90"/>
    <w:rsid w:val="00AC331F"/>
    <w:rsid w:val="00AC3AAC"/>
    <w:rsid w:val="00AC3E6A"/>
    <w:rsid w:val="00AC3F95"/>
    <w:rsid w:val="00AC40C1"/>
    <w:rsid w:val="00AC4164"/>
    <w:rsid w:val="00AC44EC"/>
    <w:rsid w:val="00AC45A6"/>
    <w:rsid w:val="00AC4686"/>
    <w:rsid w:val="00AC4D10"/>
    <w:rsid w:val="00AC4F3C"/>
    <w:rsid w:val="00AC5398"/>
    <w:rsid w:val="00AC541E"/>
    <w:rsid w:val="00AC55C9"/>
    <w:rsid w:val="00AC5982"/>
    <w:rsid w:val="00AC6A0A"/>
    <w:rsid w:val="00AC6CD1"/>
    <w:rsid w:val="00AC6D98"/>
    <w:rsid w:val="00AC7377"/>
    <w:rsid w:val="00AC743F"/>
    <w:rsid w:val="00AC7A63"/>
    <w:rsid w:val="00AC7B23"/>
    <w:rsid w:val="00AC7E4E"/>
    <w:rsid w:val="00AD00E5"/>
    <w:rsid w:val="00AD034A"/>
    <w:rsid w:val="00AD0353"/>
    <w:rsid w:val="00AD03D0"/>
    <w:rsid w:val="00AD063D"/>
    <w:rsid w:val="00AD07BC"/>
    <w:rsid w:val="00AD08E3"/>
    <w:rsid w:val="00AD0AFF"/>
    <w:rsid w:val="00AD0B88"/>
    <w:rsid w:val="00AD1345"/>
    <w:rsid w:val="00AD135C"/>
    <w:rsid w:val="00AD15BF"/>
    <w:rsid w:val="00AD16F3"/>
    <w:rsid w:val="00AD19EE"/>
    <w:rsid w:val="00AD1A5A"/>
    <w:rsid w:val="00AD2036"/>
    <w:rsid w:val="00AD2172"/>
    <w:rsid w:val="00AD2220"/>
    <w:rsid w:val="00AD2485"/>
    <w:rsid w:val="00AD2630"/>
    <w:rsid w:val="00AD2BF2"/>
    <w:rsid w:val="00AD2BF9"/>
    <w:rsid w:val="00AD2C77"/>
    <w:rsid w:val="00AD3452"/>
    <w:rsid w:val="00AD3AA8"/>
    <w:rsid w:val="00AD3E04"/>
    <w:rsid w:val="00AD3FD2"/>
    <w:rsid w:val="00AD475B"/>
    <w:rsid w:val="00AD47F7"/>
    <w:rsid w:val="00AD4B8E"/>
    <w:rsid w:val="00AD51B5"/>
    <w:rsid w:val="00AD53FF"/>
    <w:rsid w:val="00AD54D4"/>
    <w:rsid w:val="00AD5DEB"/>
    <w:rsid w:val="00AD5E51"/>
    <w:rsid w:val="00AD5F56"/>
    <w:rsid w:val="00AD6634"/>
    <w:rsid w:val="00AD67F8"/>
    <w:rsid w:val="00AD69E9"/>
    <w:rsid w:val="00AD6D7B"/>
    <w:rsid w:val="00AD700B"/>
    <w:rsid w:val="00AD7484"/>
    <w:rsid w:val="00AD7A15"/>
    <w:rsid w:val="00AD7CA0"/>
    <w:rsid w:val="00AE05AE"/>
    <w:rsid w:val="00AE07F4"/>
    <w:rsid w:val="00AE0AC7"/>
    <w:rsid w:val="00AE0AE8"/>
    <w:rsid w:val="00AE0DC7"/>
    <w:rsid w:val="00AE0F4B"/>
    <w:rsid w:val="00AE100A"/>
    <w:rsid w:val="00AE121F"/>
    <w:rsid w:val="00AE14E9"/>
    <w:rsid w:val="00AE1558"/>
    <w:rsid w:val="00AE15D2"/>
    <w:rsid w:val="00AE1821"/>
    <w:rsid w:val="00AE240B"/>
    <w:rsid w:val="00AE2443"/>
    <w:rsid w:val="00AE293F"/>
    <w:rsid w:val="00AE2B0E"/>
    <w:rsid w:val="00AE308E"/>
    <w:rsid w:val="00AE35F9"/>
    <w:rsid w:val="00AE39E8"/>
    <w:rsid w:val="00AE3AC8"/>
    <w:rsid w:val="00AE3E8A"/>
    <w:rsid w:val="00AE41D8"/>
    <w:rsid w:val="00AE43C8"/>
    <w:rsid w:val="00AE45A5"/>
    <w:rsid w:val="00AE4A08"/>
    <w:rsid w:val="00AE4C1E"/>
    <w:rsid w:val="00AE4D15"/>
    <w:rsid w:val="00AE4D23"/>
    <w:rsid w:val="00AE50A0"/>
    <w:rsid w:val="00AE577D"/>
    <w:rsid w:val="00AE5CAD"/>
    <w:rsid w:val="00AE61F3"/>
    <w:rsid w:val="00AE62F6"/>
    <w:rsid w:val="00AE6538"/>
    <w:rsid w:val="00AE661B"/>
    <w:rsid w:val="00AE6C95"/>
    <w:rsid w:val="00AE6DAF"/>
    <w:rsid w:val="00AE702E"/>
    <w:rsid w:val="00AE72B2"/>
    <w:rsid w:val="00AE788A"/>
    <w:rsid w:val="00AF00A7"/>
    <w:rsid w:val="00AF03C6"/>
    <w:rsid w:val="00AF0534"/>
    <w:rsid w:val="00AF05A5"/>
    <w:rsid w:val="00AF0DA5"/>
    <w:rsid w:val="00AF1274"/>
    <w:rsid w:val="00AF18CA"/>
    <w:rsid w:val="00AF190B"/>
    <w:rsid w:val="00AF20E9"/>
    <w:rsid w:val="00AF2146"/>
    <w:rsid w:val="00AF22E2"/>
    <w:rsid w:val="00AF22FA"/>
    <w:rsid w:val="00AF2698"/>
    <w:rsid w:val="00AF26D5"/>
    <w:rsid w:val="00AF27BE"/>
    <w:rsid w:val="00AF2A6A"/>
    <w:rsid w:val="00AF2A93"/>
    <w:rsid w:val="00AF2E00"/>
    <w:rsid w:val="00AF2E0A"/>
    <w:rsid w:val="00AF2F26"/>
    <w:rsid w:val="00AF34E3"/>
    <w:rsid w:val="00AF375B"/>
    <w:rsid w:val="00AF3850"/>
    <w:rsid w:val="00AF3854"/>
    <w:rsid w:val="00AF3AB3"/>
    <w:rsid w:val="00AF4298"/>
    <w:rsid w:val="00AF4647"/>
    <w:rsid w:val="00AF4A10"/>
    <w:rsid w:val="00AF4BFD"/>
    <w:rsid w:val="00AF4F46"/>
    <w:rsid w:val="00AF55CA"/>
    <w:rsid w:val="00AF5769"/>
    <w:rsid w:val="00AF602D"/>
    <w:rsid w:val="00AF619D"/>
    <w:rsid w:val="00AF6340"/>
    <w:rsid w:val="00AF64A4"/>
    <w:rsid w:val="00AF65D0"/>
    <w:rsid w:val="00AF66CF"/>
    <w:rsid w:val="00AF6F97"/>
    <w:rsid w:val="00AF7089"/>
    <w:rsid w:val="00AF7200"/>
    <w:rsid w:val="00AF73D4"/>
    <w:rsid w:val="00AF79B0"/>
    <w:rsid w:val="00AF7D43"/>
    <w:rsid w:val="00AF7E25"/>
    <w:rsid w:val="00B0026D"/>
    <w:rsid w:val="00B0089C"/>
    <w:rsid w:val="00B00919"/>
    <w:rsid w:val="00B009DD"/>
    <w:rsid w:val="00B00A3E"/>
    <w:rsid w:val="00B00EDA"/>
    <w:rsid w:val="00B00F69"/>
    <w:rsid w:val="00B00FCC"/>
    <w:rsid w:val="00B0188C"/>
    <w:rsid w:val="00B018DA"/>
    <w:rsid w:val="00B01966"/>
    <w:rsid w:val="00B01F5D"/>
    <w:rsid w:val="00B027B9"/>
    <w:rsid w:val="00B027F1"/>
    <w:rsid w:val="00B03225"/>
    <w:rsid w:val="00B0357D"/>
    <w:rsid w:val="00B036C9"/>
    <w:rsid w:val="00B03AFB"/>
    <w:rsid w:val="00B04082"/>
    <w:rsid w:val="00B042B0"/>
    <w:rsid w:val="00B044AF"/>
    <w:rsid w:val="00B0494A"/>
    <w:rsid w:val="00B04D55"/>
    <w:rsid w:val="00B04D8D"/>
    <w:rsid w:val="00B04E9D"/>
    <w:rsid w:val="00B05033"/>
    <w:rsid w:val="00B056DD"/>
    <w:rsid w:val="00B062DC"/>
    <w:rsid w:val="00B06DA0"/>
    <w:rsid w:val="00B0741B"/>
    <w:rsid w:val="00B074A1"/>
    <w:rsid w:val="00B07989"/>
    <w:rsid w:val="00B07DFA"/>
    <w:rsid w:val="00B07F35"/>
    <w:rsid w:val="00B100C2"/>
    <w:rsid w:val="00B100E4"/>
    <w:rsid w:val="00B103DD"/>
    <w:rsid w:val="00B10614"/>
    <w:rsid w:val="00B10972"/>
    <w:rsid w:val="00B109DA"/>
    <w:rsid w:val="00B11159"/>
    <w:rsid w:val="00B117EE"/>
    <w:rsid w:val="00B11C8E"/>
    <w:rsid w:val="00B11DE9"/>
    <w:rsid w:val="00B120AD"/>
    <w:rsid w:val="00B1219F"/>
    <w:rsid w:val="00B1229F"/>
    <w:rsid w:val="00B1281B"/>
    <w:rsid w:val="00B12924"/>
    <w:rsid w:val="00B12AE0"/>
    <w:rsid w:val="00B12C04"/>
    <w:rsid w:val="00B12CB7"/>
    <w:rsid w:val="00B12E0B"/>
    <w:rsid w:val="00B133EC"/>
    <w:rsid w:val="00B133F3"/>
    <w:rsid w:val="00B139B9"/>
    <w:rsid w:val="00B13A09"/>
    <w:rsid w:val="00B13A31"/>
    <w:rsid w:val="00B13F71"/>
    <w:rsid w:val="00B1421A"/>
    <w:rsid w:val="00B14495"/>
    <w:rsid w:val="00B14544"/>
    <w:rsid w:val="00B14742"/>
    <w:rsid w:val="00B147DB"/>
    <w:rsid w:val="00B14894"/>
    <w:rsid w:val="00B14A0D"/>
    <w:rsid w:val="00B14C70"/>
    <w:rsid w:val="00B14CA4"/>
    <w:rsid w:val="00B14DF9"/>
    <w:rsid w:val="00B1514A"/>
    <w:rsid w:val="00B1514C"/>
    <w:rsid w:val="00B158E0"/>
    <w:rsid w:val="00B15B2C"/>
    <w:rsid w:val="00B15D24"/>
    <w:rsid w:val="00B15FC2"/>
    <w:rsid w:val="00B16186"/>
    <w:rsid w:val="00B16465"/>
    <w:rsid w:val="00B16BAA"/>
    <w:rsid w:val="00B16D25"/>
    <w:rsid w:val="00B16FB2"/>
    <w:rsid w:val="00B1707C"/>
    <w:rsid w:val="00B173A6"/>
    <w:rsid w:val="00B179D1"/>
    <w:rsid w:val="00B17E7F"/>
    <w:rsid w:val="00B20300"/>
    <w:rsid w:val="00B20390"/>
    <w:rsid w:val="00B20BE8"/>
    <w:rsid w:val="00B20EF8"/>
    <w:rsid w:val="00B2139E"/>
    <w:rsid w:val="00B2159D"/>
    <w:rsid w:val="00B219B8"/>
    <w:rsid w:val="00B219DD"/>
    <w:rsid w:val="00B21B7A"/>
    <w:rsid w:val="00B21E48"/>
    <w:rsid w:val="00B21FE6"/>
    <w:rsid w:val="00B223BC"/>
    <w:rsid w:val="00B22DF6"/>
    <w:rsid w:val="00B22F82"/>
    <w:rsid w:val="00B232C4"/>
    <w:rsid w:val="00B23A1E"/>
    <w:rsid w:val="00B23C5F"/>
    <w:rsid w:val="00B23CCC"/>
    <w:rsid w:val="00B23DC9"/>
    <w:rsid w:val="00B240A7"/>
    <w:rsid w:val="00B240C0"/>
    <w:rsid w:val="00B24182"/>
    <w:rsid w:val="00B24221"/>
    <w:rsid w:val="00B24392"/>
    <w:rsid w:val="00B243BA"/>
    <w:rsid w:val="00B245D9"/>
    <w:rsid w:val="00B24C20"/>
    <w:rsid w:val="00B24DA6"/>
    <w:rsid w:val="00B24E9C"/>
    <w:rsid w:val="00B25D11"/>
    <w:rsid w:val="00B25D5F"/>
    <w:rsid w:val="00B25E59"/>
    <w:rsid w:val="00B2606D"/>
    <w:rsid w:val="00B26074"/>
    <w:rsid w:val="00B262AA"/>
    <w:rsid w:val="00B26386"/>
    <w:rsid w:val="00B26A43"/>
    <w:rsid w:val="00B26D1A"/>
    <w:rsid w:val="00B27850"/>
    <w:rsid w:val="00B27EE4"/>
    <w:rsid w:val="00B27FC7"/>
    <w:rsid w:val="00B30004"/>
    <w:rsid w:val="00B3033D"/>
    <w:rsid w:val="00B303FE"/>
    <w:rsid w:val="00B30785"/>
    <w:rsid w:val="00B30A82"/>
    <w:rsid w:val="00B30B35"/>
    <w:rsid w:val="00B30C63"/>
    <w:rsid w:val="00B30F7A"/>
    <w:rsid w:val="00B31837"/>
    <w:rsid w:val="00B318A1"/>
    <w:rsid w:val="00B31D70"/>
    <w:rsid w:val="00B31E3B"/>
    <w:rsid w:val="00B3242A"/>
    <w:rsid w:val="00B32BEE"/>
    <w:rsid w:val="00B32C66"/>
    <w:rsid w:val="00B32F98"/>
    <w:rsid w:val="00B331B7"/>
    <w:rsid w:val="00B3354A"/>
    <w:rsid w:val="00B3355F"/>
    <w:rsid w:val="00B33719"/>
    <w:rsid w:val="00B33AEC"/>
    <w:rsid w:val="00B33C85"/>
    <w:rsid w:val="00B33FFA"/>
    <w:rsid w:val="00B34164"/>
    <w:rsid w:val="00B3467F"/>
    <w:rsid w:val="00B34BAA"/>
    <w:rsid w:val="00B34BF7"/>
    <w:rsid w:val="00B34F4D"/>
    <w:rsid w:val="00B3524C"/>
    <w:rsid w:val="00B35854"/>
    <w:rsid w:val="00B35A20"/>
    <w:rsid w:val="00B35D51"/>
    <w:rsid w:val="00B35FD5"/>
    <w:rsid w:val="00B363C5"/>
    <w:rsid w:val="00B36487"/>
    <w:rsid w:val="00B36846"/>
    <w:rsid w:val="00B36AB7"/>
    <w:rsid w:val="00B36B03"/>
    <w:rsid w:val="00B36CD6"/>
    <w:rsid w:val="00B36D61"/>
    <w:rsid w:val="00B36D89"/>
    <w:rsid w:val="00B371B0"/>
    <w:rsid w:val="00B37AC0"/>
    <w:rsid w:val="00B37C13"/>
    <w:rsid w:val="00B37E59"/>
    <w:rsid w:val="00B37F22"/>
    <w:rsid w:val="00B37FEC"/>
    <w:rsid w:val="00B40026"/>
    <w:rsid w:val="00B40B47"/>
    <w:rsid w:val="00B41071"/>
    <w:rsid w:val="00B41579"/>
    <w:rsid w:val="00B41F99"/>
    <w:rsid w:val="00B41FFA"/>
    <w:rsid w:val="00B420FA"/>
    <w:rsid w:val="00B42312"/>
    <w:rsid w:val="00B42BB1"/>
    <w:rsid w:val="00B42BBB"/>
    <w:rsid w:val="00B42D11"/>
    <w:rsid w:val="00B43249"/>
    <w:rsid w:val="00B4386F"/>
    <w:rsid w:val="00B43B17"/>
    <w:rsid w:val="00B43D21"/>
    <w:rsid w:val="00B43D3F"/>
    <w:rsid w:val="00B43E8F"/>
    <w:rsid w:val="00B4469A"/>
    <w:rsid w:val="00B44F61"/>
    <w:rsid w:val="00B4554D"/>
    <w:rsid w:val="00B45B9D"/>
    <w:rsid w:val="00B45F69"/>
    <w:rsid w:val="00B461CA"/>
    <w:rsid w:val="00B4644C"/>
    <w:rsid w:val="00B46648"/>
    <w:rsid w:val="00B46E7C"/>
    <w:rsid w:val="00B47186"/>
    <w:rsid w:val="00B4718A"/>
    <w:rsid w:val="00B476AA"/>
    <w:rsid w:val="00B47DDD"/>
    <w:rsid w:val="00B50747"/>
    <w:rsid w:val="00B5086C"/>
    <w:rsid w:val="00B50937"/>
    <w:rsid w:val="00B512A6"/>
    <w:rsid w:val="00B517F6"/>
    <w:rsid w:val="00B51D67"/>
    <w:rsid w:val="00B521BB"/>
    <w:rsid w:val="00B52282"/>
    <w:rsid w:val="00B52596"/>
    <w:rsid w:val="00B52AB0"/>
    <w:rsid w:val="00B53169"/>
    <w:rsid w:val="00B531B6"/>
    <w:rsid w:val="00B53874"/>
    <w:rsid w:val="00B53AF5"/>
    <w:rsid w:val="00B53B7D"/>
    <w:rsid w:val="00B53CA9"/>
    <w:rsid w:val="00B53E20"/>
    <w:rsid w:val="00B53E4D"/>
    <w:rsid w:val="00B53F00"/>
    <w:rsid w:val="00B54735"/>
    <w:rsid w:val="00B54C48"/>
    <w:rsid w:val="00B54F4D"/>
    <w:rsid w:val="00B5567C"/>
    <w:rsid w:val="00B560C4"/>
    <w:rsid w:val="00B56532"/>
    <w:rsid w:val="00B567DA"/>
    <w:rsid w:val="00B56992"/>
    <w:rsid w:val="00B57057"/>
    <w:rsid w:val="00B57158"/>
    <w:rsid w:val="00B57358"/>
    <w:rsid w:val="00B5736E"/>
    <w:rsid w:val="00B57498"/>
    <w:rsid w:val="00B57526"/>
    <w:rsid w:val="00B57536"/>
    <w:rsid w:val="00B57774"/>
    <w:rsid w:val="00B6016C"/>
    <w:rsid w:val="00B603DA"/>
    <w:rsid w:val="00B6044B"/>
    <w:rsid w:val="00B60661"/>
    <w:rsid w:val="00B60A03"/>
    <w:rsid w:val="00B60A7F"/>
    <w:rsid w:val="00B60FC9"/>
    <w:rsid w:val="00B61026"/>
    <w:rsid w:val="00B61439"/>
    <w:rsid w:val="00B620BF"/>
    <w:rsid w:val="00B62208"/>
    <w:rsid w:val="00B625DC"/>
    <w:rsid w:val="00B62960"/>
    <w:rsid w:val="00B62BA2"/>
    <w:rsid w:val="00B62CA3"/>
    <w:rsid w:val="00B62F10"/>
    <w:rsid w:val="00B630D1"/>
    <w:rsid w:val="00B63291"/>
    <w:rsid w:val="00B6339C"/>
    <w:rsid w:val="00B63690"/>
    <w:rsid w:val="00B63E80"/>
    <w:rsid w:val="00B63EE1"/>
    <w:rsid w:val="00B6405A"/>
    <w:rsid w:val="00B640D2"/>
    <w:rsid w:val="00B64458"/>
    <w:rsid w:val="00B64467"/>
    <w:rsid w:val="00B64502"/>
    <w:rsid w:val="00B64EC2"/>
    <w:rsid w:val="00B64FEB"/>
    <w:rsid w:val="00B6537C"/>
    <w:rsid w:val="00B653DB"/>
    <w:rsid w:val="00B65F55"/>
    <w:rsid w:val="00B664E2"/>
    <w:rsid w:val="00B6662B"/>
    <w:rsid w:val="00B667C1"/>
    <w:rsid w:val="00B66CB2"/>
    <w:rsid w:val="00B66D7A"/>
    <w:rsid w:val="00B66E33"/>
    <w:rsid w:val="00B676A0"/>
    <w:rsid w:val="00B67CF2"/>
    <w:rsid w:val="00B67DFA"/>
    <w:rsid w:val="00B67F82"/>
    <w:rsid w:val="00B7012F"/>
    <w:rsid w:val="00B704B4"/>
    <w:rsid w:val="00B70517"/>
    <w:rsid w:val="00B70791"/>
    <w:rsid w:val="00B70B27"/>
    <w:rsid w:val="00B70B6C"/>
    <w:rsid w:val="00B70D2C"/>
    <w:rsid w:val="00B710E8"/>
    <w:rsid w:val="00B71408"/>
    <w:rsid w:val="00B71416"/>
    <w:rsid w:val="00B71580"/>
    <w:rsid w:val="00B715AA"/>
    <w:rsid w:val="00B718B8"/>
    <w:rsid w:val="00B71B28"/>
    <w:rsid w:val="00B71DB5"/>
    <w:rsid w:val="00B72120"/>
    <w:rsid w:val="00B72A7E"/>
    <w:rsid w:val="00B72B8A"/>
    <w:rsid w:val="00B72E68"/>
    <w:rsid w:val="00B72ED6"/>
    <w:rsid w:val="00B73640"/>
    <w:rsid w:val="00B73676"/>
    <w:rsid w:val="00B736EE"/>
    <w:rsid w:val="00B73795"/>
    <w:rsid w:val="00B73D77"/>
    <w:rsid w:val="00B73D81"/>
    <w:rsid w:val="00B74351"/>
    <w:rsid w:val="00B745D3"/>
    <w:rsid w:val="00B74A1B"/>
    <w:rsid w:val="00B7515C"/>
    <w:rsid w:val="00B7532F"/>
    <w:rsid w:val="00B75DB6"/>
    <w:rsid w:val="00B762EA"/>
    <w:rsid w:val="00B76E51"/>
    <w:rsid w:val="00B76E67"/>
    <w:rsid w:val="00B7703A"/>
    <w:rsid w:val="00B775BD"/>
    <w:rsid w:val="00B77CE2"/>
    <w:rsid w:val="00B77E92"/>
    <w:rsid w:val="00B80341"/>
    <w:rsid w:val="00B804ED"/>
    <w:rsid w:val="00B80986"/>
    <w:rsid w:val="00B80A49"/>
    <w:rsid w:val="00B80C57"/>
    <w:rsid w:val="00B80D2B"/>
    <w:rsid w:val="00B8112C"/>
    <w:rsid w:val="00B811B9"/>
    <w:rsid w:val="00B81343"/>
    <w:rsid w:val="00B81BDE"/>
    <w:rsid w:val="00B81E33"/>
    <w:rsid w:val="00B823CE"/>
    <w:rsid w:val="00B82642"/>
    <w:rsid w:val="00B828EA"/>
    <w:rsid w:val="00B82983"/>
    <w:rsid w:val="00B83947"/>
    <w:rsid w:val="00B83F9C"/>
    <w:rsid w:val="00B84749"/>
    <w:rsid w:val="00B84F14"/>
    <w:rsid w:val="00B85202"/>
    <w:rsid w:val="00B85227"/>
    <w:rsid w:val="00B856F7"/>
    <w:rsid w:val="00B85700"/>
    <w:rsid w:val="00B85808"/>
    <w:rsid w:val="00B85879"/>
    <w:rsid w:val="00B858BC"/>
    <w:rsid w:val="00B86E27"/>
    <w:rsid w:val="00B870C3"/>
    <w:rsid w:val="00B902DC"/>
    <w:rsid w:val="00B9065F"/>
    <w:rsid w:val="00B90A8B"/>
    <w:rsid w:val="00B91058"/>
    <w:rsid w:val="00B91280"/>
    <w:rsid w:val="00B913F6"/>
    <w:rsid w:val="00B91687"/>
    <w:rsid w:val="00B91AEA"/>
    <w:rsid w:val="00B91F33"/>
    <w:rsid w:val="00B922A8"/>
    <w:rsid w:val="00B92522"/>
    <w:rsid w:val="00B929FA"/>
    <w:rsid w:val="00B92FDE"/>
    <w:rsid w:val="00B931BD"/>
    <w:rsid w:val="00B935EC"/>
    <w:rsid w:val="00B93604"/>
    <w:rsid w:val="00B9368A"/>
    <w:rsid w:val="00B93CA6"/>
    <w:rsid w:val="00B93D10"/>
    <w:rsid w:val="00B943F2"/>
    <w:rsid w:val="00B94661"/>
    <w:rsid w:val="00B9476D"/>
    <w:rsid w:val="00B94AA2"/>
    <w:rsid w:val="00B94B25"/>
    <w:rsid w:val="00B94C04"/>
    <w:rsid w:val="00B94CE7"/>
    <w:rsid w:val="00B94E56"/>
    <w:rsid w:val="00B94F75"/>
    <w:rsid w:val="00B94FE8"/>
    <w:rsid w:val="00B95327"/>
    <w:rsid w:val="00B959D4"/>
    <w:rsid w:val="00B95B2E"/>
    <w:rsid w:val="00B95DFB"/>
    <w:rsid w:val="00B95EAE"/>
    <w:rsid w:val="00B96088"/>
    <w:rsid w:val="00B9693E"/>
    <w:rsid w:val="00B96C30"/>
    <w:rsid w:val="00B96D4C"/>
    <w:rsid w:val="00B96F22"/>
    <w:rsid w:val="00B96FF0"/>
    <w:rsid w:val="00B972F8"/>
    <w:rsid w:val="00B97504"/>
    <w:rsid w:val="00B976E3"/>
    <w:rsid w:val="00B97829"/>
    <w:rsid w:val="00B97C93"/>
    <w:rsid w:val="00B97D91"/>
    <w:rsid w:val="00B97E65"/>
    <w:rsid w:val="00B97F19"/>
    <w:rsid w:val="00BA0286"/>
    <w:rsid w:val="00BA059E"/>
    <w:rsid w:val="00BA0785"/>
    <w:rsid w:val="00BA13DC"/>
    <w:rsid w:val="00BA15EC"/>
    <w:rsid w:val="00BA1813"/>
    <w:rsid w:val="00BA1849"/>
    <w:rsid w:val="00BA1EE8"/>
    <w:rsid w:val="00BA1F65"/>
    <w:rsid w:val="00BA20BF"/>
    <w:rsid w:val="00BA232E"/>
    <w:rsid w:val="00BA2538"/>
    <w:rsid w:val="00BA2E6D"/>
    <w:rsid w:val="00BA3221"/>
    <w:rsid w:val="00BA3297"/>
    <w:rsid w:val="00BA34C2"/>
    <w:rsid w:val="00BA3AF4"/>
    <w:rsid w:val="00BA3C83"/>
    <w:rsid w:val="00BA40E4"/>
    <w:rsid w:val="00BA42C9"/>
    <w:rsid w:val="00BA44BF"/>
    <w:rsid w:val="00BA4551"/>
    <w:rsid w:val="00BA4A36"/>
    <w:rsid w:val="00BA527A"/>
    <w:rsid w:val="00BA53A2"/>
    <w:rsid w:val="00BA556D"/>
    <w:rsid w:val="00BA5635"/>
    <w:rsid w:val="00BA56BD"/>
    <w:rsid w:val="00BA5F08"/>
    <w:rsid w:val="00BA60A5"/>
    <w:rsid w:val="00BA693D"/>
    <w:rsid w:val="00BA69E2"/>
    <w:rsid w:val="00BA6A1A"/>
    <w:rsid w:val="00BA6C89"/>
    <w:rsid w:val="00BA729C"/>
    <w:rsid w:val="00BA7847"/>
    <w:rsid w:val="00BA7986"/>
    <w:rsid w:val="00BA79ED"/>
    <w:rsid w:val="00BA7C37"/>
    <w:rsid w:val="00BA7ECD"/>
    <w:rsid w:val="00BB00E9"/>
    <w:rsid w:val="00BB02A4"/>
    <w:rsid w:val="00BB02B9"/>
    <w:rsid w:val="00BB042B"/>
    <w:rsid w:val="00BB07AC"/>
    <w:rsid w:val="00BB0AAD"/>
    <w:rsid w:val="00BB0BFC"/>
    <w:rsid w:val="00BB0C28"/>
    <w:rsid w:val="00BB0D84"/>
    <w:rsid w:val="00BB0E0C"/>
    <w:rsid w:val="00BB19C8"/>
    <w:rsid w:val="00BB1F22"/>
    <w:rsid w:val="00BB212F"/>
    <w:rsid w:val="00BB2713"/>
    <w:rsid w:val="00BB283C"/>
    <w:rsid w:val="00BB2960"/>
    <w:rsid w:val="00BB296C"/>
    <w:rsid w:val="00BB3792"/>
    <w:rsid w:val="00BB3AA0"/>
    <w:rsid w:val="00BB4A1F"/>
    <w:rsid w:val="00BB5B19"/>
    <w:rsid w:val="00BB5E24"/>
    <w:rsid w:val="00BB65BD"/>
    <w:rsid w:val="00BB6DBD"/>
    <w:rsid w:val="00BB739E"/>
    <w:rsid w:val="00BB7B2F"/>
    <w:rsid w:val="00BC016C"/>
    <w:rsid w:val="00BC06E4"/>
    <w:rsid w:val="00BC076D"/>
    <w:rsid w:val="00BC077A"/>
    <w:rsid w:val="00BC098F"/>
    <w:rsid w:val="00BC0D9C"/>
    <w:rsid w:val="00BC1165"/>
    <w:rsid w:val="00BC16B8"/>
    <w:rsid w:val="00BC17AE"/>
    <w:rsid w:val="00BC196C"/>
    <w:rsid w:val="00BC1BBC"/>
    <w:rsid w:val="00BC1D81"/>
    <w:rsid w:val="00BC2976"/>
    <w:rsid w:val="00BC2A5A"/>
    <w:rsid w:val="00BC2BBA"/>
    <w:rsid w:val="00BC3001"/>
    <w:rsid w:val="00BC3570"/>
    <w:rsid w:val="00BC35B1"/>
    <w:rsid w:val="00BC3627"/>
    <w:rsid w:val="00BC3984"/>
    <w:rsid w:val="00BC3B5D"/>
    <w:rsid w:val="00BC413D"/>
    <w:rsid w:val="00BC4643"/>
    <w:rsid w:val="00BC477F"/>
    <w:rsid w:val="00BC49A9"/>
    <w:rsid w:val="00BC4B57"/>
    <w:rsid w:val="00BC4BB3"/>
    <w:rsid w:val="00BC4F13"/>
    <w:rsid w:val="00BC4F71"/>
    <w:rsid w:val="00BC5039"/>
    <w:rsid w:val="00BC5626"/>
    <w:rsid w:val="00BC563E"/>
    <w:rsid w:val="00BC597A"/>
    <w:rsid w:val="00BC612A"/>
    <w:rsid w:val="00BC6310"/>
    <w:rsid w:val="00BC64FC"/>
    <w:rsid w:val="00BC6E4D"/>
    <w:rsid w:val="00BC7147"/>
    <w:rsid w:val="00BC72D2"/>
    <w:rsid w:val="00BC744D"/>
    <w:rsid w:val="00BC7796"/>
    <w:rsid w:val="00BC77DA"/>
    <w:rsid w:val="00BC7AEB"/>
    <w:rsid w:val="00BC7E52"/>
    <w:rsid w:val="00BC7ED9"/>
    <w:rsid w:val="00BC7F75"/>
    <w:rsid w:val="00BD02A5"/>
    <w:rsid w:val="00BD036D"/>
    <w:rsid w:val="00BD03E5"/>
    <w:rsid w:val="00BD0772"/>
    <w:rsid w:val="00BD0B2F"/>
    <w:rsid w:val="00BD16B3"/>
    <w:rsid w:val="00BD16E0"/>
    <w:rsid w:val="00BD18F0"/>
    <w:rsid w:val="00BD1AD6"/>
    <w:rsid w:val="00BD1DA0"/>
    <w:rsid w:val="00BD1E83"/>
    <w:rsid w:val="00BD1F37"/>
    <w:rsid w:val="00BD280F"/>
    <w:rsid w:val="00BD30B3"/>
    <w:rsid w:val="00BD33A1"/>
    <w:rsid w:val="00BD3BB0"/>
    <w:rsid w:val="00BD3C70"/>
    <w:rsid w:val="00BD40DF"/>
    <w:rsid w:val="00BD4190"/>
    <w:rsid w:val="00BD4302"/>
    <w:rsid w:val="00BD481D"/>
    <w:rsid w:val="00BD492A"/>
    <w:rsid w:val="00BD4CE5"/>
    <w:rsid w:val="00BD5759"/>
    <w:rsid w:val="00BD5B85"/>
    <w:rsid w:val="00BD6466"/>
    <w:rsid w:val="00BD6598"/>
    <w:rsid w:val="00BD6E14"/>
    <w:rsid w:val="00BD7E21"/>
    <w:rsid w:val="00BE06D8"/>
    <w:rsid w:val="00BE0901"/>
    <w:rsid w:val="00BE0D6C"/>
    <w:rsid w:val="00BE0DEA"/>
    <w:rsid w:val="00BE0DF9"/>
    <w:rsid w:val="00BE0E05"/>
    <w:rsid w:val="00BE0F82"/>
    <w:rsid w:val="00BE126F"/>
    <w:rsid w:val="00BE14CF"/>
    <w:rsid w:val="00BE18D3"/>
    <w:rsid w:val="00BE1D0B"/>
    <w:rsid w:val="00BE1DAA"/>
    <w:rsid w:val="00BE1DCE"/>
    <w:rsid w:val="00BE1DD5"/>
    <w:rsid w:val="00BE20CF"/>
    <w:rsid w:val="00BE2296"/>
    <w:rsid w:val="00BE2578"/>
    <w:rsid w:val="00BE25EA"/>
    <w:rsid w:val="00BE284A"/>
    <w:rsid w:val="00BE2A41"/>
    <w:rsid w:val="00BE2CA5"/>
    <w:rsid w:val="00BE2FFB"/>
    <w:rsid w:val="00BE3069"/>
    <w:rsid w:val="00BE3110"/>
    <w:rsid w:val="00BE3304"/>
    <w:rsid w:val="00BE33F2"/>
    <w:rsid w:val="00BE3403"/>
    <w:rsid w:val="00BE3407"/>
    <w:rsid w:val="00BE3637"/>
    <w:rsid w:val="00BE3663"/>
    <w:rsid w:val="00BE381E"/>
    <w:rsid w:val="00BE396A"/>
    <w:rsid w:val="00BE42E5"/>
    <w:rsid w:val="00BE4626"/>
    <w:rsid w:val="00BE53AC"/>
    <w:rsid w:val="00BE54E3"/>
    <w:rsid w:val="00BE5733"/>
    <w:rsid w:val="00BE57EB"/>
    <w:rsid w:val="00BE5FA8"/>
    <w:rsid w:val="00BE62DE"/>
    <w:rsid w:val="00BE6426"/>
    <w:rsid w:val="00BE67F2"/>
    <w:rsid w:val="00BE6D3D"/>
    <w:rsid w:val="00BE6E38"/>
    <w:rsid w:val="00BE7375"/>
    <w:rsid w:val="00BE7440"/>
    <w:rsid w:val="00BE7801"/>
    <w:rsid w:val="00BE7B16"/>
    <w:rsid w:val="00BF00DA"/>
    <w:rsid w:val="00BF0179"/>
    <w:rsid w:val="00BF038E"/>
    <w:rsid w:val="00BF06A9"/>
    <w:rsid w:val="00BF0814"/>
    <w:rsid w:val="00BF0954"/>
    <w:rsid w:val="00BF0A71"/>
    <w:rsid w:val="00BF0BA9"/>
    <w:rsid w:val="00BF0D32"/>
    <w:rsid w:val="00BF1CC6"/>
    <w:rsid w:val="00BF20C2"/>
    <w:rsid w:val="00BF21B7"/>
    <w:rsid w:val="00BF22E0"/>
    <w:rsid w:val="00BF23F1"/>
    <w:rsid w:val="00BF23FC"/>
    <w:rsid w:val="00BF2AE0"/>
    <w:rsid w:val="00BF2E06"/>
    <w:rsid w:val="00BF3475"/>
    <w:rsid w:val="00BF3738"/>
    <w:rsid w:val="00BF395A"/>
    <w:rsid w:val="00BF3E6B"/>
    <w:rsid w:val="00BF40D2"/>
    <w:rsid w:val="00BF41FC"/>
    <w:rsid w:val="00BF4369"/>
    <w:rsid w:val="00BF450C"/>
    <w:rsid w:val="00BF486E"/>
    <w:rsid w:val="00BF48CE"/>
    <w:rsid w:val="00BF4AA3"/>
    <w:rsid w:val="00BF4BA6"/>
    <w:rsid w:val="00BF5A70"/>
    <w:rsid w:val="00BF605D"/>
    <w:rsid w:val="00BF6AE2"/>
    <w:rsid w:val="00BF70C3"/>
    <w:rsid w:val="00BF7D89"/>
    <w:rsid w:val="00BF7DFC"/>
    <w:rsid w:val="00BF7F5F"/>
    <w:rsid w:val="00C001EC"/>
    <w:rsid w:val="00C001ED"/>
    <w:rsid w:val="00C002E6"/>
    <w:rsid w:val="00C00349"/>
    <w:rsid w:val="00C003F9"/>
    <w:rsid w:val="00C0097F"/>
    <w:rsid w:val="00C00C85"/>
    <w:rsid w:val="00C00D8D"/>
    <w:rsid w:val="00C00EC5"/>
    <w:rsid w:val="00C01809"/>
    <w:rsid w:val="00C01B87"/>
    <w:rsid w:val="00C01CC4"/>
    <w:rsid w:val="00C0249A"/>
    <w:rsid w:val="00C02AA7"/>
    <w:rsid w:val="00C02AEE"/>
    <w:rsid w:val="00C02BAD"/>
    <w:rsid w:val="00C03363"/>
    <w:rsid w:val="00C0395E"/>
    <w:rsid w:val="00C03C45"/>
    <w:rsid w:val="00C03FAE"/>
    <w:rsid w:val="00C04768"/>
    <w:rsid w:val="00C04803"/>
    <w:rsid w:val="00C04ED8"/>
    <w:rsid w:val="00C05716"/>
    <w:rsid w:val="00C05B70"/>
    <w:rsid w:val="00C05F47"/>
    <w:rsid w:val="00C06840"/>
    <w:rsid w:val="00C06A7D"/>
    <w:rsid w:val="00C06DB4"/>
    <w:rsid w:val="00C07382"/>
    <w:rsid w:val="00C0785E"/>
    <w:rsid w:val="00C079C3"/>
    <w:rsid w:val="00C07EE0"/>
    <w:rsid w:val="00C1009C"/>
    <w:rsid w:val="00C10237"/>
    <w:rsid w:val="00C10262"/>
    <w:rsid w:val="00C1049E"/>
    <w:rsid w:val="00C10959"/>
    <w:rsid w:val="00C10DA0"/>
    <w:rsid w:val="00C10DF5"/>
    <w:rsid w:val="00C110D8"/>
    <w:rsid w:val="00C1128C"/>
    <w:rsid w:val="00C11886"/>
    <w:rsid w:val="00C11925"/>
    <w:rsid w:val="00C11A9B"/>
    <w:rsid w:val="00C11D1B"/>
    <w:rsid w:val="00C11E3A"/>
    <w:rsid w:val="00C12141"/>
    <w:rsid w:val="00C12731"/>
    <w:rsid w:val="00C12844"/>
    <w:rsid w:val="00C12BDC"/>
    <w:rsid w:val="00C12CFC"/>
    <w:rsid w:val="00C12F51"/>
    <w:rsid w:val="00C130D8"/>
    <w:rsid w:val="00C13246"/>
    <w:rsid w:val="00C13C0A"/>
    <w:rsid w:val="00C14077"/>
    <w:rsid w:val="00C14832"/>
    <w:rsid w:val="00C15028"/>
    <w:rsid w:val="00C150BF"/>
    <w:rsid w:val="00C151F2"/>
    <w:rsid w:val="00C15DDF"/>
    <w:rsid w:val="00C15FBE"/>
    <w:rsid w:val="00C16279"/>
    <w:rsid w:val="00C164C0"/>
    <w:rsid w:val="00C16A2B"/>
    <w:rsid w:val="00C16C1B"/>
    <w:rsid w:val="00C16E10"/>
    <w:rsid w:val="00C171FF"/>
    <w:rsid w:val="00C174FD"/>
    <w:rsid w:val="00C1757E"/>
    <w:rsid w:val="00C17909"/>
    <w:rsid w:val="00C17C2E"/>
    <w:rsid w:val="00C17FC3"/>
    <w:rsid w:val="00C20456"/>
    <w:rsid w:val="00C204F4"/>
    <w:rsid w:val="00C208C1"/>
    <w:rsid w:val="00C20F52"/>
    <w:rsid w:val="00C2137D"/>
    <w:rsid w:val="00C213D6"/>
    <w:rsid w:val="00C21B1F"/>
    <w:rsid w:val="00C21B76"/>
    <w:rsid w:val="00C2208E"/>
    <w:rsid w:val="00C225A8"/>
    <w:rsid w:val="00C22790"/>
    <w:rsid w:val="00C22840"/>
    <w:rsid w:val="00C228D0"/>
    <w:rsid w:val="00C22B8B"/>
    <w:rsid w:val="00C22BF1"/>
    <w:rsid w:val="00C23455"/>
    <w:rsid w:val="00C23867"/>
    <w:rsid w:val="00C23DB2"/>
    <w:rsid w:val="00C2466B"/>
    <w:rsid w:val="00C246C1"/>
    <w:rsid w:val="00C246D2"/>
    <w:rsid w:val="00C24A70"/>
    <w:rsid w:val="00C24B70"/>
    <w:rsid w:val="00C24CF9"/>
    <w:rsid w:val="00C24F49"/>
    <w:rsid w:val="00C25117"/>
    <w:rsid w:val="00C25164"/>
    <w:rsid w:val="00C25330"/>
    <w:rsid w:val="00C25D0E"/>
    <w:rsid w:val="00C25F6E"/>
    <w:rsid w:val="00C261E2"/>
    <w:rsid w:val="00C2650E"/>
    <w:rsid w:val="00C26547"/>
    <w:rsid w:val="00C27104"/>
    <w:rsid w:val="00C27123"/>
    <w:rsid w:val="00C27D54"/>
    <w:rsid w:val="00C27F8B"/>
    <w:rsid w:val="00C27FA7"/>
    <w:rsid w:val="00C30391"/>
    <w:rsid w:val="00C3073D"/>
    <w:rsid w:val="00C308A8"/>
    <w:rsid w:val="00C30C84"/>
    <w:rsid w:val="00C30CCF"/>
    <w:rsid w:val="00C312B9"/>
    <w:rsid w:val="00C3143A"/>
    <w:rsid w:val="00C31D83"/>
    <w:rsid w:val="00C32894"/>
    <w:rsid w:val="00C32969"/>
    <w:rsid w:val="00C3296F"/>
    <w:rsid w:val="00C329A4"/>
    <w:rsid w:val="00C32DD4"/>
    <w:rsid w:val="00C3367F"/>
    <w:rsid w:val="00C33AE8"/>
    <w:rsid w:val="00C33DE0"/>
    <w:rsid w:val="00C3423C"/>
    <w:rsid w:val="00C34610"/>
    <w:rsid w:val="00C3475E"/>
    <w:rsid w:val="00C347DC"/>
    <w:rsid w:val="00C3487E"/>
    <w:rsid w:val="00C348B3"/>
    <w:rsid w:val="00C34976"/>
    <w:rsid w:val="00C34996"/>
    <w:rsid w:val="00C34A61"/>
    <w:rsid w:val="00C35439"/>
    <w:rsid w:val="00C3563E"/>
    <w:rsid w:val="00C356F7"/>
    <w:rsid w:val="00C36081"/>
    <w:rsid w:val="00C36868"/>
    <w:rsid w:val="00C368BE"/>
    <w:rsid w:val="00C36BEC"/>
    <w:rsid w:val="00C36F79"/>
    <w:rsid w:val="00C370A7"/>
    <w:rsid w:val="00C377E2"/>
    <w:rsid w:val="00C37BE4"/>
    <w:rsid w:val="00C37DE5"/>
    <w:rsid w:val="00C40237"/>
    <w:rsid w:val="00C403A8"/>
    <w:rsid w:val="00C40BDE"/>
    <w:rsid w:val="00C40E60"/>
    <w:rsid w:val="00C40EB6"/>
    <w:rsid w:val="00C41159"/>
    <w:rsid w:val="00C414AD"/>
    <w:rsid w:val="00C418E0"/>
    <w:rsid w:val="00C419F8"/>
    <w:rsid w:val="00C41B84"/>
    <w:rsid w:val="00C41D2F"/>
    <w:rsid w:val="00C421A2"/>
    <w:rsid w:val="00C421A8"/>
    <w:rsid w:val="00C42335"/>
    <w:rsid w:val="00C42717"/>
    <w:rsid w:val="00C4280C"/>
    <w:rsid w:val="00C42BC7"/>
    <w:rsid w:val="00C42E05"/>
    <w:rsid w:val="00C43090"/>
    <w:rsid w:val="00C437E7"/>
    <w:rsid w:val="00C443A9"/>
    <w:rsid w:val="00C446CC"/>
    <w:rsid w:val="00C447AA"/>
    <w:rsid w:val="00C44A2D"/>
    <w:rsid w:val="00C4536A"/>
    <w:rsid w:val="00C45CC6"/>
    <w:rsid w:val="00C45CF2"/>
    <w:rsid w:val="00C46622"/>
    <w:rsid w:val="00C46629"/>
    <w:rsid w:val="00C467FB"/>
    <w:rsid w:val="00C46849"/>
    <w:rsid w:val="00C46851"/>
    <w:rsid w:val="00C4696D"/>
    <w:rsid w:val="00C471ED"/>
    <w:rsid w:val="00C47E6D"/>
    <w:rsid w:val="00C500A7"/>
    <w:rsid w:val="00C501FA"/>
    <w:rsid w:val="00C502EE"/>
    <w:rsid w:val="00C505CB"/>
    <w:rsid w:val="00C50746"/>
    <w:rsid w:val="00C507B7"/>
    <w:rsid w:val="00C50810"/>
    <w:rsid w:val="00C5086A"/>
    <w:rsid w:val="00C50DB8"/>
    <w:rsid w:val="00C50EF2"/>
    <w:rsid w:val="00C511CF"/>
    <w:rsid w:val="00C511FC"/>
    <w:rsid w:val="00C5150A"/>
    <w:rsid w:val="00C52055"/>
    <w:rsid w:val="00C52222"/>
    <w:rsid w:val="00C5226E"/>
    <w:rsid w:val="00C52583"/>
    <w:rsid w:val="00C52647"/>
    <w:rsid w:val="00C52873"/>
    <w:rsid w:val="00C528B7"/>
    <w:rsid w:val="00C52C58"/>
    <w:rsid w:val="00C52F96"/>
    <w:rsid w:val="00C53946"/>
    <w:rsid w:val="00C54214"/>
    <w:rsid w:val="00C5424A"/>
    <w:rsid w:val="00C54360"/>
    <w:rsid w:val="00C54A57"/>
    <w:rsid w:val="00C54D29"/>
    <w:rsid w:val="00C54EAA"/>
    <w:rsid w:val="00C55118"/>
    <w:rsid w:val="00C55677"/>
    <w:rsid w:val="00C561AE"/>
    <w:rsid w:val="00C56360"/>
    <w:rsid w:val="00C56568"/>
    <w:rsid w:val="00C56AE8"/>
    <w:rsid w:val="00C56C65"/>
    <w:rsid w:val="00C570DA"/>
    <w:rsid w:val="00C57216"/>
    <w:rsid w:val="00C6076A"/>
    <w:rsid w:val="00C60B1B"/>
    <w:rsid w:val="00C60D9C"/>
    <w:rsid w:val="00C611F8"/>
    <w:rsid w:val="00C61480"/>
    <w:rsid w:val="00C62575"/>
    <w:rsid w:val="00C625BD"/>
    <w:rsid w:val="00C6279D"/>
    <w:rsid w:val="00C62834"/>
    <w:rsid w:val="00C6288B"/>
    <w:rsid w:val="00C62906"/>
    <w:rsid w:val="00C629ED"/>
    <w:rsid w:val="00C62D75"/>
    <w:rsid w:val="00C62DBB"/>
    <w:rsid w:val="00C637F3"/>
    <w:rsid w:val="00C63894"/>
    <w:rsid w:val="00C63F41"/>
    <w:rsid w:val="00C64182"/>
    <w:rsid w:val="00C64215"/>
    <w:rsid w:val="00C643F1"/>
    <w:rsid w:val="00C645CE"/>
    <w:rsid w:val="00C649D8"/>
    <w:rsid w:val="00C649E6"/>
    <w:rsid w:val="00C6512B"/>
    <w:rsid w:val="00C65130"/>
    <w:rsid w:val="00C6534A"/>
    <w:rsid w:val="00C65B07"/>
    <w:rsid w:val="00C65C86"/>
    <w:rsid w:val="00C65F02"/>
    <w:rsid w:val="00C660D5"/>
    <w:rsid w:val="00C663AC"/>
    <w:rsid w:val="00C664C3"/>
    <w:rsid w:val="00C66B9D"/>
    <w:rsid w:val="00C6712B"/>
    <w:rsid w:val="00C6768B"/>
    <w:rsid w:val="00C679EF"/>
    <w:rsid w:val="00C70037"/>
    <w:rsid w:val="00C701F4"/>
    <w:rsid w:val="00C712BF"/>
    <w:rsid w:val="00C71362"/>
    <w:rsid w:val="00C71451"/>
    <w:rsid w:val="00C71483"/>
    <w:rsid w:val="00C714E6"/>
    <w:rsid w:val="00C714F3"/>
    <w:rsid w:val="00C71E4A"/>
    <w:rsid w:val="00C7232B"/>
    <w:rsid w:val="00C72647"/>
    <w:rsid w:val="00C72A08"/>
    <w:rsid w:val="00C72AB6"/>
    <w:rsid w:val="00C72F5B"/>
    <w:rsid w:val="00C7302D"/>
    <w:rsid w:val="00C7310E"/>
    <w:rsid w:val="00C73755"/>
    <w:rsid w:val="00C73832"/>
    <w:rsid w:val="00C73AB0"/>
    <w:rsid w:val="00C741CC"/>
    <w:rsid w:val="00C7424F"/>
    <w:rsid w:val="00C745BB"/>
    <w:rsid w:val="00C7473C"/>
    <w:rsid w:val="00C748B9"/>
    <w:rsid w:val="00C749AA"/>
    <w:rsid w:val="00C7505B"/>
    <w:rsid w:val="00C75299"/>
    <w:rsid w:val="00C75389"/>
    <w:rsid w:val="00C75853"/>
    <w:rsid w:val="00C75AA0"/>
    <w:rsid w:val="00C75DFB"/>
    <w:rsid w:val="00C761D5"/>
    <w:rsid w:val="00C765D4"/>
    <w:rsid w:val="00C76F14"/>
    <w:rsid w:val="00C775F0"/>
    <w:rsid w:val="00C776C8"/>
    <w:rsid w:val="00C77AFC"/>
    <w:rsid w:val="00C77B4E"/>
    <w:rsid w:val="00C77C4C"/>
    <w:rsid w:val="00C77DC5"/>
    <w:rsid w:val="00C8008D"/>
    <w:rsid w:val="00C801AB"/>
    <w:rsid w:val="00C803B9"/>
    <w:rsid w:val="00C805B9"/>
    <w:rsid w:val="00C805BB"/>
    <w:rsid w:val="00C805C3"/>
    <w:rsid w:val="00C806D4"/>
    <w:rsid w:val="00C807C0"/>
    <w:rsid w:val="00C8106D"/>
    <w:rsid w:val="00C8127E"/>
    <w:rsid w:val="00C813C5"/>
    <w:rsid w:val="00C81E1D"/>
    <w:rsid w:val="00C830F2"/>
    <w:rsid w:val="00C83656"/>
    <w:rsid w:val="00C83702"/>
    <w:rsid w:val="00C83835"/>
    <w:rsid w:val="00C83876"/>
    <w:rsid w:val="00C83D29"/>
    <w:rsid w:val="00C83E68"/>
    <w:rsid w:val="00C848B1"/>
    <w:rsid w:val="00C848F5"/>
    <w:rsid w:val="00C84D99"/>
    <w:rsid w:val="00C850DF"/>
    <w:rsid w:val="00C851AF"/>
    <w:rsid w:val="00C852CC"/>
    <w:rsid w:val="00C853D8"/>
    <w:rsid w:val="00C85C02"/>
    <w:rsid w:val="00C85C61"/>
    <w:rsid w:val="00C86452"/>
    <w:rsid w:val="00C864F5"/>
    <w:rsid w:val="00C86664"/>
    <w:rsid w:val="00C86870"/>
    <w:rsid w:val="00C877C4"/>
    <w:rsid w:val="00C8786C"/>
    <w:rsid w:val="00C87887"/>
    <w:rsid w:val="00C87A19"/>
    <w:rsid w:val="00C87D85"/>
    <w:rsid w:val="00C902D9"/>
    <w:rsid w:val="00C9052F"/>
    <w:rsid w:val="00C9056D"/>
    <w:rsid w:val="00C905FF"/>
    <w:rsid w:val="00C90940"/>
    <w:rsid w:val="00C90C37"/>
    <w:rsid w:val="00C90C95"/>
    <w:rsid w:val="00C90C96"/>
    <w:rsid w:val="00C90CA2"/>
    <w:rsid w:val="00C90D08"/>
    <w:rsid w:val="00C918B5"/>
    <w:rsid w:val="00C91BAF"/>
    <w:rsid w:val="00C91EEC"/>
    <w:rsid w:val="00C923BD"/>
    <w:rsid w:val="00C92767"/>
    <w:rsid w:val="00C92E96"/>
    <w:rsid w:val="00C92F6A"/>
    <w:rsid w:val="00C93027"/>
    <w:rsid w:val="00C930BB"/>
    <w:rsid w:val="00C931D0"/>
    <w:rsid w:val="00C93407"/>
    <w:rsid w:val="00C934BF"/>
    <w:rsid w:val="00C936B1"/>
    <w:rsid w:val="00C936C1"/>
    <w:rsid w:val="00C94B1D"/>
    <w:rsid w:val="00C94CBA"/>
    <w:rsid w:val="00C94D4D"/>
    <w:rsid w:val="00C958C6"/>
    <w:rsid w:val="00C95BC7"/>
    <w:rsid w:val="00C95F5B"/>
    <w:rsid w:val="00C95FD3"/>
    <w:rsid w:val="00C960A3"/>
    <w:rsid w:val="00C96295"/>
    <w:rsid w:val="00C96950"/>
    <w:rsid w:val="00C96A2D"/>
    <w:rsid w:val="00C96C77"/>
    <w:rsid w:val="00C97690"/>
    <w:rsid w:val="00C97695"/>
    <w:rsid w:val="00C976AD"/>
    <w:rsid w:val="00C977AE"/>
    <w:rsid w:val="00C97F04"/>
    <w:rsid w:val="00C97F60"/>
    <w:rsid w:val="00CA04F8"/>
    <w:rsid w:val="00CA0603"/>
    <w:rsid w:val="00CA06BA"/>
    <w:rsid w:val="00CA071E"/>
    <w:rsid w:val="00CA0C50"/>
    <w:rsid w:val="00CA0EF4"/>
    <w:rsid w:val="00CA1635"/>
    <w:rsid w:val="00CA188E"/>
    <w:rsid w:val="00CA1A7E"/>
    <w:rsid w:val="00CA1CE7"/>
    <w:rsid w:val="00CA1D8A"/>
    <w:rsid w:val="00CA1EAB"/>
    <w:rsid w:val="00CA2561"/>
    <w:rsid w:val="00CA27A5"/>
    <w:rsid w:val="00CA28AB"/>
    <w:rsid w:val="00CA2C13"/>
    <w:rsid w:val="00CA2D18"/>
    <w:rsid w:val="00CA3851"/>
    <w:rsid w:val="00CA40D1"/>
    <w:rsid w:val="00CA430C"/>
    <w:rsid w:val="00CA43EE"/>
    <w:rsid w:val="00CA45C8"/>
    <w:rsid w:val="00CA4D0E"/>
    <w:rsid w:val="00CA4F3E"/>
    <w:rsid w:val="00CA51EE"/>
    <w:rsid w:val="00CA52EC"/>
    <w:rsid w:val="00CA548F"/>
    <w:rsid w:val="00CA54DE"/>
    <w:rsid w:val="00CA55D4"/>
    <w:rsid w:val="00CA588E"/>
    <w:rsid w:val="00CA5C07"/>
    <w:rsid w:val="00CA5E7E"/>
    <w:rsid w:val="00CA602B"/>
    <w:rsid w:val="00CA603C"/>
    <w:rsid w:val="00CA618C"/>
    <w:rsid w:val="00CA6377"/>
    <w:rsid w:val="00CA6B6D"/>
    <w:rsid w:val="00CA6CB8"/>
    <w:rsid w:val="00CA6DEC"/>
    <w:rsid w:val="00CA723C"/>
    <w:rsid w:val="00CA7831"/>
    <w:rsid w:val="00CA7950"/>
    <w:rsid w:val="00CA79A5"/>
    <w:rsid w:val="00CB02B5"/>
    <w:rsid w:val="00CB080B"/>
    <w:rsid w:val="00CB0B59"/>
    <w:rsid w:val="00CB0F52"/>
    <w:rsid w:val="00CB1818"/>
    <w:rsid w:val="00CB199B"/>
    <w:rsid w:val="00CB1D1F"/>
    <w:rsid w:val="00CB2435"/>
    <w:rsid w:val="00CB246D"/>
    <w:rsid w:val="00CB2A71"/>
    <w:rsid w:val="00CB2AEB"/>
    <w:rsid w:val="00CB3007"/>
    <w:rsid w:val="00CB3114"/>
    <w:rsid w:val="00CB32A0"/>
    <w:rsid w:val="00CB3555"/>
    <w:rsid w:val="00CB3971"/>
    <w:rsid w:val="00CB3A84"/>
    <w:rsid w:val="00CB3CE9"/>
    <w:rsid w:val="00CB3E2E"/>
    <w:rsid w:val="00CB433D"/>
    <w:rsid w:val="00CB4CA8"/>
    <w:rsid w:val="00CB4EF9"/>
    <w:rsid w:val="00CB5001"/>
    <w:rsid w:val="00CB5306"/>
    <w:rsid w:val="00CB5331"/>
    <w:rsid w:val="00CB552D"/>
    <w:rsid w:val="00CB5760"/>
    <w:rsid w:val="00CB5E4A"/>
    <w:rsid w:val="00CB6318"/>
    <w:rsid w:val="00CB633B"/>
    <w:rsid w:val="00CB6365"/>
    <w:rsid w:val="00CB69BF"/>
    <w:rsid w:val="00CB6C46"/>
    <w:rsid w:val="00CB6F6C"/>
    <w:rsid w:val="00CB73E4"/>
    <w:rsid w:val="00CB7411"/>
    <w:rsid w:val="00CB7D32"/>
    <w:rsid w:val="00CB7EA4"/>
    <w:rsid w:val="00CB7EE9"/>
    <w:rsid w:val="00CC073F"/>
    <w:rsid w:val="00CC0773"/>
    <w:rsid w:val="00CC079F"/>
    <w:rsid w:val="00CC0CFE"/>
    <w:rsid w:val="00CC1237"/>
    <w:rsid w:val="00CC123B"/>
    <w:rsid w:val="00CC1574"/>
    <w:rsid w:val="00CC173B"/>
    <w:rsid w:val="00CC1811"/>
    <w:rsid w:val="00CC18FA"/>
    <w:rsid w:val="00CC1C1D"/>
    <w:rsid w:val="00CC1FF3"/>
    <w:rsid w:val="00CC2311"/>
    <w:rsid w:val="00CC245D"/>
    <w:rsid w:val="00CC28E2"/>
    <w:rsid w:val="00CC2E06"/>
    <w:rsid w:val="00CC3258"/>
    <w:rsid w:val="00CC3B3A"/>
    <w:rsid w:val="00CC41D7"/>
    <w:rsid w:val="00CC4354"/>
    <w:rsid w:val="00CC445F"/>
    <w:rsid w:val="00CC4523"/>
    <w:rsid w:val="00CC489E"/>
    <w:rsid w:val="00CC4CFE"/>
    <w:rsid w:val="00CC51A9"/>
    <w:rsid w:val="00CC52BE"/>
    <w:rsid w:val="00CC537B"/>
    <w:rsid w:val="00CC5544"/>
    <w:rsid w:val="00CC5618"/>
    <w:rsid w:val="00CC57F4"/>
    <w:rsid w:val="00CC5A5B"/>
    <w:rsid w:val="00CC606E"/>
    <w:rsid w:val="00CC6298"/>
    <w:rsid w:val="00CC677F"/>
    <w:rsid w:val="00CC68AA"/>
    <w:rsid w:val="00CC71DE"/>
    <w:rsid w:val="00CC7267"/>
    <w:rsid w:val="00CC77AC"/>
    <w:rsid w:val="00CC796F"/>
    <w:rsid w:val="00CC79D1"/>
    <w:rsid w:val="00CC7DD3"/>
    <w:rsid w:val="00CD0E30"/>
    <w:rsid w:val="00CD0F02"/>
    <w:rsid w:val="00CD1021"/>
    <w:rsid w:val="00CD13E3"/>
    <w:rsid w:val="00CD140A"/>
    <w:rsid w:val="00CD1950"/>
    <w:rsid w:val="00CD1C1C"/>
    <w:rsid w:val="00CD1C8F"/>
    <w:rsid w:val="00CD20AA"/>
    <w:rsid w:val="00CD23E9"/>
    <w:rsid w:val="00CD23FE"/>
    <w:rsid w:val="00CD24FD"/>
    <w:rsid w:val="00CD2AEC"/>
    <w:rsid w:val="00CD347A"/>
    <w:rsid w:val="00CD3516"/>
    <w:rsid w:val="00CD3573"/>
    <w:rsid w:val="00CD3683"/>
    <w:rsid w:val="00CD3733"/>
    <w:rsid w:val="00CD39CC"/>
    <w:rsid w:val="00CD4190"/>
    <w:rsid w:val="00CD47E4"/>
    <w:rsid w:val="00CD4867"/>
    <w:rsid w:val="00CD499F"/>
    <w:rsid w:val="00CD4A6E"/>
    <w:rsid w:val="00CD52E9"/>
    <w:rsid w:val="00CD55B6"/>
    <w:rsid w:val="00CD5A6C"/>
    <w:rsid w:val="00CD5CD9"/>
    <w:rsid w:val="00CD5DB0"/>
    <w:rsid w:val="00CD6429"/>
    <w:rsid w:val="00CD6969"/>
    <w:rsid w:val="00CD6D7F"/>
    <w:rsid w:val="00CD72D3"/>
    <w:rsid w:val="00CD7425"/>
    <w:rsid w:val="00CD7728"/>
    <w:rsid w:val="00CD787C"/>
    <w:rsid w:val="00CD7921"/>
    <w:rsid w:val="00CE0707"/>
    <w:rsid w:val="00CE0C57"/>
    <w:rsid w:val="00CE12BA"/>
    <w:rsid w:val="00CE1E52"/>
    <w:rsid w:val="00CE1EF6"/>
    <w:rsid w:val="00CE246C"/>
    <w:rsid w:val="00CE2C6E"/>
    <w:rsid w:val="00CE326A"/>
    <w:rsid w:val="00CE32FB"/>
    <w:rsid w:val="00CE343F"/>
    <w:rsid w:val="00CE3CF5"/>
    <w:rsid w:val="00CE3EE4"/>
    <w:rsid w:val="00CE426A"/>
    <w:rsid w:val="00CE42EE"/>
    <w:rsid w:val="00CE4A5B"/>
    <w:rsid w:val="00CE4C11"/>
    <w:rsid w:val="00CE4D37"/>
    <w:rsid w:val="00CE4E27"/>
    <w:rsid w:val="00CE4FB5"/>
    <w:rsid w:val="00CE500E"/>
    <w:rsid w:val="00CE55E8"/>
    <w:rsid w:val="00CE5B58"/>
    <w:rsid w:val="00CE5D3A"/>
    <w:rsid w:val="00CE5EE0"/>
    <w:rsid w:val="00CE6370"/>
    <w:rsid w:val="00CE6409"/>
    <w:rsid w:val="00CE6637"/>
    <w:rsid w:val="00CE6653"/>
    <w:rsid w:val="00CE6845"/>
    <w:rsid w:val="00CE6BCC"/>
    <w:rsid w:val="00CE6CF1"/>
    <w:rsid w:val="00CE6E09"/>
    <w:rsid w:val="00CE6F3E"/>
    <w:rsid w:val="00CE72ED"/>
    <w:rsid w:val="00CE7693"/>
    <w:rsid w:val="00CE78DC"/>
    <w:rsid w:val="00CE7960"/>
    <w:rsid w:val="00CE7B38"/>
    <w:rsid w:val="00CE7DF6"/>
    <w:rsid w:val="00CF00F2"/>
    <w:rsid w:val="00CF028C"/>
    <w:rsid w:val="00CF0613"/>
    <w:rsid w:val="00CF0682"/>
    <w:rsid w:val="00CF0AEE"/>
    <w:rsid w:val="00CF10F3"/>
    <w:rsid w:val="00CF138F"/>
    <w:rsid w:val="00CF1913"/>
    <w:rsid w:val="00CF1AB9"/>
    <w:rsid w:val="00CF1E0F"/>
    <w:rsid w:val="00CF1ECA"/>
    <w:rsid w:val="00CF1F89"/>
    <w:rsid w:val="00CF210F"/>
    <w:rsid w:val="00CF2134"/>
    <w:rsid w:val="00CF2818"/>
    <w:rsid w:val="00CF2A4E"/>
    <w:rsid w:val="00CF2AED"/>
    <w:rsid w:val="00CF2D0B"/>
    <w:rsid w:val="00CF2E51"/>
    <w:rsid w:val="00CF2E7C"/>
    <w:rsid w:val="00CF2F12"/>
    <w:rsid w:val="00CF31D4"/>
    <w:rsid w:val="00CF336C"/>
    <w:rsid w:val="00CF3F86"/>
    <w:rsid w:val="00CF3FEB"/>
    <w:rsid w:val="00CF4601"/>
    <w:rsid w:val="00CF476B"/>
    <w:rsid w:val="00CF47E4"/>
    <w:rsid w:val="00CF4BB9"/>
    <w:rsid w:val="00CF4F2A"/>
    <w:rsid w:val="00CF5372"/>
    <w:rsid w:val="00CF53B6"/>
    <w:rsid w:val="00CF557A"/>
    <w:rsid w:val="00CF5BFC"/>
    <w:rsid w:val="00CF5FE8"/>
    <w:rsid w:val="00CF67BA"/>
    <w:rsid w:val="00CF68E2"/>
    <w:rsid w:val="00CF7393"/>
    <w:rsid w:val="00CF750E"/>
    <w:rsid w:val="00CF7772"/>
    <w:rsid w:val="00CF77D6"/>
    <w:rsid w:val="00CF7B03"/>
    <w:rsid w:val="00CF7BD0"/>
    <w:rsid w:val="00CF7BDF"/>
    <w:rsid w:val="00CF7E68"/>
    <w:rsid w:val="00D004A5"/>
    <w:rsid w:val="00D00514"/>
    <w:rsid w:val="00D0069E"/>
    <w:rsid w:val="00D0088D"/>
    <w:rsid w:val="00D00A6E"/>
    <w:rsid w:val="00D00F33"/>
    <w:rsid w:val="00D012C0"/>
    <w:rsid w:val="00D01E95"/>
    <w:rsid w:val="00D01FCE"/>
    <w:rsid w:val="00D026A0"/>
    <w:rsid w:val="00D02C13"/>
    <w:rsid w:val="00D02E13"/>
    <w:rsid w:val="00D0307A"/>
    <w:rsid w:val="00D03349"/>
    <w:rsid w:val="00D0378D"/>
    <w:rsid w:val="00D03A5F"/>
    <w:rsid w:val="00D0447D"/>
    <w:rsid w:val="00D04677"/>
    <w:rsid w:val="00D04682"/>
    <w:rsid w:val="00D049E2"/>
    <w:rsid w:val="00D04A53"/>
    <w:rsid w:val="00D04EE5"/>
    <w:rsid w:val="00D05859"/>
    <w:rsid w:val="00D05AC5"/>
    <w:rsid w:val="00D05BF8"/>
    <w:rsid w:val="00D05F97"/>
    <w:rsid w:val="00D06203"/>
    <w:rsid w:val="00D06253"/>
    <w:rsid w:val="00D06E7D"/>
    <w:rsid w:val="00D06F7B"/>
    <w:rsid w:val="00D06F8E"/>
    <w:rsid w:val="00D0719E"/>
    <w:rsid w:val="00D07620"/>
    <w:rsid w:val="00D07634"/>
    <w:rsid w:val="00D079BF"/>
    <w:rsid w:val="00D07D36"/>
    <w:rsid w:val="00D10135"/>
    <w:rsid w:val="00D10152"/>
    <w:rsid w:val="00D101AC"/>
    <w:rsid w:val="00D103A3"/>
    <w:rsid w:val="00D10636"/>
    <w:rsid w:val="00D1099B"/>
    <w:rsid w:val="00D11279"/>
    <w:rsid w:val="00D11574"/>
    <w:rsid w:val="00D11786"/>
    <w:rsid w:val="00D11BB5"/>
    <w:rsid w:val="00D1216B"/>
    <w:rsid w:val="00D1295B"/>
    <w:rsid w:val="00D129FA"/>
    <w:rsid w:val="00D12A63"/>
    <w:rsid w:val="00D12D35"/>
    <w:rsid w:val="00D12D4B"/>
    <w:rsid w:val="00D12EE5"/>
    <w:rsid w:val="00D12FE8"/>
    <w:rsid w:val="00D13129"/>
    <w:rsid w:val="00D13D06"/>
    <w:rsid w:val="00D13D44"/>
    <w:rsid w:val="00D14427"/>
    <w:rsid w:val="00D14E9C"/>
    <w:rsid w:val="00D14ED5"/>
    <w:rsid w:val="00D15009"/>
    <w:rsid w:val="00D153E0"/>
    <w:rsid w:val="00D1545A"/>
    <w:rsid w:val="00D155AF"/>
    <w:rsid w:val="00D15802"/>
    <w:rsid w:val="00D15A37"/>
    <w:rsid w:val="00D15D9E"/>
    <w:rsid w:val="00D160DE"/>
    <w:rsid w:val="00D16156"/>
    <w:rsid w:val="00D162EC"/>
    <w:rsid w:val="00D16519"/>
    <w:rsid w:val="00D1693A"/>
    <w:rsid w:val="00D16A2C"/>
    <w:rsid w:val="00D17286"/>
    <w:rsid w:val="00D172C3"/>
    <w:rsid w:val="00D1743A"/>
    <w:rsid w:val="00D1781C"/>
    <w:rsid w:val="00D1785F"/>
    <w:rsid w:val="00D201F9"/>
    <w:rsid w:val="00D20409"/>
    <w:rsid w:val="00D204EB"/>
    <w:rsid w:val="00D206BA"/>
    <w:rsid w:val="00D20844"/>
    <w:rsid w:val="00D20CA4"/>
    <w:rsid w:val="00D210F0"/>
    <w:rsid w:val="00D214F6"/>
    <w:rsid w:val="00D217EA"/>
    <w:rsid w:val="00D21B96"/>
    <w:rsid w:val="00D21C43"/>
    <w:rsid w:val="00D21CDB"/>
    <w:rsid w:val="00D21DC6"/>
    <w:rsid w:val="00D21ECC"/>
    <w:rsid w:val="00D2213D"/>
    <w:rsid w:val="00D22164"/>
    <w:rsid w:val="00D22364"/>
    <w:rsid w:val="00D2245D"/>
    <w:rsid w:val="00D22913"/>
    <w:rsid w:val="00D22D05"/>
    <w:rsid w:val="00D22DE2"/>
    <w:rsid w:val="00D23885"/>
    <w:rsid w:val="00D23943"/>
    <w:rsid w:val="00D23A79"/>
    <w:rsid w:val="00D23FCF"/>
    <w:rsid w:val="00D24441"/>
    <w:rsid w:val="00D247B2"/>
    <w:rsid w:val="00D249CA"/>
    <w:rsid w:val="00D24C32"/>
    <w:rsid w:val="00D24D6A"/>
    <w:rsid w:val="00D24E73"/>
    <w:rsid w:val="00D25B2D"/>
    <w:rsid w:val="00D264EF"/>
    <w:rsid w:val="00D26940"/>
    <w:rsid w:val="00D26C3D"/>
    <w:rsid w:val="00D2710E"/>
    <w:rsid w:val="00D2735D"/>
    <w:rsid w:val="00D27B14"/>
    <w:rsid w:val="00D27D57"/>
    <w:rsid w:val="00D27EB8"/>
    <w:rsid w:val="00D27FA4"/>
    <w:rsid w:val="00D30066"/>
    <w:rsid w:val="00D312EC"/>
    <w:rsid w:val="00D31916"/>
    <w:rsid w:val="00D32077"/>
    <w:rsid w:val="00D323F1"/>
    <w:rsid w:val="00D33240"/>
    <w:rsid w:val="00D333A7"/>
    <w:rsid w:val="00D33661"/>
    <w:rsid w:val="00D339A3"/>
    <w:rsid w:val="00D34034"/>
    <w:rsid w:val="00D34052"/>
    <w:rsid w:val="00D343A1"/>
    <w:rsid w:val="00D347B4"/>
    <w:rsid w:val="00D34F0B"/>
    <w:rsid w:val="00D353AE"/>
    <w:rsid w:val="00D35C98"/>
    <w:rsid w:val="00D35E3C"/>
    <w:rsid w:val="00D360DA"/>
    <w:rsid w:val="00D36446"/>
    <w:rsid w:val="00D368D7"/>
    <w:rsid w:val="00D36B32"/>
    <w:rsid w:val="00D372EE"/>
    <w:rsid w:val="00D378BF"/>
    <w:rsid w:val="00D379D5"/>
    <w:rsid w:val="00D37A50"/>
    <w:rsid w:val="00D37A64"/>
    <w:rsid w:val="00D37FB6"/>
    <w:rsid w:val="00D40510"/>
    <w:rsid w:val="00D40747"/>
    <w:rsid w:val="00D40946"/>
    <w:rsid w:val="00D40C8E"/>
    <w:rsid w:val="00D40CFD"/>
    <w:rsid w:val="00D40D2E"/>
    <w:rsid w:val="00D41857"/>
    <w:rsid w:val="00D41A1C"/>
    <w:rsid w:val="00D41C62"/>
    <w:rsid w:val="00D42C38"/>
    <w:rsid w:val="00D4305C"/>
    <w:rsid w:val="00D4318C"/>
    <w:rsid w:val="00D43847"/>
    <w:rsid w:val="00D43956"/>
    <w:rsid w:val="00D43BE5"/>
    <w:rsid w:val="00D43C71"/>
    <w:rsid w:val="00D43D4F"/>
    <w:rsid w:val="00D43FD6"/>
    <w:rsid w:val="00D440DA"/>
    <w:rsid w:val="00D4478E"/>
    <w:rsid w:val="00D44D42"/>
    <w:rsid w:val="00D44E29"/>
    <w:rsid w:val="00D44F2B"/>
    <w:rsid w:val="00D44F64"/>
    <w:rsid w:val="00D45148"/>
    <w:rsid w:val="00D45166"/>
    <w:rsid w:val="00D451A5"/>
    <w:rsid w:val="00D45555"/>
    <w:rsid w:val="00D45651"/>
    <w:rsid w:val="00D45ADF"/>
    <w:rsid w:val="00D45C15"/>
    <w:rsid w:val="00D46033"/>
    <w:rsid w:val="00D46091"/>
    <w:rsid w:val="00D46199"/>
    <w:rsid w:val="00D4652D"/>
    <w:rsid w:val="00D468E3"/>
    <w:rsid w:val="00D46D47"/>
    <w:rsid w:val="00D47055"/>
    <w:rsid w:val="00D4793F"/>
    <w:rsid w:val="00D47B6A"/>
    <w:rsid w:val="00D47BAF"/>
    <w:rsid w:val="00D50019"/>
    <w:rsid w:val="00D50779"/>
    <w:rsid w:val="00D5095D"/>
    <w:rsid w:val="00D50CB0"/>
    <w:rsid w:val="00D50DF1"/>
    <w:rsid w:val="00D5115D"/>
    <w:rsid w:val="00D51260"/>
    <w:rsid w:val="00D5172D"/>
    <w:rsid w:val="00D517D3"/>
    <w:rsid w:val="00D5186C"/>
    <w:rsid w:val="00D519E8"/>
    <w:rsid w:val="00D51A30"/>
    <w:rsid w:val="00D51DC8"/>
    <w:rsid w:val="00D520AA"/>
    <w:rsid w:val="00D52600"/>
    <w:rsid w:val="00D529F8"/>
    <w:rsid w:val="00D52DF2"/>
    <w:rsid w:val="00D52E2A"/>
    <w:rsid w:val="00D52E92"/>
    <w:rsid w:val="00D5338C"/>
    <w:rsid w:val="00D53B95"/>
    <w:rsid w:val="00D54727"/>
    <w:rsid w:val="00D54B2D"/>
    <w:rsid w:val="00D54C21"/>
    <w:rsid w:val="00D54C68"/>
    <w:rsid w:val="00D54E90"/>
    <w:rsid w:val="00D5528D"/>
    <w:rsid w:val="00D5621F"/>
    <w:rsid w:val="00D564CE"/>
    <w:rsid w:val="00D5669F"/>
    <w:rsid w:val="00D567BC"/>
    <w:rsid w:val="00D56A19"/>
    <w:rsid w:val="00D56B70"/>
    <w:rsid w:val="00D56C74"/>
    <w:rsid w:val="00D56CD9"/>
    <w:rsid w:val="00D56D28"/>
    <w:rsid w:val="00D56D33"/>
    <w:rsid w:val="00D5706D"/>
    <w:rsid w:val="00D57340"/>
    <w:rsid w:val="00D57900"/>
    <w:rsid w:val="00D57EEC"/>
    <w:rsid w:val="00D57F02"/>
    <w:rsid w:val="00D60646"/>
    <w:rsid w:val="00D6095E"/>
    <w:rsid w:val="00D60AC8"/>
    <w:rsid w:val="00D60B7D"/>
    <w:rsid w:val="00D60C68"/>
    <w:rsid w:val="00D60CB8"/>
    <w:rsid w:val="00D60E5B"/>
    <w:rsid w:val="00D612AD"/>
    <w:rsid w:val="00D6133A"/>
    <w:rsid w:val="00D613FC"/>
    <w:rsid w:val="00D6166D"/>
    <w:rsid w:val="00D61701"/>
    <w:rsid w:val="00D61F1F"/>
    <w:rsid w:val="00D61F54"/>
    <w:rsid w:val="00D624C8"/>
    <w:rsid w:val="00D62C3F"/>
    <w:rsid w:val="00D63515"/>
    <w:rsid w:val="00D6360C"/>
    <w:rsid w:val="00D63B4D"/>
    <w:rsid w:val="00D63F44"/>
    <w:rsid w:val="00D64A5C"/>
    <w:rsid w:val="00D64CF0"/>
    <w:rsid w:val="00D64D39"/>
    <w:rsid w:val="00D657AE"/>
    <w:rsid w:val="00D66222"/>
    <w:rsid w:val="00D662C0"/>
    <w:rsid w:val="00D66568"/>
    <w:rsid w:val="00D666D4"/>
    <w:rsid w:val="00D667FE"/>
    <w:rsid w:val="00D70074"/>
    <w:rsid w:val="00D700F5"/>
    <w:rsid w:val="00D702F4"/>
    <w:rsid w:val="00D70931"/>
    <w:rsid w:val="00D70EDA"/>
    <w:rsid w:val="00D71378"/>
    <w:rsid w:val="00D717A1"/>
    <w:rsid w:val="00D718BF"/>
    <w:rsid w:val="00D71AE1"/>
    <w:rsid w:val="00D71BF9"/>
    <w:rsid w:val="00D71EE6"/>
    <w:rsid w:val="00D7203F"/>
    <w:rsid w:val="00D7230E"/>
    <w:rsid w:val="00D72341"/>
    <w:rsid w:val="00D723F5"/>
    <w:rsid w:val="00D725A3"/>
    <w:rsid w:val="00D72903"/>
    <w:rsid w:val="00D72FAC"/>
    <w:rsid w:val="00D72FE3"/>
    <w:rsid w:val="00D73559"/>
    <w:rsid w:val="00D7377B"/>
    <w:rsid w:val="00D73939"/>
    <w:rsid w:val="00D73A5C"/>
    <w:rsid w:val="00D73AB2"/>
    <w:rsid w:val="00D73C19"/>
    <w:rsid w:val="00D73CEB"/>
    <w:rsid w:val="00D73D95"/>
    <w:rsid w:val="00D73FC5"/>
    <w:rsid w:val="00D7425E"/>
    <w:rsid w:val="00D7486A"/>
    <w:rsid w:val="00D7495A"/>
    <w:rsid w:val="00D74D44"/>
    <w:rsid w:val="00D74F4B"/>
    <w:rsid w:val="00D751D0"/>
    <w:rsid w:val="00D7522E"/>
    <w:rsid w:val="00D7538E"/>
    <w:rsid w:val="00D7555F"/>
    <w:rsid w:val="00D75882"/>
    <w:rsid w:val="00D75A4B"/>
    <w:rsid w:val="00D7616A"/>
    <w:rsid w:val="00D7650C"/>
    <w:rsid w:val="00D765BF"/>
    <w:rsid w:val="00D766F0"/>
    <w:rsid w:val="00D76C22"/>
    <w:rsid w:val="00D76DD1"/>
    <w:rsid w:val="00D76ED6"/>
    <w:rsid w:val="00D776E8"/>
    <w:rsid w:val="00D77B3D"/>
    <w:rsid w:val="00D8001F"/>
    <w:rsid w:val="00D801F7"/>
    <w:rsid w:val="00D80295"/>
    <w:rsid w:val="00D807BE"/>
    <w:rsid w:val="00D80E06"/>
    <w:rsid w:val="00D80F24"/>
    <w:rsid w:val="00D81277"/>
    <w:rsid w:val="00D815F0"/>
    <w:rsid w:val="00D81969"/>
    <w:rsid w:val="00D8196C"/>
    <w:rsid w:val="00D81C6A"/>
    <w:rsid w:val="00D81CE2"/>
    <w:rsid w:val="00D81DCB"/>
    <w:rsid w:val="00D81E7D"/>
    <w:rsid w:val="00D82A68"/>
    <w:rsid w:val="00D8318F"/>
    <w:rsid w:val="00D834B6"/>
    <w:rsid w:val="00D83979"/>
    <w:rsid w:val="00D83D2B"/>
    <w:rsid w:val="00D83E88"/>
    <w:rsid w:val="00D83FCF"/>
    <w:rsid w:val="00D84708"/>
    <w:rsid w:val="00D8471C"/>
    <w:rsid w:val="00D849A3"/>
    <w:rsid w:val="00D84BEC"/>
    <w:rsid w:val="00D84D19"/>
    <w:rsid w:val="00D84D66"/>
    <w:rsid w:val="00D8554E"/>
    <w:rsid w:val="00D85602"/>
    <w:rsid w:val="00D8584B"/>
    <w:rsid w:val="00D859B0"/>
    <w:rsid w:val="00D85A77"/>
    <w:rsid w:val="00D85BDD"/>
    <w:rsid w:val="00D85C11"/>
    <w:rsid w:val="00D86206"/>
    <w:rsid w:val="00D86252"/>
    <w:rsid w:val="00D867C1"/>
    <w:rsid w:val="00D8683B"/>
    <w:rsid w:val="00D86848"/>
    <w:rsid w:val="00D870AC"/>
    <w:rsid w:val="00D87735"/>
    <w:rsid w:val="00D87BBC"/>
    <w:rsid w:val="00D87C8A"/>
    <w:rsid w:val="00D903B9"/>
    <w:rsid w:val="00D9040E"/>
    <w:rsid w:val="00D9097D"/>
    <w:rsid w:val="00D90B51"/>
    <w:rsid w:val="00D90DA3"/>
    <w:rsid w:val="00D90E04"/>
    <w:rsid w:val="00D90EAD"/>
    <w:rsid w:val="00D9178D"/>
    <w:rsid w:val="00D91B8D"/>
    <w:rsid w:val="00D9255A"/>
    <w:rsid w:val="00D925B4"/>
    <w:rsid w:val="00D92891"/>
    <w:rsid w:val="00D92994"/>
    <w:rsid w:val="00D92D58"/>
    <w:rsid w:val="00D92E9F"/>
    <w:rsid w:val="00D932A6"/>
    <w:rsid w:val="00D932D3"/>
    <w:rsid w:val="00D935B4"/>
    <w:rsid w:val="00D93A07"/>
    <w:rsid w:val="00D93BAA"/>
    <w:rsid w:val="00D93C70"/>
    <w:rsid w:val="00D93D35"/>
    <w:rsid w:val="00D94376"/>
    <w:rsid w:val="00D945CD"/>
    <w:rsid w:val="00D94AD6"/>
    <w:rsid w:val="00D94D5A"/>
    <w:rsid w:val="00D950BB"/>
    <w:rsid w:val="00D95B7C"/>
    <w:rsid w:val="00D95CB3"/>
    <w:rsid w:val="00D9603A"/>
    <w:rsid w:val="00D96160"/>
    <w:rsid w:val="00D96508"/>
    <w:rsid w:val="00D96C02"/>
    <w:rsid w:val="00D96DD7"/>
    <w:rsid w:val="00D96E6D"/>
    <w:rsid w:val="00D970B1"/>
    <w:rsid w:val="00D9713C"/>
    <w:rsid w:val="00D97228"/>
    <w:rsid w:val="00D977BB"/>
    <w:rsid w:val="00D9788C"/>
    <w:rsid w:val="00D97A22"/>
    <w:rsid w:val="00D97E76"/>
    <w:rsid w:val="00D97EE1"/>
    <w:rsid w:val="00DA01AA"/>
    <w:rsid w:val="00DA022E"/>
    <w:rsid w:val="00DA04B4"/>
    <w:rsid w:val="00DA04FD"/>
    <w:rsid w:val="00DA07CF"/>
    <w:rsid w:val="00DA0C7E"/>
    <w:rsid w:val="00DA10EE"/>
    <w:rsid w:val="00DA182F"/>
    <w:rsid w:val="00DA2B75"/>
    <w:rsid w:val="00DA2C55"/>
    <w:rsid w:val="00DA2E6C"/>
    <w:rsid w:val="00DA32F1"/>
    <w:rsid w:val="00DA341B"/>
    <w:rsid w:val="00DA3474"/>
    <w:rsid w:val="00DA355C"/>
    <w:rsid w:val="00DA35BA"/>
    <w:rsid w:val="00DA35CD"/>
    <w:rsid w:val="00DA3675"/>
    <w:rsid w:val="00DA38B2"/>
    <w:rsid w:val="00DA3BF8"/>
    <w:rsid w:val="00DA3E44"/>
    <w:rsid w:val="00DA3EA3"/>
    <w:rsid w:val="00DA3FE1"/>
    <w:rsid w:val="00DA4307"/>
    <w:rsid w:val="00DA491B"/>
    <w:rsid w:val="00DA49B7"/>
    <w:rsid w:val="00DA4C03"/>
    <w:rsid w:val="00DA4F39"/>
    <w:rsid w:val="00DA4FE0"/>
    <w:rsid w:val="00DA5227"/>
    <w:rsid w:val="00DA5533"/>
    <w:rsid w:val="00DA5701"/>
    <w:rsid w:val="00DA583C"/>
    <w:rsid w:val="00DA58FC"/>
    <w:rsid w:val="00DA5D4C"/>
    <w:rsid w:val="00DA60CD"/>
    <w:rsid w:val="00DA6373"/>
    <w:rsid w:val="00DA686F"/>
    <w:rsid w:val="00DA6B88"/>
    <w:rsid w:val="00DA776F"/>
    <w:rsid w:val="00DA7BE9"/>
    <w:rsid w:val="00DB0285"/>
    <w:rsid w:val="00DB064F"/>
    <w:rsid w:val="00DB073A"/>
    <w:rsid w:val="00DB073C"/>
    <w:rsid w:val="00DB0B62"/>
    <w:rsid w:val="00DB0D06"/>
    <w:rsid w:val="00DB0D2A"/>
    <w:rsid w:val="00DB0F54"/>
    <w:rsid w:val="00DB101C"/>
    <w:rsid w:val="00DB11DD"/>
    <w:rsid w:val="00DB13B7"/>
    <w:rsid w:val="00DB1511"/>
    <w:rsid w:val="00DB1653"/>
    <w:rsid w:val="00DB1B69"/>
    <w:rsid w:val="00DB1C7E"/>
    <w:rsid w:val="00DB2BFD"/>
    <w:rsid w:val="00DB2EA5"/>
    <w:rsid w:val="00DB3130"/>
    <w:rsid w:val="00DB31B9"/>
    <w:rsid w:val="00DB31EA"/>
    <w:rsid w:val="00DB3490"/>
    <w:rsid w:val="00DB3670"/>
    <w:rsid w:val="00DB3980"/>
    <w:rsid w:val="00DB3E4E"/>
    <w:rsid w:val="00DB3ECF"/>
    <w:rsid w:val="00DB41D5"/>
    <w:rsid w:val="00DB534B"/>
    <w:rsid w:val="00DB5984"/>
    <w:rsid w:val="00DB5B38"/>
    <w:rsid w:val="00DB5ED2"/>
    <w:rsid w:val="00DB5F29"/>
    <w:rsid w:val="00DB628E"/>
    <w:rsid w:val="00DB62A3"/>
    <w:rsid w:val="00DB645C"/>
    <w:rsid w:val="00DB66DD"/>
    <w:rsid w:val="00DB6923"/>
    <w:rsid w:val="00DB6DF0"/>
    <w:rsid w:val="00DB72C9"/>
    <w:rsid w:val="00DB72EB"/>
    <w:rsid w:val="00DB736C"/>
    <w:rsid w:val="00DB796B"/>
    <w:rsid w:val="00DC019A"/>
    <w:rsid w:val="00DC07FF"/>
    <w:rsid w:val="00DC0822"/>
    <w:rsid w:val="00DC099B"/>
    <w:rsid w:val="00DC0B0E"/>
    <w:rsid w:val="00DC0D74"/>
    <w:rsid w:val="00DC107B"/>
    <w:rsid w:val="00DC10CE"/>
    <w:rsid w:val="00DC1397"/>
    <w:rsid w:val="00DC1DFD"/>
    <w:rsid w:val="00DC26DA"/>
    <w:rsid w:val="00DC2B6F"/>
    <w:rsid w:val="00DC316F"/>
    <w:rsid w:val="00DC3366"/>
    <w:rsid w:val="00DC37DC"/>
    <w:rsid w:val="00DC3E32"/>
    <w:rsid w:val="00DC4108"/>
    <w:rsid w:val="00DC4154"/>
    <w:rsid w:val="00DC4C5A"/>
    <w:rsid w:val="00DC4D2B"/>
    <w:rsid w:val="00DC4E01"/>
    <w:rsid w:val="00DC4E4D"/>
    <w:rsid w:val="00DC51B6"/>
    <w:rsid w:val="00DC5285"/>
    <w:rsid w:val="00DC56E0"/>
    <w:rsid w:val="00DC5B93"/>
    <w:rsid w:val="00DC5CD8"/>
    <w:rsid w:val="00DC66B8"/>
    <w:rsid w:val="00DC6DB4"/>
    <w:rsid w:val="00DC74A5"/>
    <w:rsid w:val="00DC762A"/>
    <w:rsid w:val="00DC7919"/>
    <w:rsid w:val="00DC7A95"/>
    <w:rsid w:val="00DC7FC3"/>
    <w:rsid w:val="00DD0217"/>
    <w:rsid w:val="00DD054B"/>
    <w:rsid w:val="00DD06EC"/>
    <w:rsid w:val="00DD0EC3"/>
    <w:rsid w:val="00DD10DF"/>
    <w:rsid w:val="00DD15CF"/>
    <w:rsid w:val="00DD1EC0"/>
    <w:rsid w:val="00DD2278"/>
    <w:rsid w:val="00DD2518"/>
    <w:rsid w:val="00DD2897"/>
    <w:rsid w:val="00DD291F"/>
    <w:rsid w:val="00DD3116"/>
    <w:rsid w:val="00DD3769"/>
    <w:rsid w:val="00DD490C"/>
    <w:rsid w:val="00DD4A02"/>
    <w:rsid w:val="00DD4B1A"/>
    <w:rsid w:val="00DD4B73"/>
    <w:rsid w:val="00DD4FD4"/>
    <w:rsid w:val="00DD52C0"/>
    <w:rsid w:val="00DD52DC"/>
    <w:rsid w:val="00DD546C"/>
    <w:rsid w:val="00DD55F5"/>
    <w:rsid w:val="00DD57C6"/>
    <w:rsid w:val="00DD594D"/>
    <w:rsid w:val="00DD5C59"/>
    <w:rsid w:val="00DD5CC3"/>
    <w:rsid w:val="00DD6181"/>
    <w:rsid w:val="00DD681A"/>
    <w:rsid w:val="00DD695A"/>
    <w:rsid w:val="00DD73D7"/>
    <w:rsid w:val="00DD74DD"/>
    <w:rsid w:val="00DD776A"/>
    <w:rsid w:val="00DD792F"/>
    <w:rsid w:val="00DD7A2C"/>
    <w:rsid w:val="00DD7F9F"/>
    <w:rsid w:val="00DD7FB3"/>
    <w:rsid w:val="00DE0021"/>
    <w:rsid w:val="00DE00B3"/>
    <w:rsid w:val="00DE0678"/>
    <w:rsid w:val="00DE0888"/>
    <w:rsid w:val="00DE1145"/>
    <w:rsid w:val="00DE1176"/>
    <w:rsid w:val="00DE1560"/>
    <w:rsid w:val="00DE17F8"/>
    <w:rsid w:val="00DE1A08"/>
    <w:rsid w:val="00DE1FD6"/>
    <w:rsid w:val="00DE2062"/>
    <w:rsid w:val="00DE20E3"/>
    <w:rsid w:val="00DE2D6A"/>
    <w:rsid w:val="00DE2FEE"/>
    <w:rsid w:val="00DE304C"/>
    <w:rsid w:val="00DE3624"/>
    <w:rsid w:val="00DE3797"/>
    <w:rsid w:val="00DE38B7"/>
    <w:rsid w:val="00DE38CB"/>
    <w:rsid w:val="00DE3B25"/>
    <w:rsid w:val="00DE3BA2"/>
    <w:rsid w:val="00DE3D07"/>
    <w:rsid w:val="00DE3DE9"/>
    <w:rsid w:val="00DE4393"/>
    <w:rsid w:val="00DE45F1"/>
    <w:rsid w:val="00DE4DBC"/>
    <w:rsid w:val="00DE5487"/>
    <w:rsid w:val="00DE548D"/>
    <w:rsid w:val="00DE5F6F"/>
    <w:rsid w:val="00DE6090"/>
    <w:rsid w:val="00DE6179"/>
    <w:rsid w:val="00DE6185"/>
    <w:rsid w:val="00DE6250"/>
    <w:rsid w:val="00DE62CA"/>
    <w:rsid w:val="00DE6305"/>
    <w:rsid w:val="00DE63E6"/>
    <w:rsid w:val="00DE6A63"/>
    <w:rsid w:val="00DE6F2E"/>
    <w:rsid w:val="00DE74DB"/>
    <w:rsid w:val="00DE7A2C"/>
    <w:rsid w:val="00DE7CAC"/>
    <w:rsid w:val="00DF031B"/>
    <w:rsid w:val="00DF0959"/>
    <w:rsid w:val="00DF0DEC"/>
    <w:rsid w:val="00DF0F54"/>
    <w:rsid w:val="00DF1529"/>
    <w:rsid w:val="00DF162E"/>
    <w:rsid w:val="00DF1696"/>
    <w:rsid w:val="00DF16DA"/>
    <w:rsid w:val="00DF1951"/>
    <w:rsid w:val="00DF1A18"/>
    <w:rsid w:val="00DF1F2D"/>
    <w:rsid w:val="00DF2126"/>
    <w:rsid w:val="00DF225B"/>
    <w:rsid w:val="00DF26B4"/>
    <w:rsid w:val="00DF26BA"/>
    <w:rsid w:val="00DF26BC"/>
    <w:rsid w:val="00DF2A04"/>
    <w:rsid w:val="00DF2A8F"/>
    <w:rsid w:val="00DF2F42"/>
    <w:rsid w:val="00DF3C46"/>
    <w:rsid w:val="00DF40FC"/>
    <w:rsid w:val="00DF4127"/>
    <w:rsid w:val="00DF416F"/>
    <w:rsid w:val="00DF41D0"/>
    <w:rsid w:val="00DF45B3"/>
    <w:rsid w:val="00DF4F8D"/>
    <w:rsid w:val="00DF5316"/>
    <w:rsid w:val="00DF57F6"/>
    <w:rsid w:val="00DF5997"/>
    <w:rsid w:val="00DF59FE"/>
    <w:rsid w:val="00DF5BC8"/>
    <w:rsid w:val="00DF5FBB"/>
    <w:rsid w:val="00DF5FE6"/>
    <w:rsid w:val="00DF613B"/>
    <w:rsid w:val="00DF615C"/>
    <w:rsid w:val="00DF66D4"/>
    <w:rsid w:val="00DF6FDD"/>
    <w:rsid w:val="00DF7023"/>
    <w:rsid w:val="00DF73B6"/>
    <w:rsid w:val="00DF7857"/>
    <w:rsid w:val="00DF7A70"/>
    <w:rsid w:val="00E00003"/>
    <w:rsid w:val="00E0010E"/>
    <w:rsid w:val="00E0014D"/>
    <w:rsid w:val="00E002AB"/>
    <w:rsid w:val="00E00565"/>
    <w:rsid w:val="00E007A8"/>
    <w:rsid w:val="00E00803"/>
    <w:rsid w:val="00E00A53"/>
    <w:rsid w:val="00E00AC4"/>
    <w:rsid w:val="00E00CAC"/>
    <w:rsid w:val="00E01455"/>
    <w:rsid w:val="00E01539"/>
    <w:rsid w:val="00E0153D"/>
    <w:rsid w:val="00E01647"/>
    <w:rsid w:val="00E017D4"/>
    <w:rsid w:val="00E01A34"/>
    <w:rsid w:val="00E01D44"/>
    <w:rsid w:val="00E01DBD"/>
    <w:rsid w:val="00E0204F"/>
    <w:rsid w:val="00E02138"/>
    <w:rsid w:val="00E02A9B"/>
    <w:rsid w:val="00E02B3A"/>
    <w:rsid w:val="00E032BF"/>
    <w:rsid w:val="00E035B3"/>
    <w:rsid w:val="00E0361E"/>
    <w:rsid w:val="00E03A18"/>
    <w:rsid w:val="00E03C64"/>
    <w:rsid w:val="00E03CBA"/>
    <w:rsid w:val="00E0458C"/>
    <w:rsid w:val="00E04C5E"/>
    <w:rsid w:val="00E04C7A"/>
    <w:rsid w:val="00E04E60"/>
    <w:rsid w:val="00E054D0"/>
    <w:rsid w:val="00E05A49"/>
    <w:rsid w:val="00E05C4A"/>
    <w:rsid w:val="00E062DA"/>
    <w:rsid w:val="00E063D9"/>
    <w:rsid w:val="00E0667D"/>
    <w:rsid w:val="00E06AC1"/>
    <w:rsid w:val="00E06F3D"/>
    <w:rsid w:val="00E0704E"/>
    <w:rsid w:val="00E071A9"/>
    <w:rsid w:val="00E073FF"/>
    <w:rsid w:val="00E07413"/>
    <w:rsid w:val="00E07959"/>
    <w:rsid w:val="00E07D55"/>
    <w:rsid w:val="00E07FD0"/>
    <w:rsid w:val="00E1015F"/>
    <w:rsid w:val="00E105DB"/>
    <w:rsid w:val="00E10881"/>
    <w:rsid w:val="00E10AB9"/>
    <w:rsid w:val="00E1115C"/>
    <w:rsid w:val="00E111B6"/>
    <w:rsid w:val="00E11478"/>
    <w:rsid w:val="00E11A5E"/>
    <w:rsid w:val="00E11AE3"/>
    <w:rsid w:val="00E11C09"/>
    <w:rsid w:val="00E11C53"/>
    <w:rsid w:val="00E12507"/>
    <w:rsid w:val="00E12A7F"/>
    <w:rsid w:val="00E13009"/>
    <w:rsid w:val="00E13059"/>
    <w:rsid w:val="00E1316B"/>
    <w:rsid w:val="00E1361D"/>
    <w:rsid w:val="00E13727"/>
    <w:rsid w:val="00E138BF"/>
    <w:rsid w:val="00E1420D"/>
    <w:rsid w:val="00E142D9"/>
    <w:rsid w:val="00E1449A"/>
    <w:rsid w:val="00E144BA"/>
    <w:rsid w:val="00E14625"/>
    <w:rsid w:val="00E14966"/>
    <w:rsid w:val="00E14AEF"/>
    <w:rsid w:val="00E14E4E"/>
    <w:rsid w:val="00E15272"/>
    <w:rsid w:val="00E15CD3"/>
    <w:rsid w:val="00E15FD2"/>
    <w:rsid w:val="00E167B8"/>
    <w:rsid w:val="00E1680B"/>
    <w:rsid w:val="00E1736B"/>
    <w:rsid w:val="00E1751C"/>
    <w:rsid w:val="00E17775"/>
    <w:rsid w:val="00E17C72"/>
    <w:rsid w:val="00E17CD9"/>
    <w:rsid w:val="00E17D4D"/>
    <w:rsid w:val="00E202C2"/>
    <w:rsid w:val="00E2042B"/>
    <w:rsid w:val="00E211BD"/>
    <w:rsid w:val="00E21592"/>
    <w:rsid w:val="00E216B5"/>
    <w:rsid w:val="00E21828"/>
    <w:rsid w:val="00E21C70"/>
    <w:rsid w:val="00E21E72"/>
    <w:rsid w:val="00E22259"/>
    <w:rsid w:val="00E22326"/>
    <w:rsid w:val="00E22C6F"/>
    <w:rsid w:val="00E22DD3"/>
    <w:rsid w:val="00E23053"/>
    <w:rsid w:val="00E23963"/>
    <w:rsid w:val="00E23E8A"/>
    <w:rsid w:val="00E2407B"/>
    <w:rsid w:val="00E24446"/>
    <w:rsid w:val="00E24757"/>
    <w:rsid w:val="00E251A6"/>
    <w:rsid w:val="00E254FC"/>
    <w:rsid w:val="00E2555E"/>
    <w:rsid w:val="00E259B5"/>
    <w:rsid w:val="00E259D8"/>
    <w:rsid w:val="00E25F3E"/>
    <w:rsid w:val="00E26A4E"/>
    <w:rsid w:val="00E26A5D"/>
    <w:rsid w:val="00E26BB6"/>
    <w:rsid w:val="00E26D54"/>
    <w:rsid w:val="00E26ED3"/>
    <w:rsid w:val="00E27075"/>
    <w:rsid w:val="00E27561"/>
    <w:rsid w:val="00E277EE"/>
    <w:rsid w:val="00E27BDF"/>
    <w:rsid w:val="00E27D1D"/>
    <w:rsid w:val="00E27FD0"/>
    <w:rsid w:val="00E302F8"/>
    <w:rsid w:val="00E3039B"/>
    <w:rsid w:val="00E304E1"/>
    <w:rsid w:val="00E3091B"/>
    <w:rsid w:val="00E30A0D"/>
    <w:rsid w:val="00E30CCB"/>
    <w:rsid w:val="00E30D85"/>
    <w:rsid w:val="00E31047"/>
    <w:rsid w:val="00E3170D"/>
    <w:rsid w:val="00E3175E"/>
    <w:rsid w:val="00E31AC0"/>
    <w:rsid w:val="00E31DDC"/>
    <w:rsid w:val="00E32165"/>
    <w:rsid w:val="00E325E5"/>
    <w:rsid w:val="00E32F60"/>
    <w:rsid w:val="00E32F9B"/>
    <w:rsid w:val="00E33074"/>
    <w:rsid w:val="00E3315A"/>
    <w:rsid w:val="00E33242"/>
    <w:rsid w:val="00E33264"/>
    <w:rsid w:val="00E3330F"/>
    <w:rsid w:val="00E334AF"/>
    <w:rsid w:val="00E339D8"/>
    <w:rsid w:val="00E344E2"/>
    <w:rsid w:val="00E34582"/>
    <w:rsid w:val="00E3471F"/>
    <w:rsid w:val="00E34738"/>
    <w:rsid w:val="00E34962"/>
    <w:rsid w:val="00E34A0B"/>
    <w:rsid w:val="00E34A8A"/>
    <w:rsid w:val="00E352B9"/>
    <w:rsid w:val="00E35924"/>
    <w:rsid w:val="00E359B4"/>
    <w:rsid w:val="00E359C8"/>
    <w:rsid w:val="00E364E6"/>
    <w:rsid w:val="00E36D9C"/>
    <w:rsid w:val="00E370AF"/>
    <w:rsid w:val="00E370D9"/>
    <w:rsid w:val="00E3738A"/>
    <w:rsid w:val="00E373B7"/>
    <w:rsid w:val="00E373EC"/>
    <w:rsid w:val="00E37636"/>
    <w:rsid w:val="00E378CF"/>
    <w:rsid w:val="00E37F71"/>
    <w:rsid w:val="00E400FF"/>
    <w:rsid w:val="00E40388"/>
    <w:rsid w:val="00E403F1"/>
    <w:rsid w:val="00E409C4"/>
    <w:rsid w:val="00E40A12"/>
    <w:rsid w:val="00E40D4E"/>
    <w:rsid w:val="00E40D77"/>
    <w:rsid w:val="00E410D9"/>
    <w:rsid w:val="00E420F1"/>
    <w:rsid w:val="00E42B56"/>
    <w:rsid w:val="00E432D2"/>
    <w:rsid w:val="00E434C1"/>
    <w:rsid w:val="00E43890"/>
    <w:rsid w:val="00E43892"/>
    <w:rsid w:val="00E43C25"/>
    <w:rsid w:val="00E441D4"/>
    <w:rsid w:val="00E447AE"/>
    <w:rsid w:val="00E44A68"/>
    <w:rsid w:val="00E44C52"/>
    <w:rsid w:val="00E44D16"/>
    <w:rsid w:val="00E44DEE"/>
    <w:rsid w:val="00E44EB7"/>
    <w:rsid w:val="00E4517C"/>
    <w:rsid w:val="00E45370"/>
    <w:rsid w:val="00E4566E"/>
    <w:rsid w:val="00E456E8"/>
    <w:rsid w:val="00E45830"/>
    <w:rsid w:val="00E45905"/>
    <w:rsid w:val="00E45F1F"/>
    <w:rsid w:val="00E46495"/>
    <w:rsid w:val="00E46AB9"/>
    <w:rsid w:val="00E47BD5"/>
    <w:rsid w:val="00E50064"/>
    <w:rsid w:val="00E5059C"/>
    <w:rsid w:val="00E50EE4"/>
    <w:rsid w:val="00E50EED"/>
    <w:rsid w:val="00E51341"/>
    <w:rsid w:val="00E5169B"/>
    <w:rsid w:val="00E51908"/>
    <w:rsid w:val="00E5191B"/>
    <w:rsid w:val="00E51DE1"/>
    <w:rsid w:val="00E5208D"/>
    <w:rsid w:val="00E52298"/>
    <w:rsid w:val="00E522FB"/>
    <w:rsid w:val="00E52333"/>
    <w:rsid w:val="00E52A1D"/>
    <w:rsid w:val="00E52B8F"/>
    <w:rsid w:val="00E52CBF"/>
    <w:rsid w:val="00E52DD4"/>
    <w:rsid w:val="00E53117"/>
    <w:rsid w:val="00E539A2"/>
    <w:rsid w:val="00E53AA2"/>
    <w:rsid w:val="00E53F90"/>
    <w:rsid w:val="00E54002"/>
    <w:rsid w:val="00E541D6"/>
    <w:rsid w:val="00E545F0"/>
    <w:rsid w:val="00E5462D"/>
    <w:rsid w:val="00E547C3"/>
    <w:rsid w:val="00E547D7"/>
    <w:rsid w:val="00E54824"/>
    <w:rsid w:val="00E5512C"/>
    <w:rsid w:val="00E552E8"/>
    <w:rsid w:val="00E5540E"/>
    <w:rsid w:val="00E55731"/>
    <w:rsid w:val="00E56018"/>
    <w:rsid w:val="00E5631E"/>
    <w:rsid w:val="00E5703B"/>
    <w:rsid w:val="00E57245"/>
    <w:rsid w:val="00E57657"/>
    <w:rsid w:val="00E5774E"/>
    <w:rsid w:val="00E57889"/>
    <w:rsid w:val="00E57D52"/>
    <w:rsid w:val="00E57D97"/>
    <w:rsid w:val="00E602B9"/>
    <w:rsid w:val="00E6039A"/>
    <w:rsid w:val="00E6041F"/>
    <w:rsid w:val="00E604A7"/>
    <w:rsid w:val="00E610FE"/>
    <w:rsid w:val="00E616DC"/>
    <w:rsid w:val="00E61D27"/>
    <w:rsid w:val="00E6234B"/>
    <w:rsid w:val="00E62429"/>
    <w:rsid w:val="00E628DD"/>
    <w:rsid w:val="00E62A9D"/>
    <w:rsid w:val="00E62B4E"/>
    <w:rsid w:val="00E630A0"/>
    <w:rsid w:val="00E636C4"/>
    <w:rsid w:val="00E638CC"/>
    <w:rsid w:val="00E63AAE"/>
    <w:rsid w:val="00E63D11"/>
    <w:rsid w:val="00E63D89"/>
    <w:rsid w:val="00E63E4F"/>
    <w:rsid w:val="00E64166"/>
    <w:rsid w:val="00E64248"/>
    <w:rsid w:val="00E645B8"/>
    <w:rsid w:val="00E64775"/>
    <w:rsid w:val="00E65048"/>
    <w:rsid w:val="00E650B5"/>
    <w:rsid w:val="00E65650"/>
    <w:rsid w:val="00E656A0"/>
    <w:rsid w:val="00E65A16"/>
    <w:rsid w:val="00E65A8D"/>
    <w:rsid w:val="00E65D54"/>
    <w:rsid w:val="00E65E37"/>
    <w:rsid w:val="00E666E4"/>
    <w:rsid w:val="00E6682D"/>
    <w:rsid w:val="00E66CFE"/>
    <w:rsid w:val="00E66E47"/>
    <w:rsid w:val="00E67432"/>
    <w:rsid w:val="00E6744C"/>
    <w:rsid w:val="00E67554"/>
    <w:rsid w:val="00E6787C"/>
    <w:rsid w:val="00E67892"/>
    <w:rsid w:val="00E70182"/>
    <w:rsid w:val="00E707DD"/>
    <w:rsid w:val="00E708ED"/>
    <w:rsid w:val="00E7097D"/>
    <w:rsid w:val="00E70DF7"/>
    <w:rsid w:val="00E70EAC"/>
    <w:rsid w:val="00E70ED2"/>
    <w:rsid w:val="00E717F8"/>
    <w:rsid w:val="00E718AB"/>
    <w:rsid w:val="00E719F0"/>
    <w:rsid w:val="00E71C36"/>
    <w:rsid w:val="00E71D4B"/>
    <w:rsid w:val="00E725AC"/>
    <w:rsid w:val="00E725E3"/>
    <w:rsid w:val="00E72694"/>
    <w:rsid w:val="00E7274D"/>
    <w:rsid w:val="00E727CD"/>
    <w:rsid w:val="00E72A09"/>
    <w:rsid w:val="00E73174"/>
    <w:rsid w:val="00E733B1"/>
    <w:rsid w:val="00E73469"/>
    <w:rsid w:val="00E7348E"/>
    <w:rsid w:val="00E73A70"/>
    <w:rsid w:val="00E73F24"/>
    <w:rsid w:val="00E74905"/>
    <w:rsid w:val="00E74B8F"/>
    <w:rsid w:val="00E74E0F"/>
    <w:rsid w:val="00E75008"/>
    <w:rsid w:val="00E75122"/>
    <w:rsid w:val="00E751E8"/>
    <w:rsid w:val="00E7528D"/>
    <w:rsid w:val="00E753A0"/>
    <w:rsid w:val="00E7540C"/>
    <w:rsid w:val="00E75462"/>
    <w:rsid w:val="00E7560C"/>
    <w:rsid w:val="00E7617C"/>
    <w:rsid w:val="00E763E7"/>
    <w:rsid w:val="00E76790"/>
    <w:rsid w:val="00E76838"/>
    <w:rsid w:val="00E76887"/>
    <w:rsid w:val="00E76B1A"/>
    <w:rsid w:val="00E76BC0"/>
    <w:rsid w:val="00E76D71"/>
    <w:rsid w:val="00E76E72"/>
    <w:rsid w:val="00E76EAC"/>
    <w:rsid w:val="00E77035"/>
    <w:rsid w:val="00E77625"/>
    <w:rsid w:val="00E77D88"/>
    <w:rsid w:val="00E77FE2"/>
    <w:rsid w:val="00E806AB"/>
    <w:rsid w:val="00E808DD"/>
    <w:rsid w:val="00E80A1C"/>
    <w:rsid w:val="00E80E0E"/>
    <w:rsid w:val="00E81401"/>
    <w:rsid w:val="00E8180B"/>
    <w:rsid w:val="00E819D5"/>
    <w:rsid w:val="00E81BC4"/>
    <w:rsid w:val="00E81E80"/>
    <w:rsid w:val="00E820B2"/>
    <w:rsid w:val="00E82406"/>
    <w:rsid w:val="00E82C03"/>
    <w:rsid w:val="00E83EE8"/>
    <w:rsid w:val="00E840C9"/>
    <w:rsid w:val="00E84674"/>
    <w:rsid w:val="00E8479A"/>
    <w:rsid w:val="00E851B0"/>
    <w:rsid w:val="00E8527A"/>
    <w:rsid w:val="00E8593F"/>
    <w:rsid w:val="00E85B16"/>
    <w:rsid w:val="00E85CD0"/>
    <w:rsid w:val="00E8609A"/>
    <w:rsid w:val="00E860C5"/>
    <w:rsid w:val="00E862D3"/>
    <w:rsid w:val="00E8672E"/>
    <w:rsid w:val="00E86968"/>
    <w:rsid w:val="00E86A95"/>
    <w:rsid w:val="00E86CF4"/>
    <w:rsid w:val="00E86E40"/>
    <w:rsid w:val="00E86EA7"/>
    <w:rsid w:val="00E86EF4"/>
    <w:rsid w:val="00E8700F"/>
    <w:rsid w:val="00E8743D"/>
    <w:rsid w:val="00E87DBB"/>
    <w:rsid w:val="00E9037C"/>
    <w:rsid w:val="00E906D6"/>
    <w:rsid w:val="00E90AA0"/>
    <w:rsid w:val="00E911B1"/>
    <w:rsid w:val="00E91493"/>
    <w:rsid w:val="00E91741"/>
    <w:rsid w:val="00E91C08"/>
    <w:rsid w:val="00E91D23"/>
    <w:rsid w:val="00E91F02"/>
    <w:rsid w:val="00E91F1B"/>
    <w:rsid w:val="00E9211F"/>
    <w:rsid w:val="00E9240A"/>
    <w:rsid w:val="00E924F5"/>
    <w:rsid w:val="00E92A85"/>
    <w:rsid w:val="00E92D31"/>
    <w:rsid w:val="00E930A1"/>
    <w:rsid w:val="00E931FA"/>
    <w:rsid w:val="00E93497"/>
    <w:rsid w:val="00E935DA"/>
    <w:rsid w:val="00E93600"/>
    <w:rsid w:val="00E93688"/>
    <w:rsid w:val="00E93A48"/>
    <w:rsid w:val="00E93AAB"/>
    <w:rsid w:val="00E93B6A"/>
    <w:rsid w:val="00E93EDE"/>
    <w:rsid w:val="00E94359"/>
    <w:rsid w:val="00E944DD"/>
    <w:rsid w:val="00E94823"/>
    <w:rsid w:val="00E94E32"/>
    <w:rsid w:val="00E950EA"/>
    <w:rsid w:val="00E9520D"/>
    <w:rsid w:val="00E956C2"/>
    <w:rsid w:val="00E95872"/>
    <w:rsid w:val="00E95956"/>
    <w:rsid w:val="00E95BC6"/>
    <w:rsid w:val="00E95F66"/>
    <w:rsid w:val="00E96755"/>
    <w:rsid w:val="00E968F8"/>
    <w:rsid w:val="00E96A0D"/>
    <w:rsid w:val="00E96B9D"/>
    <w:rsid w:val="00E96D40"/>
    <w:rsid w:val="00E96EEF"/>
    <w:rsid w:val="00E96F4B"/>
    <w:rsid w:val="00E97099"/>
    <w:rsid w:val="00E975E7"/>
    <w:rsid w:val="00E9761E"/>
    <w:rsid w:val="00E97778"/>
    <w:rsid w:val="00EA005F"/>
    <w:rsid w:val="00EA04D5"/>
    <w:rsid w:val="00EA05A8"/>
    <w:rsid w:val="00EA0AA3"/>
    <w:rsid w:val="00EA0C0B"/>
    <w:rsid w:val="00EA0DC4"/>
    <w:rsid w:val="00EA0DD5"/>
    <w:rsid w:val="00EA13BB"/>
    <w:rsid w:val="00EA13C6"/>
    <w:rsid w:val="00EA145C"/>
    <w:rsid w:val="00EA14D6"/>
    <w:rsid w:val="00EA150E"/>
    <w:rsid w:val="00EA1881"/>
    <w:rsid w:val="00EA202A"/>
    <w:rsid w:val="00EA203C"/>
    <w:rsid w:val="00EA2144"/>
    <w:rsid w:val="00EA253C"/>
    <w:rsid w:val="00EA2686"/>
    <w:rsid w:val="00EA2801"/>
    <w:rsid w:val="00EA2AAF"/>
    <w:rsid w:val="00EA3034"/>
    <w:rsid w:val="00EA313F"/>
    <w:rsid w:val="00EA32BC"/>
    <w:rsid w:val="00EA3598"/>
    <w:rsid w:val="00EA35BE"/>
    <w:rsid w:val="00EA35ED"/>
    <w:rsid w:val="00EA365F"/>
    <w:rsid w:val="00EA36CE"/>
    <w:rsid w:val="00EA40FC"/>
    <w:rsid w:val="00EA41D6"/>
    <w:rsid w:val="00EA4564"/>
    <w:rsid w:val="00EA4769"/>
    <w:rsid w:val="00EA48CB"/>
    <w:rsid w:val="00EA49FB"/>
    <w:rsid w:val="00EA4BF6"/>
    <w:rsid w:val="00EA51CD"/>
    <w:rsid w:val="00EA5387"/>
    <w:rsid w:val="00EA56DD"/>
    <w:rsid w:val="00EA5BD0"/>
    <w:rsid w:val="00EA5D8C"/>
    <w:rsid w:val="00EA5DB3"/>
    <w:rsid w:val="00EA5E4E"/>
    <w:rsid w:val="00EA64DA"/>
    <w:rsid w:val="00EA6775"/>
    <w:rsid w:val="00EA68FE"/>
    <w:rsid w:val="00EA6921"/>
    <w:rsid w:val="00EA6B2E"/>
    <w:rsid w:val="00EA6D84"/>
    <w:rsid w:val="00EA7343"/>
    <w:rsid w:val="00EA7714"/>
    <w:rsid w:val="00EA77C0"/>
    <w:rsid w:val="00EA7D72"/>
    <w:rsid w:val="00EA7DB7"/>
    <w:rsid w:val="00EB0372"/>
    <w:rsid w:val="00EB0599"/>
    <w:rsid w:val="00EB0788"/>
    <w:rsid w:val="00EB079D"/>
    <w:rsid w:val="00EB07E8"/>
    <w:rsid w:val="00EB0AE7"/>
    <w:rsid w:val="00EB13EA"/>
    <w:rsid w:val="00EB14BD"/>
    <w:rsid w:val="00EB1830"/>
    <w:rsid w:val="00EB198D"/>
    <w:rsid w:val="00EB1C2C"/>
    <w:rsid w:val="00EB1CD9"/>
    <w:rsid w:val="00EB1FAE"/>
    <w:rsid w:val="00EB1FEB"/>
    <w:rsid w:val="00EB29BD"/>
    <w:rsid w:val="00EB2A00"/>
    <w:rsid w:val="00EB2A8E"/>
    <w:rsid w:val="00EB2A9C"/>
    <w:rsid w:val="00EB2D45"/>
    <w:rsid w:val="00EB2D83"/>
    <w:rsid w:val="00EB31FF"/>
    <w:rsid w:val="00EB3288"/>
    <w:rsid w:val="00EB3978"/>
    <w:rsid w:val="00EB39FC"/>
    <w:rsid w:val="00EB42CB"/>
    <w:rsid w:val="00EB480B"/>
    <w:rsid w:val="00EB4F92"/>
    <w:rsid w:val="00EB5177"/>
    <w:rsid w:val="00EB54FC"/>
    <w:rsid w:val="00EB5505"/>
    <w:rsid w:val="00EB556E"/>
    <w:rsid w:val="00EB5A63"/>
    <w:rsid w:val="00EB5ACE"/>
    <w:rsid w:val="00EB5C4F"/>
    <w:rsid w:val="00EB60F2"/>
    <w:rsid w:val="00EB6240"/>
    <w:rsid w:val="00EB62CB"/>
    <w:rsid w:val="00EB6848"/>
    <w:rsid w:val="00EB6ADD"/>
    <w:rsid w:val="00EB6E25"/>
    <w:rsid w:val="00EB73B4"/>
    <w:rsid w:val="00EB7BAA"/>
    <w:rsid w:val="00EB7E72"/>
    <w:rsid w:val="00EB7F78"/>
    <w:rsid w:val="00EC0242"/>
    <w:rsid w:val="00EC0514"/>
    <w:rsid w:val="00EC05B7"/>
    <w:rsid w:val="00EC08F9"/>
    <w:rsid w:val="00EC0A94"/>
    <w:rsid w:val="00EC0B67"/>
    <w:rsid w:val="00EC0F89"/>
    <w:rsid w:val="00EC12F5"/>
    <w:rsid w:val="00EC179D"/>
    <w:rsid w:val="00EC1C93"/>
    <w:rsid w:val="00EC20B6"/>
    <w:rsid w:val="00EC230D"/>
    <w:rsid w:val="00EC2615"/>
    <w:rsid w:val="00EC293A"/>
    <w:rsid w:val="00EC2A38"/>
    <w:rsid w:val="00EC352C"/>
    <w:rsid w:val="00EC35A6"/>
    <w:rsid w:val="00EC35E7"/>
    <w:rsid w:val="00EC3854"/>
    <w:rsid w:val="00EC39A9"/>
    <w:rsid w:val="00EC3ACF"/>
    <w:rsid w:val="00EC441B"/>
    <w:rsid w:val="00EC4AC5"/>
    <w:rsid w:val="00EC4C27"/>
    <w:rsid w:val="00EC5318"/>
    <w:rsid w:val="00EC5EA9"/>
    <w:rsid w:val="00EC5FA4"/>
    <w:rsid w:val="00EC61B8"/>
    <w:rsid w:val="00EC61DA"/>
    <w:rsid w:val="00EC6A60"/>
    <w:rsid w:val="00EC6EFB"/>
    <w:rsid w:val="00EC6F6C"/>
    <w:rsid w:val="00EC7075"/>
    <w:rsid w:val="00EC7302"/>
    <w:rsid w:val="00EC7464"/>
    <w:rsid w:val="00EC7BC3"/>
    <w:rsid w:val="00EC7FA8"/>
    <w:rsid w:val="00ED094F"/>
    <w:rsid w:val="00ED0A43"/>
    <w:rsid w:val="00ED0D68"/>
    <w:rsid w:val="00ED0EC7"/>
    <w:rsid w:val="00ED0FE4"/>
    <w:rsid w:val="00ED13A2"/>
    <w:rsid w:val="00ED157A"/>
    <w:rsid w:val="00ED1BC6"/>
    <w:rsid w:val="00ED1C23"/>
    <w:rsid w:val="00ED1F5C"/>
    <w:rsid w:val="00ED21B5"/>
    <w:rsid w:val="00ED23A9"/>
    <w:rsid w:val="00ED23D2"/>
    <w:rsid w:val="00ED249D"/>
    <w:rsid w:val="00ED259C"/>
    <w:rsid w:val="00ED268E"/>
    <w:rsid w:val="00ED297C"/>
    <w:rsid w:val="00ED29CD"/>
    <w:rsid w:val="00ED2A8B"/>
    <w:rsid w:val="00ED2B67"/>
    <w:rsid w:val="00ED2F3A"/>
    <w:rsid w:val="00ED303E"/>
    <w:rsid w:val="00ED314A"/>
    <w:rsid w:val="00ED34CB"/>
    <w:rsid w:val="00ED3BAB"/>
    <w:rsid w:val="00ED46A1"/>
    <w:rsid w:val="00ED46A5"/>
    <w:rsid w:val="00ED4D40"/>
    <w:rsid w:val="00ED4DF8"/>
    <w:rsid w:val="00ED4FA1"/>
    <w:rsid w:val="00ED54E5"/>
    <w:rsid w:val="00ED5692"/>
    <w:rsid w:val="00ED56CD"/>
    <w:rsid w:val="00ED5C7D"/>
    <w:rsid w:val="00ED5C80"/>
    <w:rsid w:val="00ED5FD0"/>
    <w:rsid w:val="00ED6188"/>
    <w:rsid w:val="00ED623B"/>
    <w:rsid w:val="00ED6760"/>
    <w:rsid w:val="00ED67ED"/>
    <w:rsid w:val="00ED6BD6"/>
    <w:rsid w:val="00ED6CB5"/>
    <w:rsid w:val="00ED6FBA"/>
    <w:rsid w:val="00ED7595"/>
    <w:rsid w:val="00ED7B7E"/>
    <w:rsid w:val="00ED7BD5"/>
    <w:rsid w:val="00ED7E41"/>
    <w:rsid w:val="00EE04DA"/>
    <w:rsid w:val="00EE11EE"/>
    <w:rsid w:val="00EE153F"/>
    <w:rsid w:val="00EE17C2"/>
    <w:rsid w:val="00EE1B9B"/>
    <w:rsid w:val="00EE1BC7"/>
    <w:rsid w:val="00EE1C1E"/>
    <w:rsid w:val="00EE2D61"/>
    <w:rsid w:val="00EE31AD"/>
    <w:rsid w:val="00EE3A78"/>
    <w:rsid w:val="00EE4A56"/>
    <w:rsid w:val="00EE522A"/>
    <w:rsid w:val="00EE58A8"/>
    <w:rsid w:val="00EE5B69"/>
    <w:rsid w:val="00EE5FD2"/>
    <w:rsid w:val="00EE6309"/>
    <w:rsid w:val="00EE6F63"/>
    <w:rsid w:val="00EE6FF9"/>
    <w:rsid w:val="00EE7073"/>
    <w:rsid w:val="00EE7238"/>
    <w:rsid w:val="00EE74B9"/>
    <w:rsid w:val="00EE7CC9"/>
    <w:rsid w:val="00EE7DFD"/>
    <w:rsid w:val="00EF0221"/>
    <w:rsid w:val="00EF0484"/>
    <w:rsid w:val="00EF0ABD"/>
    <w:rsid w:val="00EF0F0D"/>
    <w:rsid w:val="00EF11D2"/>
    <w:rsid w:val="00EF1337"/>
    <w:rsid w:val="00EF1342"/>
    <w:rsid w:val="00EF1356"/>
    <w:rsid w:val="00EF176C"/>
    <w:rsid w:val="00EF1F6B"/>
    <w:rsid w:val="00EF21F2"/>
    <w:rsid w:val="00EF262E"/>
    <w:rsid w:val="00EF2C32"/>
    <w:rsid w:val="00EF2C67"/>
    <w:rsid w:val="00EF30AE"/>
    <w:rsid w:val="00EF3140"/>
    <w:rsid w:val="00EF383F"/>
    <w:rsid w:val="00EF38FF"/>
    <w:rsid w:val="00EF3ABA"/>
    <w:rsid w:val="00EF3BF2"/>
    <w:rsid w:val="00EF4045"/>
    <w:rsid w:val="00EF4528"/>
    <w:rsid w:val="00EF4B6D"/>
    <w:rsid w:val="00EF4DC1"/>
    <w:rsid w:val="00EF4F5B"/>
    <w:rsid w:val="00EF4FEF"/>
    <w:rsid w:val="00EF50D8"/>
    <w:rsid w:val="00EF51E4"/>
    <w:rsid w:val="00EF5630"/>
    <w:rsid w:val="00EF5C66"/>
    <w:rsid w:val="00EF5CD6"/>
    <w:rsid w:val="00EF5CEA"/>
    <w:rsid w:val="00EF5E52"/>
    <w:rsid w:val="00EF60EF"/>
    <w:rsid w:val="00EF63CA"/>
    <w:rsid w:val="00EF65B2"/>
    <w:rsid w:val="00EF6720"/>
    <w:rsid w:val="00EF68D4"/>
    <w:rsid w:val="00EF6C0E"/>
    <w:rsid w:val="00EF6CB2"/>
    <w:rsid w:val="00EF70D3"/>
    <w:rsid w:val="00EF76E0"/>
    <w:rsid w:val="00EF7F9C"/>
    <w:rsid w:val="00F002C1"/>
    <w:rsid w:val="00F00B73"/>
    <w:rsid w:val="00F00E46"/>
    <w:rsid w:val="00F011E5"/>
    <w:rsid w:val="00F017DB"/>
    <w:rsid w:val="00F01840"/>
    <w:rsid w:val="00F019FE"/>
    <w:rsid w:val="00F01A07"/>
    <w:rsid w:val="00F01CC7"/>
    <w:rsid w:val="00F0285F"/>
    <w:rsid w:val="00F02FFD"/>
    <w:rsid w:val="00F030C2"/>
    <w:rsid w:val="00F036D4"/>
    <w:rsid w:val="00F03E66"/>
    <w:rsid w:val="00F0431E"/>
    <w:rsid w:val="00F04ECB"/>
    <w:rsid w:val="00F0524E"/>
    <w:rsid w:val="00F053A8"/>
    <w:rsid w:val="00F05FB0"/>
    <w:rsid w:val="00F0612C"/>
    <w:rsid w:val="00F067B5"/>
    <w:rsid w:val="00F06843"/>
    <w:rsid w:val="00F069B6"/>
    <w:rsid w:val="00F06A61"/>
    <w:rsid w:val="00F0727D"/>
    <w:rsid w:val="00F07341"/>
    <w:rsid w:val="00F07A26"/>
    <w:rsid w:val="00F1029E"/>
    <w:rsid w:val="00F102F5"/>
    <w:rsid w:val="00F10423"/>
    <w:rsid w:val="00F10649"/>
    <w:rsid w:val="00F10C19"/>
    <w:rsid w:val="00F110CE"/>
    <w:rsid w:val="00F11182"/>
    <w:rsid w:val="00F1123A"/>
    <w:rsid w:val="00F11F8B"/>
    <w:rsid w:val="00F11FBE"/>
    <w:rsid w:val="00F127CA"/>
    <w:rsid w:val="00F12944"/>
    <w:rsid w:val="00F12AAB"/>
    <w:rsid w:val="00F12AF3"/>
    <w:rsid w:val="00F13068"/>
    <w:rsid w:val="00F1398E"/>
    <w:rsid w:val="00F13C2E"/>
    <w:rsid w:val="00F13CD2"/>
    <w:rsid w:val="00F13CDB"/>
    <w:rsid w:val="00F13E62"/>
    <w:rsid w:val="00F13ECE"/>
    <w:rsid w:val="00F141A1"/>
    <w:rsid w:val="00F14487"/>
    <w:rsid w:val="00F14550"/>
    <w:rsid w:val="00F149CB"/>
    <w:rsid w:val="00F14A96"/>
    <w:rsid w:val="00F1511E"/>
    <w:rsid w:val="00F151E5"/>
    <w:rsid w:val="00F15530"/>
    <w:rsid w:val="00F15603"/>
    <w:rsid w:val="00F15850"/>
    <w:rsid w:val="00F15A3B"/>
    <w:rsid w:val="00F15B72"/>
    <w:rsid w:val="00F15E52"/>
    <w:rsid w:val="00F1656B"/>
    <w:rsid w:val="00F16CB6"/>
    <w:rsid w:val="00F16F7C"/>
    <w:rsid w:val="00F17316"/>
    <w:rsid w:val="00F175B4"/>
    <w:rsid w:val="00F17984"/>
    <w:rsid w:val="00F17BEB"/>
    <w:rsid w:val="00F2001E"/>
    <w:rsid w:val="00F202FC"/>
    <w:rsid w:val="00F20FDE"/>
    <w:rsid w:val="00F21153"/>
    <w:rsid w:val="00F21AAF"/>
    <w:rsid w:val="00F21B64"/>
    <w:rsid w:val="00F22CAE"/>
    <w:rsid w:val="00F22EC8"/>
    <w:rsid w:val="00F23423"/>
    <w:rsid w:val="00F236B3"/>
    <w:rsid w:val="00F23AB7"/>
    <w:rsid w:val="00F23ACB"/>
    <w:rsid w:val="00F23E98"/>
    <w:rsid w:val="00F23EA8"/>
    <w:rsid w:val="00F24061"/>
    <w:rsid w:val="00F24087"/>
    <w:rsid w:val="00F244F4"/>
    <w:rsid w:val="00F24905"/>
    <w:rsid w:val="00F24991"/>
    <w:rsid w:val="00F24D00"/>
    <w:rsid w:val="00F24D1E"/>
    <w:rsid w:val="00F24EA9"/>
    <w:rsid w:val="00F24ECB"/>
    <w:rsid w:val="00F24F9B"/>
    <w:rsid w:val="00F255A7"/>
    <w:rsid w:val="00F25A1F"/>
    <w:rsid w:val="00F2610B"/>
    <w:rsid w:val="00F26310"/>
    <w:rsid w:val="00F263DB"/>
    <w:rsid w:val="00F265FC"/>
    <w:rsid w:val="00F26AEB"/>
    <w:rsid w:val="00F26E6E"/>
    <w:rsid w:val="00F27AE3"/>
    <w:rsid w:val="00F27FF7"/>
    <w:rsid w:val="00F302A9"/>
    <w:rsid w:val="00F30585"/>
    <w:rsid w:val="00F30BD5"/>
    <w:rsid w:val="00F30C66"/>
    <w:rsid w:val="00F30CFC"/>
    <w:rsid w:val="00F313A1"/>
    <w:rsid w:val="00F317FA"/>
    <w:rsid w:val="00F31E01"/>
    <w:rsid w:val="00F31E73"/>
    <w:rsid w:val="00F31E7D"/>
    <w:rsid w:val="00F32168"/>
    <w:rsid w:val="00F32561"/>
    <w:rsid w:val="00F3269A"/>
    <w:rsid w:val="00F32AA6"/>
    <w:rsid w:val="00F32CBB"/>
    <w:rsid w:val="00F32DA4"/>
    <w:rsid w:val="00F32E52"/>
    <w:rsid w:val="00F332BE"/>
    <w:rsid w:val="00F3350B"/>
    <w:rsid w:val="00F336DB"/>
    <w:rsid w:val="00F33A62"/>
    <w:rsid w:val="00F33C2E"/>
    <w:rsid w:val="00F33F8B"/>
    <w:rsid w:val="00F3417E"/>
    <w:rsid w:val="00F341C8"/>
    <w:rsid w:val="00F343E2"/>
    <w:rsid w:val="00F34D26"/>
    <w:rsid w:val="00F34EBB"/>
    <w:rsid w:val="00F34FAC"/>
    <w:rsid w:val="00F350FA"/>
    <w:rsid w:val="00F3521A"/>
    <w:rsid w:val="00F353FD"/>
    <w:rsid w:val="00F35A15"/>
    <w:rsid w:val="00F35C0E"/>
    <w:rsid w:val="00F35C8F"/>
    <w:rsid w:val="00F35F55"/>
    <w:rsid w:val="00F36272"/>
    <w:rsid w:val="00F36496"/>
    <w:rsid w:val="00F3649E"/>
    <w:rsid w:val="00F3658A"/>
    <w:rsid w:val="00F36A6C"/>
    <w:rsid w:val="00F36B58"/>
    <w:rsid w:val="00F36C47"/>
    <w:rsid w:val="00F36EC0"/>
    <w:rsid w:val="00F371D7"/>
    <w:rsid w:val="00F37BF4"/>
    <w:rsid w:val="00F37E14"/>
    <w:rsid w:val="00F402E9"/>
    <w:rsid w:val="00F406D7"/>
    <w:rsid w:val="00F407DB"/>
    <w:rsid w:val="00F40BD0"/>
    <w:rsid w:val="00F411C1"/>
    <w:rsid w:val="00F41665"/>
    <w:rsid w:val="00F418E2"/>
    <w:rsid w:val="00F41BD2"/>
    <w:rsid w:val="00F41CBD"/>
    <w:rsid w:val="00F41E02"/>
    <w:rsid w:val="00F41F82"/>
    <w:rsid w:val="00F427A5"/>
    <w:rsid w:val="00F4332F"/>
    <w:rsid w:val="00F43381"/>
    <w:rsid w:val="00F43B9A"/>
    <w:rsid w:val="00F43BBB"/>
    <w:rsid w:val="00F4401F"/>
    <w:rsid w:val="00F44210"/>
    <w:rsid w:val="00F442E7"/>
    <w:rsid w:val="00F44585"/>
    <w:rsid w:val="00F44998"/>
    <w:rsid w:val="00F449BE"/>
    <w:rsid w:val="00F44AE3"/>
    <w:rsid w:val="00F44DF9"/>
    <w:rsid w:val="00F44E94"/>
    <w:rsid w:val="00F45064"/>
    <w:rsid w:val="00F45226"/>
    <w:rsid w:val="00F45416"/>
    <w:rsid w:val="00F456F2"/>
    <w:rsid w:val="00F45796"/>
    <w:rsid w:val="00F45D07"/>
    <w:rsid w:val="00F45F17"/>
    <w:rsid w:val="00F4627F"/>
    <w:rsid w:val="00F464F2"/>
    <w:rsid w:val="00F46841"/>
    <w:rsid w:val="00F468CD"/>
    <w:rsid w:val="00F46AAA"/>
    <w:rsid w:val="00F46BC4"/>
    <w:rsid w:val="00F46DB1"/>
    <w:rsid w:val="00F46FD6"/>
    <w:rsid w:val="00F47367"/>
    <w:rsid w:val="00F47917"/>
    <w:rsid w:val="00F5007B"/>
    <w:rsid w:val="00F50184"/>
    <w:rsid w:val="00F50313"/>
    <w:rsid w:val="00F5036A"/>
    <w:rsid w:val="00F503C8"/>
    <w:rsid w:val="00F5154B"/>
    <w:rsid w:val="00F515CB"/>
    <w:rsid w:val="00F5176A"/>
    <w:rsid w:val="00F5188F"/>
    <w:rsid w:val="00F51932"/>
    <w:rsid w:val="00F5204C"/>
    <w:rsid w:val="00F52397"/>
    <w:rsid w:val="00F526D9"/>
    <w:rsid w:val="00F527ED"/>
    <w:rsid w:val="00F52BAC"/>
    <w:rsid w:val="00F536FB"/>
    <w:rsid w:val="00F53E28"/>
    <w:rsid w:val="00F54091"/>
    <w:rsid w:val="00F54C6E"/>
    <w:rsid w:val="00F553B6"/>
    <w:rsid w:val="00F5553D"/>
    <w:rsid w:val="00F55C93"/>
    <w:rsid w:val="00F55F71"/>
    <w:rsid w:val="00F56566"/>
    <w:rsid w:val="00F56634"/>
    <w:rsid w:val="00F56643"/>
    <w:rsid w:val="00F56788"/>
    <w:rsid w:val="00F56792"/>
    <w:rsid w:val="00F56D6D"/>
    <w:rsid w:val="00F56E39"/>
    <w:rsid w:val="00F570FA"/>
    <w:rsid w:val="00F57146"/>
    <w:rsid w:val="00F574F1"/>
    <w:rsid w:val="00F5758D"/>
    <w:rsid w:val="00F57626"/>
    <w:rsid w:val="00F57706"/>
    <w:rsid w:val="00F57B83"/>
    <w:rsid w:val="00F57DD2"/>
    <w:rsid w:val="00F57E01"/>
    <w:rsid w:val="00F60025"/>
    <w:rsid w:val="00F60124"/>
    <w:rsid w:val="00F60456"/>
    <w:rsid w:val="00F606F4"/>
    <w:rsid w:val="00F607A1"/>
    <w:rsid w:val="00F60BBF"/>
    <w:rsid w:val="00F62058"/>
    <w:rsid w:val="00F623A5"/>
    <w:rsid w:val="00F626EE"/>
    <w:rsid w:val="00F627D6"/>
    <w:rsid w:val="00F629CC"/>
    <w:rsid w:val="00F62B97"/>
    <w:rsid w:val="00F62F27"/>
    <w:rsid w:val="00F6331A"/>
    <w:rsid w:val="00F63CCF"/>
    <w:rsid w:val="00F63F9A"/>
    <w:rsid w:val="00F63FCE"/>
    <w:rsid w:val="00F64AC9"/>
    <w:rsid w:val="00F65209"/>
    <w:rsid w:val="00F653EE"/>
    <w:rsid w:val="00F65A05"/>
    <w:rsid w:val="00F65D0D"/>
    <w:rsid w:val="00F65DBE"/>
    <w:rsid w:val="00F65EB3"/>
    <w:rsid w:val="00F66146"/>
    <w:rsid w:val="00F667E8"/>
    <w:rsid w:val="00F669E9"/>
    <w:rsid w:val="00F67192"/>
    <w:rsid w:val="00F679C2"/>
    <w:rsid w:val="00F67C54"/>
    <w:rsid w:val="00F700BA"/>
    <w:rsid w:val="00F70445"/>
    <w:rsid w:val="00F704C9"/>
    <w:rsid w:val="00F7063F"/>
    <w:rsid w:val="00F70693"/>
    <w:rsid w:val="00F70733"/>
    <w:rsid w:val="00F70D56"/>
    <w:rsid w:val="00F70EC7"/>
    <w:rsid w:val="00F71374"/>
    <w:rsid w:val="00F71457"/>
    <w:rsid w:val="00F71C55"/>
    <w:rsid w:val="00F71D71"/>
    <w:rsid w:val="00F72081"/>
    <w:rsid w:val="00F722D6"/>
    <w:rsid w:val="00F725DA"/>
    <w:rsid w:val="00F726E1"/>
    <w:rsid w:val="00F727AC"/>
    <w:rsid w:val="00F72812"/>
    <w:rsid w:val="00F728F0"/>
    <w:rsid w:val="00F72AEA"/>
    <w:rsid w:val="00F72D52"/>
    <w:rsid w:val="00F72D87"/>
    <w:rsid w:val="00F72EFD"/>
    <w:rsid w:val="00F72F60"/>
    <w:rsid w:val="00F72FE7"/>
    <w:rsid w:val="00F730E5"/>
    <w:rsid w:val="00F731EE"/>
    <w:rsid w:val="00F73212"/>
    <w:rsid w:val="00F7322F"/>
    <w:rsid w:val="00F737BD"/>
    <w:rsid w:val="00F73CC6"/>
    <w:rsid w:val="00F7403A"/>
    <w:rsid w:val="00F740A8"/>
    <w:rsid w:val="00F74111"/>
    <w:rsid w:val="00F74252"/>
    <w:rsid w:val="00F74296"/>
    <w:rsid w:val="00F7431C"/>
    <w:rsid w:val="00F7448D"/>
    <w:rsid w:val="00F744A1"/>
    <w:rsid w:val="00F74819"/>
    <w:rsid w:val="00F74E4A"/>
    <w:rsid w:val="00F752A9"/>
    <w:rsid w:val="00F75488"/>
    <w:rsid w:val="00F756B3"/>
    <w:rsid w:val="00F756F7"/>
    <w:rsid w:val="00F75D94"/>
    <w:rsid w:val="00F76808"/>
    <w:rsid w:val="00F76937"/>
    <w:rsid w:val="00F7696B"/>
    <w:rsid w:val="00F76AC8"/>
    <w:rsid w:val="00F76CAD"/>
    <w:rsid w:val="00F76D14"/>
    <w:rsid w:val="00F76D20"/>
    <w:rsid w:val="00F76F70"/>
    <w:rsid w:val="00F76F79"/>
    <w:rsid w:val="00F76FEC"/>
    <w:rsid w:val="00F7726F"/>
    <w:rsid w:val="00F77595"/>
    <w:rsid w:val="00F778D3"/>
    <w:rsid w:val="00F77DA8"/>
    <w:rsid w:val="00F77FB9"/>
    <w:rsid w:val="00F80055"/>
    <w:rsid w:val="00F804EE"/>
    <w:rsid w:val="00F80A2E"/>
    <w:rsid w:val="00F80BB4"/>
    <w:rsid w:val="00F8106C"/>
    <w:rsid w:val="00F81167"/>
    <w:rsid w:val="00F81377"/>
    <w:rsid w:val="00F814AE"/>
    <w:rsid w:val="00F81B0E"/>
    <w:rsid w:val="00F81B3E"/>
    <w:rsid w:val="00F82295"/>
    <w:rsid w:val="00F82799"/>
    <w:rsid w:val="00F828DF"/>
    <w:rsid w:val="00F8308B"/>
    <w:rsid w:val="00F8314D"/>
    <w:rsid w:val="00F8376A"/>
    <w:rsid w:val="00F838FB"/>
    <w:rsid w:val="00F83EC2"/>
    <w:rsid w:val="00F84333"/>
    <w:rsid w:val="00F8434E"/>
    <w:rsid w:val="00F8437E"/>
    <w:rsid w:val="00F843AB"/>
    <w:rsid w:val="00F84AEF"/>
    <w:rsid w:val="00F84C58"/>
    <w:rsid w:val="00F84F58"/>
    <w:rsid w:val="00F853A5"/>
    <w:rsid w:val="00F85429"/>
    <w:rsid w:val="00F8558D"/>
    <w:rsid w:val="00F8561F"/>
    <w:rsid w:val="00F85C44"/>
    <w:rsid w:val="00F85F50"/>
    <w:rsid w:val="00F85FA3"/>
    <w:rsid w:val="00F86094"/>
    <w:rsid w:val="00F8633B"/>
    <w:rsid w:val="00F865B4"/>
    <w:rsid w:val="00F86782"/>
    <w:rsid w:val="00F86984"/>
    <w:rsid w:val="00F86EF2"/>
    <w:rsid w:val="00F87069"/>
    <w:rsid w:val="00F870B9"/>
    <w:rsid w:val="00F8735E"/>
    <w:rsid w:val="00F873E5"/>
    <w:rsid w:val="00F87588"/>
    <w:rsid w:val="00F876EE"/>
    <w:rsid w:val="00F876EF"/>
    <w:rsid w:val="00F87B2E"/>
    <w:rsid w:val="00F87B3C"/>
    <w:rsid w:val="00F87B66"/>
    <w:rsid w:val="00F9059B"/>
    <w:rsid w:val="00F9093E"/>
    <w:rsid w:val="00F9098B"/>
    <w:rsid w:val="00F90BD5"/>
    <w:rsid w:val="00F911DD"/>
    <w:rsid w:val="00F91302"/>
    <w:rsid w:val="00F91438"/>
    <w:rsid w:val="00F9165C"/>
    <w:rsid w:val="00F9167B"/>
    <w:rsid w:val="00F91B83"/>
    <w:rsid w:val="00F91C3B"/>
    <w:rsid w:val="00F91D78"/>
    <w:rsid w:val="00F91DFF"/>
    <w:rsid w:val="00F92990"/>
    <w:rsid w:val="00F92A03"/>
    <w:rsid w:val="00F92F48"/>
    <w:rsid w:val="00F931E6"/>
    <w:rsid w:val="00F93230"/>
    <w:rsid w:val="00F932C0"/>
    <w:rsid w:val="00F93402"/>
    <w:rsid w:val="00F93759"/>
    <w:rsid w:val="00F93A77"/>
    <w:rsid w:val="00F9481A"/>
    <w:rsid w:val="00F94895"/>
    <w:rsid w:val="00F94B09"/>
    <w:rsid w:val="00F950C9"/>
    <w:rsid w:val="00F95384"/>
    <w:rsid w:val="00F95504"/>
    <w:rsid w:val="00F95559"/>
    <w:rsid w:val="00F9566D"/>
    <w:rsid w:val="00F957EA"/>
    <w:rsid w:val="00F9581B"/>
    <w:rsid w:val="00F958C3"/>
    <w:rsid w:val="00F958C8"/>
    <w:rsid w:val="00F959D9"/>
    <w:rsid w:val="00F95E43"/>
    <w:rsid w:val="00F95F89"/>
    <w:rsid w:val="00F961ED"/>
    <w:rsid w:val="00F96566"/>
    <w:rsid w:val="00F96DB5"/>
    <w:rsid w:val="00F97127"/>
    <w:rsid w:val="00F97130"/>
    <w:rsid w:val="00F973BA"/>
    <w:rsid w:val="00F976B2"/>
    <w:rsid w:val="00F97A76"/>
    <w:rsid w:val="00F97AF6"/>
    <w:rsid w:val="00F97F14"/>
    <w:rsid w:val="00FA05DB"/>
    <w:rsid w:val="00FA071B"/>
    <w:rsid w:val="00FA07EF"/>
    <w:rsid w:val="00FA0B89"/>
    <w:rsid w:val="00FA19EA"/>
    <w:rsid w:val="00FA1D8E"/>
    <w:rsid w:val="00FA1E5B"/>
    <w:rsid w:val="00FA1E8C"/>
    <w:rsid w:val="00FA256F"/>
    <w:rsid w:val="00FA290B"/>
    <w:rsid w:val="00FA2989"/>
    <w:rsid w:val="00FA2AE0"/>
    <w:rsid w:val="00FA2D39"/>
    <w:rsid w:val="00FA3557"/>
    <w:rsid w:val="00FA366E"/>
    <w:rsid w:val="00FA3775"/>
    <w:rsid w:val="00FA3A52"/>
    <w:rsid w:val="00FA41B2"/>
    <w:rsid w:val="00FA432F"/>
    <w:rsid w:val="00FA439F"/>
    <w:rsid w:val="00FA4639"/>
    <w:rsid w:val="00FA4FC5"/>
    <w:rsid w:val="00FA5119"/>
    <w:rsid w:val="00FA54FC"/>
    <w:rsid w:val="00FA578E"/>
    <w:rsid w:val="00FA5F42"/>
    <w:rsid w:val="00FA62FE"/>
    <w:rsid w:val="00FA63D5"/>
    <w:rsid w:val="00FA6490"/>
    <w:rsid w:val="00FA654E"/>
    <w:rsid w:val="00FA6573"/>
    <w:rsid w:val="00FA661F"/>
    <w:rsid w:val="00FA6682"/>
    <w:rsid w:val="00FA67EB"/>
    <w:rsid w:val="00FA6B09"/>
    <w:rsid w:val="00FA6C73"/>
    <w:rsid w:val="00FA7322"/>
    <w:rsid w:val="00FA7961"/>
    <w:rsid w:val="00FA7AD9"/>
    <w:rsid w:val="00FB05FE"/>
    <w:rsid w:val="00FB0A1D"/>
    <w:rsid w:val="00FB107F"/>
    <w:rsid w:val="00FB11EB"/>
    <w:rsid w:val="00FB124C"/>
    <w:rsid w:val="00FB12A0"/>
    <w:rsid w:val="00FB144F"/>
    <w:rsid w:val="00FB1497"/>
    <w:rsid w:val="00FB154C"/>
    <w:rsid w:val="00FB1701"/>
    <w:rsid w:val="00FB182E"/>
    <w:rsid w:val="00FB1A1B"/>
    <w:rsid w:val="00FB1A48"/>
    <w:rsid w:val="00FB1C15"/>
    <w:rsid w:val="00FB1C26"/>
    <w:rsid w:val="00FB1DFD"/>
    <w:rsid w:val="00FB2AC5"/>
    <w:rsid w:val="00FB2B0D"/>
    <w:rsid w:val="00FB2C4C"/>
    <w:rsid w:val="00FB30BA"/>
    <w:rsid w:val="00FB30C4"/>
    <w:rsid w:val="00FB3159"/>
    <w:rsid w:val="00FB3320"/>
    <w:rsid w:val="00FB35D4"/>
    <w:rsid w:val="00FB36C5"/>
    <w:rsid w:val="00FB3904"/>
    <w:rsid w:val="00FB3A19"/>
    <w:rsid w:val="00FB3CC1"/>
    <w:rsid w:val="00FB42B2"/>
    <w:rsid w:val="00FB47A6"/>
    <w:rsid w:val="00FB4956"/>
    <w:rsid w:val="00FB4AAE"/>
    <w:rsid w:val="00FB4E60"/>
    <w:rsid w:val="00FB4E9E"/>
    <w:rsid w:val="00FB5062"/>
    <w:rsid w:val="00FB5173"/>
    <w:rsid w:val="00FB51FA"/>
    <w:rsid w:val="00FB586B"/>
    <w:rsid w:val="00FB58F9"/>
    <w:rsid w:val="00FB603A"/>
    <w:rsid w:val="00FB6302"/>
    <w:rsid w:val="00FB6869"/>
    <w:rsid w:val="00FB704D"/>
    <w:rsid w:val="00FB7079"/>
    <w:rsid w:val="00FB71EF"/>
    <w:rsid w:val="00FB720C"/>
    <w:rsid w:val="00FB784E"/>
    <w:rsid w:val="00FB7E5B"/>
    <w:rsid w:val="00FC033D"/>
    <w:rsid w:val="00FC05D6"/>
    <w:rsid w:val="00FC0953"/>
    <w:rsid w:val="00FC0A77"/>
    <w:rsid w:val="00FC0AD9"/>
    <w:rsid w:val="00FC0D85"/>
    <w:rsid w:val="00FC11AF"/>
    <w:rsid w:val="00FC1E46"/>
    <w:rsid w:val="00FC22D7"/>
    <w:rsid w:val="00FC2D27"/>
    <w:rsid w:val="00FC2D77"/>
    <w:rsid w:val="00FC2E00"/>
    <w:rsid w:val="00FC2E87"/>
    <w:rsid w:val="00FC2EA3"/>
    <w:rsid w:val="00FC2F47"/>
    <w:rsid w:val="00FC2FC1"/>
    <w:rsid w:val="00FC2FEC"/>
    <w:rsid w:val="00FC35A4"/>
    <w:rsid w:val="00FC38F4"/>
    <w:rsid w:val="00FC3B0E"/>
    <w:rsid w:val="00FC4026"/>
    <w:rsid w:val="00FC4062"/>
    <w:rsid w:val="00FC46D7"/>
    <w:rsid w:val="00FC47CC"/>
    <w:rsid w:val="00FC4B0A"/>
    <w:rsid w:val="00FC4B26"/>
    <w:rsid w:val="00FC4D37"/>
    <w:rsid w:val="00FC4DC1"/>
    <w:rsid w:val="00FC51AD"/>
    <w:rsid w:val="00FC58B1"/>
    <w:rsid w:val="00FC59B1"/>
    <w:rsid w:val="00FC5A40"/>
    <w:rsid w:val="00FC5C2A"/>
    <w:rsid w:val="00FC5E16"/>
    <w:rsid w:val="00FC5E76"/>
    <w:rsid w:val="00FC607E"/>
    <w:rsid w:val="00FC6557"/>
    <w:rsid w:val="00FC6620"/>
    <w:rsid w:val="00FC6D0A"/>
    <w:rsid w:val="00FC7166"/>
    <w:rsid w:val="00FC7892"/>
    <w:rsid w:val="00FC7B94"/>
    <w:rsid w:val="00FC7E08"/>
    <w:rsid w:val="00FD0358"/>
    <w:rsid w:val="00FD06A0"/>
    <w:rsid w:val="00FD0B6A"/>
    <w:rsid w:val="00FD135A"/>
    <w:rsid w:val="00FD1826"/>
    <w:rsid w:val="00FD20D2"/>
    <w:rsid w:val="00FD217F"/>
    <w:rsid w:val="00FD245D"/>
    <w:rsid w:val="00FD24E5"/>
    <w:rsid w:val="00FD2989"/>
    <w:rsid w:val="00FD2EB8"/>
    <w:rsid w:val="00FD33D0"/>
    <w:rsid w:val="00FD349E"/>
    <w:rsid w:val="00FD36A0"/>
    <w:rsid w:val="00FD38C2"/>
    <w:rsid w:val="00FD3C79"/>
    <w:rsid w:val="00FD3D1A"/>
    <w:rsid w:val="00FD3DA1"/>
    <w:rsid w:val="00FD4372"/>
    <w:rsid w:val="00FD4539"/>
    <w:rsid w:val="00FD4D59"/>
    <w:rsid w:val="00FD4F4C"/>
    <w:rsid w:val="00FD5EAC"/>
    <w:rsid w:val="00FD6959"/>
    <w:rsid w:val="00FD698C"/>
    <w:rsid w:val="00FD6D99"/>
    <w:rsid w:val="00FD6EDC"/>
    <w:rsid w:val="00FD729C"/>
    <w:rsid w:val="00FD72EE"/>
    <w:rsid w:val="00FD7326"/>
    <w:rsid w:val="00FD74FE"/>
    <w:rsid w:val="00FD7950"/>
    <w:rsid w:val="00FD7FE1"/>
    <w:rsid w:val="00FE05EA"/>
    <w:rsid w:val="00FE0837"/>
    <w:rsid w:val="00FE162A"/>
    <w:rsid w:val="00FE19B5"/>
    <w:rsid w:val="00FE1BE3"/>
    <w:rsid w:val="00FE2044"/>
    <w:rsid w:val="00FE23E4"/>
    <w:rsid w:val="00FE277D"/>
    <w:rsid w:val="00FE2E6E"/>
    <w:rsid w:val="00FE3227"/>
    <w:rsid w:val="00FE37EE"/>
    <w:rsid w:val="00FE38FF"/>
    <w:rsid w:val="00FE4453"/>
    <w:rsid w:val="00FE44B7"/>
    <w:rsid w:val="00FE46EB"/>
    <w:rsid w:val="00FE4EA9"/>
    <w:rsid w:val="00FE506D"/>
    <w:rsid w:val="00FE5C39"/>
    <w:rsid w:val="00FE5D8F"/>
    <w:rsid w:val="00FE60B2"/>
    <w:rsid w:val="00FE631F"/>
    <w:rsid w:val="00FE6B08"/>
    <w:rsid w:val="00FE6CF0"/>
    <w:rsid w:val="00FE7178"/>
    <w:rsid w:val="00FE7198"/>
    <w:rsid w:val="00FE7BD1"/>
    <w:rsid w:val="00FE7C87"/>
    <w:rsid w:val="00FE7E5C"/>
    <w:rsid w:val="00FF021C"/>
    <w:rsid w:val="00FF03EA"/>
    <w:rsid w:val="00FF0652"/>
    <w:rsid w:val="00FF0C47"/>
    <w:rsid w:val="00FF0D5E"/>
    <w:rsid w:val="00FF0E34"/>
    <w:rsid w:val="00FF1192"/>
    <w:rsid w:val="00FF124E"/>
    <w:rsid w:val="00FF1D4F"/>
    <w:rsid w:val="00FF24B8"/>
    <w:rsid w:val="00FF2727"/>
    <w:rsid w:val="00FF2BB2"/>
    <w:rsid w:val="00FF2C01"/>
    <w:rsid w:val="00FF2C62"/>
    <w:rsid w:val="00FF3479"/>
    <w:rsid w:val="00FF34CB"/>
    <w:rsid w:val="00FF3687"/>
    <w:rsid w:val="00FF37C7"/>
    <w:rsid w:val="00FF395E"/>
    <w:rsid w:val="00FF398C"/>
    <w:rsid w:val="00FF3A99"/>
    <w:rsid w:val="00FF3BB7"/>
    <w:rsid w:val="00FF3DF4"/>
    <w:rsid w:val="00FF40C5"/>
    <w:rsid w:val="00FF45CD"/>
    <w:rsid w:val="00FF49C2"/>
    <w:rsid w:val="00FF4C3F"/>
    <w:rsid w:val="00FF5122"/>
    <w:rsid w:val="00FF528A"/>
    <w:rsid w:val="00FF52E4"/>
    <w:rsid w:val="00FF5321"/>
    <w:rsid w:val="00FF5379"/>
    <w:rsid w:val="00FF54A3"/>
    <w:rsid w:val="00FF5C83"/>
    <w:rsid w:val="00FF5E27"/>
    <w:rsid w:val="00FF609D"/>
    <w:rsid w:val="00FF6251"/>
    <w:rsid w:val="00FF66E2"/>
    <w:rsid w:val="00FF69E1"/>
    <w:rsid w:val="00FF6C2B"/>
    <w:rsid w:val="00FF6F11"/>
    <w:rsid w:val="00FF70D5"/>
    <w:rsid w:val="00FF73E9"/>
    <w:rsid w:val="00FF73F2"/>
    <w:rsid w:val="00FF7ACA"/>
    <w:rsid w:val="00FF7B6C"/>
    <w:rsid w:val="00FF7BEF"/>
    <w:rsid w:val="00FF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BDF81"/>
  <w15:docId w15:val="{C358B193-0C6C-40F3-A9DD-3BF618CB8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uiPriority="4" w:qFormat="1"/>
    <w:lsdException w:name="heading 3" w:uiPriority="4" w:qFormat="1"/>
    <w:lsdException w:name="heading 4" w:uiPriority="9"/>
    <w:lsdException w:name="heading 5"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1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19" w:unhideWhenUsed="1"/>
    <w:lsdException w:name="endnote reference" w:semiHidden="1" w:unhideWhenUsed="1"/>
    <w:lsdException w:name="endnote text" w:semiHidden="1" w:unhideWhenUsed="1"/>
    <w:lsdException w:name="table of authorities" w:locked="1"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uiPriority="19"/>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0"/>
    <w:lsdException w:name="Table Theme" w:locked="1" w:semiHidden="1" w:unhideWhenUsed="1"/>
    <w:lsdException w:name="Placeholder Text" w:semiHidden="1"/>
    <w:lsdException w:name="No Spacing" w:uiPriority="15"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15"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5"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7F96"/>
    <w:pPr>
      <w:spacing w:after="140" w:line="220" w:lineRule="exact"/>
    </w:pPr>
    <w:rPr>
      <w:rFonts w:ascii="Arial" w:hAnsi="Arial"/>
      <w:color w:val="414141"/>
      <w:lang w:val="en-AU"/>
    </w:rPr>
  </w:style>
  <w:style w:type="paragraph" w:styleId="Heading1">
    <w:name w:val="heading 1"/>
    <w:basedOn w:val="BodyText"/>
    <w:next w:val="BodyText"/>
    <w:link w:val="Heading1Char"/>
    <w:uiPriority w:val="9"/>
    <w:rsid w:val="001837B9"/>
    <w:pPr>
      <w:keepNext/>
      <w:pageBreakBefore/>
      <w:spacing w:after="380" w:line="380" w:lineRule="exact"/>
      <w:contextualSpacing/>
      <w:outlineLvl w:val="0"/>
    </w:pPr>
    <w:rPr>
      <w:rFonts w:eastAsia="Times New Roman" w:cs="Arial"/>
      <w:b/>
      <w:bCs/>
      <w:caps/>
      <w:color w:val="159DCE"/>
      <w:sz w:val="34"/>
      <w:szCs w:val="32"/>
      <w:lang w:val="en-GB" w:eastAsia="en-AU"/>
    </w:rPr>
  </w:style>
  <w:style w:type="paragraph" w:styleId="Heading2">
    <w:name w:val="heading 2"/>
    <w:basedOn w:val="Heading1"/>
    <w:next w:val="BodyText"/>
    <w:link w:val="Heading2Char"/>
    <w:uiPriority w:val="4"/>
    <w:semiHidden/>
    <w:qFormat/>
    <w:rsid w:val="002B4BCC"/>
    <w:pPr>
      <w:pageBreakBefore w:val="0"/>
      <w:spacing w:before="200" w:after="80" w:line="260" w:lineRule="exact"/>
      <w:outlineLvl w:val="1"/>
    </w:pPr>
    <w:rPr>
      <w:rFonts w:ascii="Arial Bold" w:hAnsi="Arial Bold"/>
      <w:bCs w:val="0"/>
      <w:iCs/>
      <w:sz w:val="22"/>
      <w:szCs w:val="28"/>
    </w:rPr>
  </w:style>
  <w:style w:type="paragraph" w:styleId="Heading3">
    <w:name w:val="heading 3"/>
    <w:basedOn w:val="Heading1"/>
    <w:next w:val="BodyText"/>
    <w:link w:val="Heading3Char"/>
    <w:uiPriority w:val="4"/>
    <w:semiHidden/>
    <w:qFormat/>
    <w:rsid w:val="001837B9"/>
    <w:pPr>
      <w:pageBreakBefore w:val="0"/>
      <w:numPr>
        <w:ilvl w:val="2"/>
      </w:numPr>
      <w:spacing w:before="100" w:after="80" w:line="260" w:lineRule="exact"/>
      <w:outlineLvl w:val="2"/>
    </w:pPr>
    <w:rPr>
      <w:b w:val="0"/>
      <w:bCs w:val="0"/>
      <w:spacing w:val="-10"/>
      <w:sz w:val="22"/>
      <w:szCs w:val="26"/>
    </w:rPr>
  </w:style>
  <w:style w:type="paragraph" w:styleId="Heading4">
    <w:name w:val="heading 4"/>
    <w:basedOn w:val="Heading1"/>
    <w:next w:val="BodyText"/>
    <w:link w:val="Heading4Char"/>
    <w:uiPriority w:val="9"/>
    <w:rsid w:val="00C47E6D"/>
    <w:pPr>
      <w:pageBreakBefore w:val="0"/>
      <w:spacing w:after="0" w:line="220" w:lineRule="exact"/>
      <w:outlineLvl w:val="3"/>
    </w:pPr>
    <w:rPr>
      <w:b w:val="0"/>
      <w:bCs w:val="0"/>
      <w:caps w:val="0"/>
      <w:spacing w:val="-5"/>
      <w:sz w:val="20"/>
      <w:szCs w:val="21"/>
    </w:rPr>
  </w:style>
  <w:style w:type="paragraph" w:styleId="Heading5">
    <w:name w:val="heading 5"/>
    <w:basedOn w:val="Normal"/>
    <w:next w:val="Normal"/>
    <w:link w:val="Heading5Char"/>
    <w:uiPriority w:val="4"/>
    <w:semiHidden/>
    <w:qFormat/>
    <w:rsid w:val="001837B9"/>
    <w:pPr>
      <w:numPr>
        <w:ilvl w:val="4"/>
        <w:numId w:val="11"/>
      </w:numPr>
      <w:spacing w:after="0"/>
      <w:outlineLvl w:val="4"/>
    </w:pPr>
    <w:rPr>
      <w:rFonts w:eastAsia="Times New Roman" w:cs="Times New Roman"/>
      <w:bCs/>
      <w:iCs/>
      <w:color w:val="159DCE"/>
      <w:sz w:val="16"/>
      <w:szCs w:val="20"/>
      <w:lang w:val="en-GB" w:eastAsia="en-AU"/>
    </w:rPr>
  </w:style>
  <w:style w:type="paragraph" w:styleId="Heading6">
    <w:name w:val="heading 6"/>
    <w:basedOn w:val="Normal"/>
    <w:next w:val="Normal"/>
    <w:link w:val="Heading6Char"/>
    <w:uiPriority w:val="4"/>
    <w:semiHidden/>
    <w:qFormat/>
    <w:rsid w:val="00365F92"/>
    <w:pPr>
      <w:keepNext/>
      <w:keepLines/>
      <w:spacing w:before="40" w:after="0"/>
      <w:outlineLvl w:val="5"/>
    </w:pPr>
    <w:rPr>
      <w:rFonts w:eastAsiaTheme="majorEastAsia" w:cstheme="majorBidi"/>
      <w:color w:val="159DCE"/>
      <w:sz w:val="16"/>
    </w:rPr>
  </w:style>
  <w:style w:type="paragraph" w:styleId="Heading7">
    <w:name w:val="heading 7"/>
    <w:basedOn w:val="Normal"/>
    <w:next w:val="Normal"/>
    <w:link w:val="Heading7Char"/>
    <w:uiPriority w:val="4"/>
    <w:semiHidden/>
    <w:unhideWhenUsed/>
    <w:qFormat/>
    <w:rsid w:val="00365F92"/>
    <w:pPr>
      <w:keepNext/>
      <w:keepLines/>
      <w:spacing w:before="40" w:after="0"/>
      <w:outlineLvl w:val="6"/>
    </w:pPr>
    <w:rPr>
      <w:rFonts w:eastAsiaTheme="majorEastAsia" w:cstheme="majorBidi"/>
      <w:i/>
      <w:iCs/>
      <w:color w:val="159DCE"/>
      <w:sz w:val="16"/>
    </w:rPr>
  </w:style>
  <w:style w:type="paragraph" w:styleId="Heading8">
    <w:name w:val="heading 8"/>
    <w:basedOn w:val="Normal"/>
    <w:next w:val="Normal"/>
    <w:link w:val="Heading8Char"/>
    <w:uiPriority w:val="4"/>
    <w:semiHidden/>
    <w:unhideWhenUsed/>
    <w:qFormat/>
    <w:rsid w:val="00365F92"/>
    <w:pPr>
      <w:keepNext/>
      <w:keepLines/>
      <w:spacing w:before="40" w:after="0"/>
      <w:outlineLvl w:val="7"/>
    </w:pPr>
    <w:rPr>
      <w:rFonts w:eastAsiaTheme="majorEastAsia" w:cstheme="majorBidi"/>
      <w:color w:val="159DCE"/>
      <w:sz w:val="16"/>
      <w:szCs w:val="21"/>
    </w:rPr>
  </w:style>
  <w:style w:type="paragraph" w:styleId="Heading9">
    <w:name w:val="heading 9"/>
    <w:basedOn w:val="Normal"/>
    <w:next w:val="Normal"/>
    <w:link w:val="Heading9Char"/>
    <w:uiPriority w:val="4"/>
    <w:semiHidden/>
    <w:unhideWhenUsed/>
    <w:qFormat/>
    <w:rsid w:val="00365F92"/>
    <w:pPr>
      <w:keepNext/>
      <w:keepLines/>
      <w:spacing w:before="40" w:after="0"/>
      <w:outlineLvl w:val="8"/>
    </w:pPr>
    <w:rPr>
      <w:rFonts w:eastAsiaTheme="majorEastAsia" w:cstheme="majorBidi"/>
      <w:i/>
      <w:iCs/>
      <w:color w:val="159DCE"/>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aliases w:val="CCA List Bullet"/>
    <w:basedOn w:val="Normal"/>
    <w:uiPriority w:val="99"/>
    <w:qFormat/>
    <w:rsid w:val="000D7F42"/>
    <w:pPr>
      <w:numPr>
        <w:numId w:val="30"/>
      </w:numPr>
      <w:spacing w:after="120" w:line="276" w:lineRule="auto"/>
      <w:ind w:right="-170"/>
    </w:pPr>
    <w:rPr>
      <w:rFonts w:eastAsia="Times New Roman" w:cs="Times New Roman"/>
      <w:color w:val="auto"/>
      <w:sz w:val="21"/>
      <w:szCs w:val="24"/>
      <w:lang w:eastAsia="en-GB"/>
    </w:rPr>
  </w:style>
  <w:style w:type="numbering" w:customStyle="1" w:styleId="ListBulletmaster">
    <w:name w:val="List Bullet (master)"/>
    <w:rsid w:val="001837B9"/>
    <w:pPr>
      <w:numPr>
        <w:numId w:val="1"/>
      </w:numPr>
    </w:pPr>
  </w:style>
  <w:style w:type="paragraph" w:styleId="ListBullet2">
    <w:name w:val="List Bullet 2"/>
    <w:aliases w:val="CCA List Bullet 2"/>
    <w:basedOn w:val="ListBullet"/>
    <w:uiPriority w:val="99"/>
    <w:rsid w:val="00772087"/>
    <w:pPr>
      <w:numPr>
        <w:ilvl w:val="1"/>
        <w:numId w:val="0"/>
      </w:numPr>
    </w:pPr>
    <w:rPr>
      <w:color w:val="000000" w:themeColor="text1"/>
    </w:rPr>
  </w:style>
  <w:style w:type="paragraph" w:styleId="ListBullet3">
    <w:name w:val="List Bullet 3"/>
    <w:aliases w:val="CCA List Bullet 3"/>
    <w:basedOn w:val="ListBullet"/>
    <w:uiPriority w:val="99"/>
    <w:rsid w:val="00772087"/>
    <w:pPr>
      <w:numPr>
        <w:ilvl w:val="2"/>
        <w:numId w:val="0"/>
      </w:numPr>
      <w:tabs>
        <w:tab w:val="num" w:pos="360"/>
      </w:tabs>
      <w:contextualSpacing/>
    </w:pPr>
    <w:rPr>
      <w:color w:val="000000" w:themeColor="text1"/>
    </w:rPr>
  </w:style>
  <w:style w:type="numbering" w:customStyle="1" w:styleId="ListNumbermaster">
    <w:name w:val="List Number (master)"/>
    <w:rsid w:val="001837B9"/>
    <w:pPr>
      <w:numPr>
        <w:numId w:val="2"/>
      </w:numPr>
    </w:pPr>
  </w:style>
  <w:style w:type="paragraph" w:styleId="ListNumber2">
    <w:name w:val="List Number 2"/>
    <w:basedOn w:val="Normal"/>
    <w:uiPriority w:val="99"/>
    <w:rsid w:val="001837B9"/>
    <w:pPr>
      <w:numPr>
        <w:numId w:val="13"/>
      </w:numPr>
      <w:spacing w:after="50"/>
      <w:ind w:right="-170"/>
    </w:pPr>
    <w:rPr>
      <w:rFonts w:eastAsia="Times New Roman" w:cs="Times New Roman"/>
      <w:szCs w:val="24"/>
      <w:lang w:eastAsia="en-GB"/>
    </w:rPr>
  </w:style>
  <w:style w:type="paragraph" w:styleId="ListNumber3">
    <w:name w:val="List Number 3"/>
    <w:basedOn w:val="Normal"/>
    <w:uiPriority w:val="99"/>
    <w:rsid w:val="001837B9"/>
    <w:pPr>
      <w:numPr>
        <w:ilvl w:val="2"/>
        <w:numId w:val="7"/>
      </w:numPr>
      <w:spacing w:before="80" w:after="160" w:line="288" w:lineRule="auto"/>
      <w:ind w:left="510" w:hanging="340"/>
      <w:contextualSpacing/>
    </w:pPr>
    <w:rPr>
      <w:rFonts w:eastAsia="Times New Roman" w:cs="Times New Roman"/>
      <w:szCs w:val="24"/>
      <w:lang w:eastAsia="en-GB"/>
    </w:rPr>
  </w:style>
  <w:style w:type="paragraph" w:styleId="ListNumber">
    <w:name w:val="List Number"/>
    <w:aliases w:val="CCA List Number"/>
    <w:basedOn w:val="CCABodytext"/>
    <w:uiPriority w:val="99"/>
    <w:qFormat/>
    <w:rsid w:val="00E45370"/>
    <w:pPr>
      <w:numPr>
        <w:numId w:val="33"/>
      </w:numPr>
    </w:pPr>
    <w:rPr>
      <w:i/>
    </w:rPr>
  </w:style>
  <w:style w:type="paragraph" w:styleId="NoSpacing">
    <w:name w:val="No Spacing"/>
    <w:uiPriority w:val="15"/>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D153E0"/>
    <w:pPr>
      <w:keepNext/>
      <w:spacing w:before="60" w:after="60" w:line="240" w:lineRule="auto"/>
    </w:pPr>
    <w:rPr>
      <w:rFonts w:ascii="Arial Bold" w:eastAsia="Times New Roman" w:hAnsi="Arial Bold" w:cs="Times New Roman"/>
      <w:b/>
      <w:bCs/>
      <w:color w:val="FFFFFF" w:themeColor="background1"/>
      <w:spacing w:val="6"/>
      <w:sz w:val="20"/>
      <w:szCs w:val="24"/>
      <w:lang w:eastAsia="en-GB"/>
    </w:rPr>
  </w:style>
  <w:style w:type="paragraph" w:customStyle="1" w:styleId="TableListBullet">
    <w:name w:val="Table List Bullet"/>
    <w:basedOn w:val="Normal"/>
    <w:uiPriority w:val="12"/>
    <w:qFormat/>
    <w:rsid w:val="00A04195"/>
    <w:pPr>
      <w:spacing w:after="60" w:line="160" w:lineRule="exact"/>
      <w:ind w:right="-170"/>
    </w:pPr>
    <w:rPr>
      <w:rFonts w:eastAsia="Times New Roman" w:cs="Times New Roman"/>
      <w:bCs/>
      <w:sz w:val="16"/>
      <w:szCs w:val="24"/>
      <w:lang w:eastAsia="en-GB"/>
    </w:rPr>
  </w:style>
  <w:style w:type="numbering" w:customStyle="1" w:styleId="TableListBulletmaster">
    <w:name w:val="Table List Bullet (master)"/>
    <w:rsid w:val="001837B9"/>
    <w:pPr>
      <w:numPr>
        <w:numId w:val="3"/>
      </w:numPr>
    </w:pPr>
  </w:style>
  <w:style w:type="paragraph" w:customStyle="1" w:styleId="TableListBullet2">
    <w:name w:val="Table List Bullet 2"/>
    <w:basedOn w:val="TableListBullet"/>
    <w:uiPriority w:val="12"/>
    <w:qFormat/>
    <w:rsid w:val="001837B9"/>
    <w:pPr>
      <w:ind w:left="360" w:hanging="360"/>
    </w:pPr>
  </w:style>
  <w:style w:type="paragraph" w:customStyle="1" w:styleId="TableListNumber">
    <w:name w:val="Table List Number"/>
    <w:basedOn w:val="Normal"/>
    <w:uiPriority w:val="12"/>
    <w:qFormat/>
    <w:rsid w:val="00226778"/>
    <w:pPr>
      <w:spacing w:after="40"/>
      <w:ind w:left="530" w:right="-170" w:hanging="360"/>
    </w:pPr>
    <w:rPr>
      <w:rFonts w:eastAsia="Times New Roman" w:cs="Times New Roman"/>
      <w:bCs/>
      <w:sz w:val="16"/>
      <w:szCs w:val="24"/>
      <w:lang w:eastAsia="en-GB"/>
    </w:rPr>
  </w:style>
  <w:style w:type="numbering" w:customStyle="1" w:styleId="TableListNumbermaster">
    <w:name w:val="Table List Number (master)"/>
    <w:rsid w:val="001837B9"/>
    <w:pPr>
      <w:numPr>
        <w:numId w:val="4"/>
      </w:numPr>
    </w:pPr>
  </w:style>
  <w:style w:type="paragraph" w:customStyle="1" w:styleId="TableListNumber2">
    <w:name w:val="Table List Number 2"/>
    <w:basedOn w:val="TableListNumber"/>
    <w:uiPriority w:val="12"/>
    <w:qFormat/>
    <w:rsid w:val="001837B9"/>
    <w:pPr>
      <w:spacing w:after="60"/>
      <w:ind w:left="700"/>
    </w:pPr>
  </w:style>
  <w:style w:type="paragraph" w:customStyle="1" w:styleId="TableText">
    <w:name w:val="Table Text"/>
    <w:basedOn w:val="Normal"/>
    <w:link w:val="TableTextChar"/>
    <w:qFormat/>
    <w:rsid w:val="00D153E0"/>
    <w:pPr>
      <w:spacing w:before="60" w:after="0" w:line="276" w:lineRule="auto"/>
    </w:pPr>
    <w:rPr>
      <w:rFonts w:eastAsia="Times New Roman" w:cs="Times New Roman"/>
      <w:bCs/>
      <w:color w:val="auto"/>
      <w:sz w:val="20"/>
      <w:szCs w:val="24"/>
      <w:lang w:eastAsia="en-GB"/>
    </w:rPr>
  </w:style>
  <w:style w:type="paragraph" w:customStyle="1" w:styleId="TableTextsmall">
    <w:name w:val="Table Text (small)"/>
    <w:basedOn w:val="TableText"/>
    <w:uiPriority w:val="13"/>
    <w:qFormat/>
    <w:rsid w:val="006722C0"/>
    <w:rPr>
      <w:sz w:val="15"/>
    </w:rPr>
  </w:style>
  <w:style w:type="character" w:customStyle="1" w:styleId="Textbold">
    <w:name w:val="Text (bold)"/>
    <w:basedOn w:val="DefaultParagraphFont"/>
    <w:uiPriority w:val="1"/>
    <w:rsid w:val="006722C0"/>
    <w:rPr>
      <w:b/>
    </w:rPr>
  </w:style>
  <w:style w:type="character" w:customStyle="1" w:styleId="Textitalic">
    <w:name w:val="Text (italic)"/>
    <w:basedOn w:val="DefaultParagraphFont"/>
    <w:uiPriority w:val="1"/>
    <w:rsid w:val="006722C0"/>
    <w:rPr>
      <w:i/>
    </w:rPr>
  </w:style>
  <w:style w:type="character" w:customStyle="1" w:styleId="Textsubscript">
    <w:name w:val="Text (subscript)"/>
    <w:basedOn w:val="DefaultParagraphFont"/>
    <w:uiPriority w:val="2"/>
    <w:rsid w:val="006722C0"/>
    <w:rPr>
      <w:vertAlign w:val="subscript"/>
    </w:rPr>
  </w:style>
  <w:style w:type="character" w:customStyle="1" w:styleId="Textsuperscript">
    <w:name w:val="Text (superscript)"/>
    <w:basedOn w:val="DefaultParagraphFont"/>
    <w:uiPriority w:val="2"/>
    <w:rsid w:val="006722C0"/>
    <w:rPr>
      <w:vertAlign w:val="superscript"/>
    </w:rPr>
  </w:style>
  <w:style w:type="character" w:customStyle="1" w:styleId="Textunderline">
    <w:name w:val="Text (underline)"/>
    <w:basedOn w:val="DefaultParagraphFont"/>
    <w:uiPriority w:val="1"/>
    <w:rsid w:val="006722C0"/>
    <w:rPr>
      <w:u w:val="single"/>
    </w:rPr>
  </w:style>
  <w:style w:type="paragraph" w:styleId="BodyText">
    <w:name w:val="Body Text"/>
    <w:basedOn w:val="Normal"/>
    <w:link w:val="BodyTextChar"/>
    <w:uiPriority w:val="1"/>
    <w:rsid w:val="006608C0"/>
    <w:pPr>
      <w:spacing w:line="320" w:lineRule="exact"/>
    </w:pPr>
  </w:style>
  <w:style w:type="character" w:customStyle="1" w:styleId="BodyTextChar">
    <w:name w:val="Body Text Char"/>
    <w:basedOn w:val="DefaultParagraphFont"/>
    <w:link w:val="BodyText"/>
    <w:uiPriority w:val="1"/>
    <w:rsid w:val="006608C0"/>
    <w:rPr>
      <w:rFonts w:ascii="Arial" w:hAnsi="Arial"/>
      <w:color w:val="414141"/>
      <w:lang w:val="en-AU"/>
    </w:rPr>
  </w:style>
  <w:style w:type="paragraph" w:styleId="Caption">
    <w:name w:val="caption"/>
    <w:basedOn w:val="Normal"/>
    <w:next w:val="Normal"/>
    <w:uiPriority w:val="15"/>
    <w:qFormat/>
    <w:rsid w:val="00B21B7A"/>
    <w:pPr>
      <w:keepNext/>
      <w:tabs>
        <w:tab w:val="left" w:pos="1418"/>
      </w:tabs>
      <w:spacing w:after="0"/>
      <w:ind w:left="1418" w:hanging="1418"/>
    </w:pPr>
    <w:rPr>
      <w:bCs/>
      <w:szCs w:val="18"/>
    </w:rPr>
  </w:style>
  <w:style w:type="paragraph" w:customStyle="1" w:styleId="Image">
    <w:name w:val="Image"/>
    <w:basedOn w:val="Normal"/>
    <w:uiPriority w:val="15"/>
    <w:qFormat/>
    <w:rsid w:val="00B21B7A"/>
    <w:pPr>
      <w:spacing w:before="60" w:after="60"/>
    </w:pPr>
    <w:rPr>
      <w:rFonts w:eastAsia="Times New Roman" w:cs="Times New Roman"/>
      <w:szCs w:val="24"/>
      <w:lang w:val="en-GB" w:eastAsia="en-AU"/>
    </w:rPr>
  </w:style>
  <w:style w:type="character" w:customStyle="1" w:styleId="Heading1Char">
    <w:name w:val="Heading 1 Char"/>
    <w:basedOn w:val="DefaultParagraphFont"/>
    <w:link w:val="Heading1"/>
    <w:uiPriority w:val="4"/>
    <w:semiHidden/>
    <w:rsid w:val="001837B9"/>
    <w:rPr>
      <w:rFonts w:ascii="Arial" w:eastAsia="Times New Roman" w:hAnsi="Arial" w:cs="Arial"/>
      <w:b/>
      <w:bCs/>
      <w:caps/>
      <w:color w:val="159DCE"/>
      <w:sz w:val="34"/>
      <w:szCs w:val="32"/>
      <w:lang w:val="en-GB" w:eastAsia="en-AU"/>
    </w:rPr>
  </w:style>
  <w:style w:type="paragraph" w:styleId="Header">
    <w:name w:val="header"/>
    <w:basedOn w:val="Normal"/>
    <w:link w:val="HeaderChar"/>
    <w:uiPriority w:val="99"/>
    <w:rsid w:val="00600B6F"/>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99"/>
    <w:rsid w:val="00600B6F"/>
    <w:rPr>
      <w:rFonts w:ascii="Times New Roman" w:hAnsi="Times New Roman" w:cs="Times New Roman"/>
      <w:color w:val="414141"/>
      <w:sz w:val="32"/>
      <w:szCs w:val="32"/>
      <w:lang w:val="en-AU"/>
    </w:rPr>
  </w:style>
  <w:style w:type="paragraph" w:styleId="Footer">
    <w:name w:val="footer"/>
    <w:basedOn w:val="Normal"/>
    <w:link w:val="FooterChar"/>
    <w:uiPriority w:val="99"/>
    <w:rsid w:val="006E4BCE"/>
    <w:pPr>
      <w:tabs>
        <w:tab w:val="left" w:pos="284"/>
      </w:tabs>
      <w:spacing w:after="0" w:line="240" w:lineRule="auto"/>
      <w:jc w:val="right"/>
    </w:pPr>
    <w:rPr>
      <w:rFonts w:ascii="Arial Bold" w:hAnsi="Arial Bold"/>
      <w:b/>
      <w:caps/>
      <w:sz w:val="12"/>
    </w:rPr>
  </w:style>
  <w:style w:type="character" w:customStyle="1" w:styleId="FooterChar">
    <w:name w:val="Footer Char"/>
    <w:basedOn w:val="DefaultParagraphFont"/>
    <w:link w:val="Footer"/>
    <w:uiPriority w:val="99"/>
    <w:rsid w:val="006E4BCE"/>
    <w:rPr>
      <w:rFonts w:ascii="Arial Bold" w:hAnsi="Arial Bold"/>
      <w:b/>
      <w:caps/>
      <w:color w:val="414141"/>
      <w:sz w:val="12"/>
      <w:lang w:val="en-AU"/>
    </w:rPr>
  </w:style>
  <w:style w:type="paragraph" w:styleId="TOC1">
    <w:name w:val="toc 1"/>
    <w:basedOn w:val="Normal"/>
    <w:next w:val="Normal"/>
    <w:autoRedefine/>
    <w:uiPriority w:val="39"/>
    <w:rsid w:val="00F449BE"/>
    <w:pPr>
      <w:keepNext/>
      <w:tabs>
        <w:tab w:val="left" w:pos="567"/>
        <w:tab w:val="left" w:pos="1134"/>
        <w:tab w:val="left" w:pos="1560"/>
        <w:tab w:val="right" w:pos="9629"/>
      </w:tabs>
      <w:spacing w:before="80" w:after="0" w:line="276" w:lineRule="auto"/>
    </w:pPr>
    <w:rPr>
      <w:rFonts w:asciiTheme="minorHAnsi" w:eastAsiaTheme="minorEastAsia" w:hAnsiTheme="minorHAnsi"/>
      <w:b/>
      <w:caps/>
      <w:noProof/>
      <w:color w:val="309CC8" w:themeColor="accent2"/>
      <w:lang w:eastAsia="en-AU"/>
    </w:rPr>
  </w:style>
  <w:style w:type="paragraph" w:styleId="Subtitle">
    <w:name w:val="Subtitle"/>
    <w:basedOn w:val="Normal"/>
    <w:next w:val="Normal"/>
    <w:link w:val="SubtitleChar"/>
    <w:uiPriority w:val="19"/>
    <w:qFormat/>
    <w:rsid w:val="007F5A60"/>
    <w:pPr>
      <w:spacing w:line="380" w:lineRule="exact"/>
    </w:pPr>
    <w:rPr>
      <w:rFonts w:ascii="Arial Bold" w:hAnsi="Arial Bold" w:cs="Arial"/>
      <w:b/>
      <w:caps/>
      <w:color w:val="000000" w:themeColor="text1"/>
      <w:sz w:val="34"/>
      <w:szCs w:val="28"/>
    </w:rPr>
  </w:style>
  <w:style w:type="character" w:customStyle="1" w:styleId="SubtitleChar">
    <w:name w:val="Subtitle Char"/>
    <w:basedOn w:val="DefaultParagraphFont"/>
    <w:link w:val="Subtitle"/>
    <w:uiPriority w:val="19"/>
    <w:rsid w:val="007F5A60"/>
    <w:rPr>
      <w:rFonts w:ascii="Arial Bold" w:hAnsi="Arial Bold" w:cs="Arial"/>
      <w:b/>
      <w:caps/>
      <w:color w:val="000000" w:themeColor="text1"/>
      <w:sz w:val="34"/>
      <w:szCs w:val="28"/>
      <w:lang w:val="en-AU"/>
    </w:rPr>
  </w:style>
  <w:style w:type="paragraph" w:styleId="Date">
    <w:name w:val="Date"/>
    <w:basedOn w:val="Subtitle"/>
    <w:next w:val="Normal"/>
    <w:link w:val="DateChar"/>
    <w:uiPriority w:val="19"/>
    <w:rsid w:val="00323E5A"/>
    <w:pPr>
      <w:spacing w:after="0" w:line="160" w:lineRule="exact"/>
    </w:pPr>
    <w:rPr>
      <w:b w:val="0"/>
      <w:color w:val="414141"/>
      <w:sz w:val="16"/>
    </w:rPr>
  </w:style>
  <w:style w:type="character" w:customStyle="1" w:styleId="DateChar">
    <w:name w:val="Date Char"/>
    <w:basedOn w:val="DefaultParagraphFont"/>
    <w:link w:val="Date"/>
    <w:uiPriority w:val="19"/>
    <w:rsid w:val="00323E5A"/>
    <w:rPr>
      <w:rFonts w:ascii="Arial Bold" w:hAnsi="Arial Bold" w:cs="Arial"/>
      <w:caps/>
      <w:color w:val="414141"/>
      <w:sz w:val="16"/>
      <w:szCs w:val="28"/>
      <w:lang w:val="en-AU"/>
    </w:rPr>
  </w:style>
  <w:style w:type="paragraph" w:styleId="Title">
    <w:name w:val="Title"/>
    <w:basedOn w:val="Normal"/>
    <w:link w:val="TitleChar"/>
    <w:uiPriority w:val="19"/>
    <w:qFormat/>
    <w:rsid w:val="00365F92"/>
    <w:pPr>
      <w:spacing w:after="0" w:line="380" w:lineRule="exact"/>
    </w:pPr>
    <w:rPr>
      <w:rFonts w:ascii="Arial Bold" w:hAnsi="Arial Bold"/>
      <w:b/>
      <w:caps/>
      <w:color w:val="159DCE"/>
      <w:sz w:val="34"/>
    </w:rPr>
  </w:style>
  <w:style w:type="character" w:customStyle="1" w:styleId="TitleChar">
    <w:name w:val="Title Char"/>
    <w:basedOn w:val="DefaultParagraphFont"/>
    <w:link w:val="Title"/>
    <w:uiPriority w:val="19"/>
    <w:rsid w:val="00365F92"/>
    <w:rPr>
      <w:rFonts w:ascii="Arial Bold" w:hAnsi="Arial Bold"/>
      <w:b/>
      <w:caps/>
      <w:color w:val="159DCE"/>
      <w:sz w:val="34"/>
      <w:lang w:val="en-AU"/>
    </w:rPr>
  </w:style>
  <w:style w:type="paragraph" w:customStyle="1" w:styleId="AppendixHeading1">
    <w:name w:val="Appendix Heading 1"/>
    <w:basedOn w:val="Heading1"/>
    <w:next w:val="BodyText"/>
    <w:uiPriority w:val="6"/>
    <w:rsid w:val="00513CCF"/>
    <w:pPr>
      <w:keepNext w:val="0"/>
      <w:tabs>
        <w:tab w:val="left" w:pos="2835"/>
      </w:tabs>
      <w:suppressAutoHyphens/>
      <w:ind w:left="357" w:hanging="357"/>
    </w:pPr>
    <w:rPr>
      <w:rFonts w:ascii="Arial Bold" w:hAnsi="Arial Bold" w:cs="Times New Roman"/>
      <w:b w:val="0"/>
      <w:szCs w:val="30"/>
      <w:lang w:val="en-AU"/>
    </w:rPr>
  </w:style>
  <w:style w:type="paragraph" w:customStyle="1" w:styleId="AppendixHeading2">
    <w:name w:val="Appendix Heading 2"/>
    <w:basedOn w:val="AppendixHeading1"/>
    <w:next w:val="BodyText"/>
    <w:uiPriority w:val="6"/>
    <w:rsid w:val="00210644"/>
    <w:pPr>
      <w:keepNext/>
      <w:pageBreakBefore w:val="0"/>
      <w:numPr>
        <w:ilvl w:val="1"/>
      </w:numPr>
      <w:spacing w:before="200" w:after="80" w:line="260" w:lineRule="exact"/>
      <w:ind w:left="357" w:hanging="357"/>
    </w:pPr>
    <w:rPr>
      <w:caps w:val="0"/>
      <w:sz w:val="22"/>
    </w:rPr>
  </w:style>
  <w:style w:type="character" w:customStyle="1" w:styleId="Heading2Char">
    <w:name w:val="Heading 2 Char"/>
    <w:basedOn w:val="DefaultParagraphFont"/>
    <w:link w:val="Heading2"/>
    <w:uiPriority w:val="4"/>
    <w:semiHidden/>
    <w:rsid w:val="002B4BCC"/>
    <w:rPr>
      <w:rFonts w:ascii="Arial Bold" w:eastAsia="Times New Roman" w:hAnsi="Arial Bold" w:cs="Arial"/>
      <w:b/>
      <w:iCs/>
      <w:caps/>
      <w:color w:val="159DCE"/>
      <w:szCs w:val="28"/>
      <w:lang w:val="en-GB" w:eastAsia="en-AU"/>
    </w:rPr>
  </w:style>
  <w:style w:type="character" w:customStyle="1" w:styleId="Heading3Char">
    <w:name w:val="Heading 3 Char"/>
    <w:basedOn w:val="DefaultParagraphFont"/>
    <w:link w:val="Heading3"/>
    <w:uiPriority w:val="4"/>
    <w:semiHidden/>
    <w:rsid w:val="001837B9"/>
    <w:rPr>
      <w:rFonts w:ascii="Arial" w:eastAsia="Times New Roman" w:hAnsi="Arial" w:cs="Arial"/>
      <w:caps/>
      <w:color w:val="159DCE"/>
      <w:spacing w:val="-10"/>
      <w:szCs w:val="26"/>
      <w:lang w:val="en-GB" w:eastAsia="en-AU"/>
    </w:rPr>
  </w:style>
  <w:style w:type="character" w:customStyle="1" w:styleId="Heading4Char">
    <w:name w:val="Heading 4 Char"/>
    <w:basedOn w:val="DefaultParagraphFont"/>
    <w:link w:val="Heading4"/>
    <w:uiPriority w:val="4"/>
    <w:semiHidden/>
    <w:rsid w:val="00C47E6D"/>
    <w:rPr>
      <w:rFonts w:ascii="Arial" w:eastAsia="Times New Roman" w:hAnsi="Arial" w:cs="Arial"/>
      <w:color w:val="159DCE"/>
      <w:spacing w:val="-5"/>
      <w:sz w:val="20"/>
      <w:szCs w:val="21"/>
      <w:lang w:val="en-GB" w:eastAsia="en-AU"/>
    </w:rPr>
  </w:style>
  <w:style w:type="character" w:customStyle="1" w:styleId="Heading5Char">
    <w:name w:val="Heading 5 Char"/>
    <w:basedOn w:val="DefaultParagraphFont"/>
    <w:link w:val="Heading5"/>
    <w:uiPriority w:val="4"/>
    <w:semiHidden/>
    <w:rsid w:val="001837B9"/>
    <w:rPr>
      <w:rFonts w:ascii="Arial" w:eastAsia="Times New Roman" w:hAnsi="Arial" w:cs="Times New Roman"/>
      <w:bCs/>
      <w:iCs/>
      <w:color w:val="159DCE"/>
      <w:sz w:val="16"/>
      <w:szCs w:val="20"/>
      <w:lang w:val="en-GB" w:eastAsia="en-AU"/>
    </w:rPr>
  </w:style>
  <w:style w:type="paragraph" w:customStyle="1" w:styleId="Headingnon-numbered">
    <w:name w:val="Heading (non-numbered)"/>
    <w:basedOn w:val="Heading1"/>
    <w:next w:val="BodyText"/>
    <w:uiPriority w:val="5"/>
    <w:rsid w:val="00365F92"/>
    <w:rPr>
      <w:rFonts w:ascii="Arial Bold" w:hAnsi="Arial Bold"/>
      <w:b w:val="0"/>
    </w:rPr>
  </w:style>
  <w:style w:type="paragraph" w:customStyle="1" w:styleId="AppendixHeading3">
    <w:name w:val="Appendix Heading 3"/>
    <w:basedOn w:val="Heading1"/>
    <w:next w:val="BodyText"/>
    <w:uiPriority w:val="6"/>
    <w:rsid w:val="00D970B1"/>
    <w:pPr>
      <w:pageBreakBefore w:val="0"/>
      <w:suppressAutoHyphens/>
      <w:spacing w:before="100" w:after="80" w:line="260" w:lineRule="exact"/>
    </w:pPr>
    <w:rPr>
      <w:rFonts w:cs="Times New Roman"/>
      <w:caps w:val="0"/>
      <w:sz w:val="22"/>
      <w:szCs w:val="30"/>
      <w:lang w:val="en-AU"/>
    </w:rPr>
  </w:style>
  <w:style w:type="paragraph" w:styleId="TOC2">
    <w:name w:val="toc 2"/>
    <w:basedOn w:val="TOC1"/>
    <w:next w:val="Normal"/>
    <w:autoRedefine/>
    <w:uiPriority w:val="39"/>
    <w:rsid w:val="0029399D"/>
    <w:pPr>
      <w:tabs>
        <w:tab w:val="clear" w:pos="1134"/>
        <w:tab w:val="clear" w:pos="9629"/>
        <w:tab w:val="right" w:pos="9639"/>
      </w:tabs>
    </w:pPr>
    <w:rPr>
      <w:b w:val="0"/>
      <w:caps w:val="0"/>
      <w:color w:val="auto"/>
      <w:sz w:val="20"/>
    </w:rPr>
  </w:style>
  <w:style w:type="paragraph" w:styleId="TOC3">
    <w:name w:val="toc 3"/>
    <w:next w:val="Normal"/>
    <w:autoRedefine/>
    <w:uiPriority w:val="39"/>
    <w:rsid w:val="00EA77C0"/>
    <w:pPr>
      <w:tabs>
        <w:tab w:val="left" w:pos="851"/>
        <w:tab w:val="decimal" w:pos="9639"/>
      </w:tabs>
      <w:spacing w:after="0" w:line="360" w:lineRule="auto"/>
    </w:pPr>
    <w:rPr>
      <w:rFonts w:ascii="Arial" w:hAnsi="Arial"/>
      <w:color w:val="000000" w:themeColor="text1"/>
      <w:sz w:val="21"/>
      <w:szCs w:val="21"/>
      <w:lang w:val="en-AU"/>
    </w:rPr>
  </w:style>
  <w:style w:type="character" w:styleId="Hyperlink">
    <w:name w:val="Hyperlink"/>
    <w:basedOn w:val="DefaultParagraphFont"/>
    <w:uiPriority w:val="99"/>
    <w:locked/>
    <w:rsid w:val="00365F92"/>
    <w:rPr>
      <w:color w:val="159DCE"/>
      <w:u w:val="single"/>
    </w:rPr>
  </w:style>
  <w:style w:type="table" w:styleId="TableGrid">
    <w:name w:val="Table Grid"/>
    <w:aliases w:val="Table 1,Table Layout"/>
    <w:basedOn w:val="TableNormal"/>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791C4A"/>
    <w:pPr>
      <w:keepNext/>
      <w:keepLines/>
      <w:spacing w:after="0" w:line="240" w:lineRule="auto"/>
    </w:pPr>
    <w:rPr>
      <w:rFonts w:ascii="Arial" w:hAnsi="Arial"/>
      <w:color w:val="414141"/>
      <w:sz w:val="21"/>
    </w:rPr>
    <w:tblPr/>
    <w:tcPr>
      <w:shd w:val="clear" w:color="auto" w:fill="E6ECF2"/>
      <w:tcMar>
        <w:top w:w="567" w:type="dxa"/>
        <w:left w:w="567" w:type="dxa"/>
        <w:bottom w:w="567" w:type="dxa"/>
        <w:right w:w="567" w:type="dxa"/>
      </w:tcMar>
      <w:vAlign w:val="center"/>
    </w:tcPr>
    <w:tblStylePr w:type="firstRow">
      <w:tblPr/>
      <w:trPr>
        <w:tblHeader/>
      </w:trPr>
    </w:tblStylePr>
  </w:style>
  <w:style w:type="paragraph" w:customStyle="1" w:styleId="Headingnumberedbox">
    <w:name w:val="Heading (numbered box)"/>
    <w:basedOn w:val="AppendixHeading1"/>
    <w:next w:val="TableText"/>
    <w:uiPriority w:val="7"/>
    <w:rsid w:val="002D43C5"/>
    <w:pPr>
      <w:keepNext/>
      <w:pageBreakBefore w:val="0"/>
      <w:numPr>
        <w:numId w:val="20"/>
      </w:numPr>
      <w:tabs>
        <w:tab w:val="clear" w:pos="2835"/>
      </w:tabs>
      <w:spacing w:after="80" w:line="360" w:lineRule="auto"/>
      <w:ind w:left="0" w:firstLine="0"/>
    </w:pPr>
    <w:rPr>
      <w:sz w:val="22"/>
    </w:rPr>
  </w:style>
  <w:style w:type="paragraph" w:customStyle="1" w:styleId="Headingrecommendations">
    <w:name w:val="Heading (recommendations)"/>
    <w:basedOn w:val="Headingnumberedbox"/>
    <w:next w:val="Refno"/>
    <w:uiPriority w:val="7"/>
    <w:rsid w:val="00895359"/>
    <w:pPr>
      <w:numPr>
        <w:numId w:val="0"/>
      </w:numPr>
      <w:spacing w:line="100" w:lineRule="exact"/>
    </w:pPr>
  </w:style>
  <w:style w:type="paragraph" w:customStyle="1" w:styleId="Symbol">
    <w:name w:val="Symbol"/>
    <w:basedOn w:val="Normal"/>
    <w:uiPriority w:val="15"/>
    <w:qFormat/>
    <w:rsid w:val="00365F92"/>
    <w:pPr>
      <w:spacing w:line="240" w:lineRule="auto"/>
    </w:pPr>
    <w:rPr>
      <w:color w:val="159DCE"/>
      <w:sz w:val="34"/>
    </w:rPr>
  </w:style>
  <w:style w:type="table" w:customStyle="1" w:styleId="CCATable">
    <w:name w:val="CCA Table"/>
    <w:basedOn w:val="TableNormal"/>
    <w:uiPriority w:val="99"/>
    <w:rsid w:val="008E25CE"/>
    <w:pPr>
      <w:keepNext/>
      <w:keepLines/>
      <w:spacing w:before="40" w:after="80" w:line="240" w:lineRule="auto"/>
    </w:pPr>
    <w:rPr>
      <w:rFonts w:ascii="Arial" w:hAnsi="Arial"/>
      <w:color w:val="414141"/>
      <w:sz w:val="18"/>
    </w:rPr>
    <w:tblPr>
      <w:tblStyleRowBandSize w:val="1"/>
      <w:tblBorders>
        <w:bottom w:val="dotted" w:sz="4" w:space="0" w:color="BFBFBF" w:themeColor="background1" w:themeShade="BF"/>
        <w:insideH w:val="dotted" w:sz="4" w:space="0" w:color="BFBFBF" w:themeColor="background1" w:themeShade="BF"/>
      </w:tblBorders>
    </w:tblPr>
    <w:trPr>
      <w:cantSplit/>
    </w:trPr>
    <w:tcPr>
      <w:shd w:val="clear" w:color="auto" w:fill="309CC8" w:themeFill="accent4"/>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309CC8" w:themeFill="accent1"/>
      </w:tcPr>
    </w:tblStylePr>
    <w:tblStylePr w:type="lastRow">
      <w:rPr>
        <w:rFonts w:ascii="Arial" w:hAnsi="Arial"/>
        <w:sz w:val="18"/>
      </w:rPr>
      <w:tblPr/>
      <w:tcPr>
        <w:tcBorders>
          <w:bottom w:val="dotted" w:sz="4" w:space="0" w:color="BFBFBF" w:themeColor="background1" w:themeShade="BF"/>
        </w:tcBorders>
        <w:shd w:val="clear" w:color="auto" w:fill="309CC8" w:themeFill="accent4"/>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non-numbered"/>
    <w:next w:val="Normal"/>
    <w:uiPriority w:val="39"/>
    <w:qFormat/>
    <w:rsid w:val="00E073FF"/>
    <w:pPr>
      <w:pageBreakBefore w:val="0"/>
      <w:spacing w:before="200" w:after="0" w:line="200" w:lineRule="exact"/>
    </w:pPr>
    <w:rPr>
      <w:b/>
      <w:caps w:val="0"/>
      <w:sz w:val="16"/>
    </w:rPr>
  </w:style>
  <w:style w:type="numbering" w:customStyle="1" w:styleId="AppendixHeadingmaster">
    <w:name w:val="Appendix Heading (master)"/>
    <w:uiPriority w:val="99"/>
    <w:rsid w:val="001837B9"/>
    <w:pPr>
      <w:numPr>
        <w:numId w:val="5"/>
      </w:numPr>
    </w:pPr>
  </w:style>
  <w:style w:type="character" w:styleId="PageNumber">
    <w:name w:val="page number"/>
    <w:basedOn w:val="DefaultParagraphFont"/>
    <w:uiPriority w:val="19"/>
    <w:rsid w:val="00E073FF"/>
    <w:rPr>
      <w:rFonts w:ascii="Arial Bold" w:hAnsi="Arial Bold"/>
      <w:b/>
      <w:color w:val="auto"/>
      <w:sz w:val="12"/>
    </w:rPr>
  </w:style>
  <w:style w:type="paragraph" w:styleId="TableofFigures">
    <w:name w:val="table of figures"/>
    <w:basedOn w:val="Normal"/>
    <w:next w:val="Normal"/>
    <w:uiPriority w:val="99"/>
    <w:locked/>
    <w:rsid w:val="00386D1D"/>
    <w:pPr>
      <w:tabs>
        <w:tab w:val="right" w:leader="dot" w:pos="1134"/>
        <w:tab w:val="decimal" w:pos="7927"/>
      </w:tabs>
      <w:spacing w:after="0" w:line="360" w:lineRule="auto"/>
      <w:ind w:left="851" w:right="567" w:hanging="851"/>
    </w:pPr>
  </w:style>
  <w:style w:type="paragraph" w:customStyle="1" w:styleId="Referencenumber">
    <w:name w:val="Reference number"/>
    <w:basedOn w:val="Normal"/>
    <w:uiPriority w:val="39"/>
    <w:locked/>
    <w:rsid w:val="00E83EE8"/>
    <w:pPr>
      <w:spacing w:before="40" w:after="80" w:line="288" w:lineRule="auto"/>
    </w:pPr>
    <w:rPr>
      <w:rFonts w:eastAsia="Times New Roman" w:cs="Times New Roman"/>
      <w:vanish/>
      <w:color w:val="FF0000"/>
      <w:sz w:val="16"/>
      <w:szCs w:val="24"/>
      <w:lang w:eastAsia="en-GB"/>
    </w:rPr>
  </w:style>
  <w:style w:type="paragraph" w:customStyle="1" w:styleId="CCANotesource">
    <w:name w:val="CCA Note/source"/>
    <w:basedOn w:val="TableText"/>
    <w:uiPriority w:val="13"/>
    <w:qFormat/>
    <w:rsid w:val="001D17FB"/>
    <w:pPr>
      <w:pBdr>
        <w:top w:val="dotted" w:sz="4" w:space="3" w:color="309CC8" w:themeColor="accent1"/>
        <w:bottom w:val="dotted" w:sz="4" w:space="1" w:color="309CC8" w:themeColor="accent1"/>
      </w:pBdr>
      <w:spacing w:before="0" w:after="240"/>
    </w:pPr>
    <w:rPr>
      <w:rFonts w:eastAsia="Calibri"/>
      <w:sz w:val="18"/>
    </w:rPr>
  </w:style>
  <w:style w:type="numbering" w:customStyle="1" w:styleId="Headingsmaster">
    <w:name w:val="Headings (master)"/>
    <w:uiPriority w:val="99"/>
    <w:rsid w:val="001837B9"/>
    <w:pPr>
      <w:numPr>
        <w:numId w:val="6"/>
      </w:numPr>
    </w:pPr>
  </w:style>
  <w:style w:type="paragraph" w:styleId="TOC4">
    <w:name w:val="toc 4"/>
    <w:basedOn w:val="Normal"/>
    <w:next w:val="Normal"/>
    <w:autoRedefine/>
    <w:uiPriority w:val="39"/>
    <w:rsid w:val="00386D1D"/>
    <w:pPr>
      <w:tabs>
        <w:tab w:val="left" w:pos="1378"/>
        <w:tab w:val="right" w:pos="7927"/>
      </w:tabs>
      <w:spacing w:after="0" w:line="240" w:lineRule="auto"/>
      <w:ind w:left="1134" w:hanging="1134"/>
    </w:pPr>
  </w:style>
  <w:style w:type="paragraph" w:styleId="EndnoteText">
    <w:name w:val="endnote text"/>
    <w:basedOn w:val="Normal"/>
    <w:link w:val="EndnoteTextChar"/>
    <w:uiPriority w:val="99"/>
    <w:semiHidden/>
    <w:rsid w:val="00940279"/>
    <w:pPr>
      <w:spacing w:after="0"/>
    </w:pPr>
    <w:rPr>
      <w:szCs w:val="20"/>
    </w:rPr>
  </w:style>
  <w:style w:type="character" w:customStyle="1" w:styleId="EndnoteTextChar">
    <w:name w:val="Endnote Text Char"/>
    <w:basedOn w:val="DefaultParagraphFont"/>
    <w:link w:val="EndnoteText"/>
    <w:uiPriority w:val="99"/>
    <w:semiHidden/>
    <w:rsid w:val="00940279"/>
    <w:rPr>
      <w:rFonts w:ascii="Arial" w:hAnsi="Arial"/>
      <w:color w:val="414141"/>
      <w:sz w:val="18"/>
      <w:szCs w:val="20"/>
      <w:lang w:val="en-AU"/>
    </w:rPr>
  </w:style>
  <w:style w:type="character" w:styleId="EndnoteReference">
    <w:name w:val="endnote reference"/>
    <w:basedOn w:val="DefaultParagraphFont"/>
    <w:uiPriority w:val="99"/>
    <w:semiHidden/>
    <w:rsid w:val="003B44D6"/>
    <w:rPr>
      <w:vertAlign w:val="superscript"/>
    </w:rPr>
  </w:style>
  <w:style w:type="paragraph" w:styleId="FootnoteText">
    <w:name w:val="footnote text"/>
    <w:basedOn w:val="Normal"/>
    <w:link w:val="FootnoteTextChar"/>
    <w:uiPriority w:val="99"/>
    <w:rsid w:val="003B44D6"/>
    <w:pPr>
      <w:spacing w:after="0" w:line="240" w:lineRule="auto"/>
    </w:pPr>
    <w:rPr>
      <w:sz w:val="17"/>
      <w:szCs w:val="20"/>
    </w:rPr>
  </w:style>
  <w:style w:type="character" w:customStyle="1" w:styleId="FootnoteTextChar">
    <w:name w:val="Footnote Text Char"/>
    <w:basedOn w:val="DefaultParagraphFont"/>
    <w:link w:val="FootnoteText"/>
    <w:uiPriority w:val="99"/>
    <w:rsid w:val="005D4127"/>
    <w:rPr>
      <w:rFonts w:ascii="Arial" w:hAnsi="Arial"/>
      <w:color w:val="414141"/>
      <w:sz w:val="17"/>
      <w:szCs w:val="20"/>
      <w:lang w:val="en-AU"/>
    </w:rPr>
  </w:style>
  <w:style w:type="character" w:styleId="FootnoteReference">
    <w:name w:val="footnote reference"/>
    <w:aliases w:val="(NECG) Footnote Reference"/>
    <w:basedOn w:val="DefaultParagraphFont"/>
    <w:uiPriority w:val="99"/>
    <w:rsid w:val="003B44D6"/>
    <w:rPr>
      <w:vertAlign w:val="superscript"/>
    </w:rPr>
  </w:style>
  <w:style w:type="paragraph" w:styleId="Bibliography">
    <w:name w:val="Bibliography"/>
    <w:basedOn w:val="Normal"/>
    <w:next w:val="Normal"/>
    <w:uiPriority w:val="15"/>
    <w:rsid w:val="00B21B7A"/>
    <w:pPr>
      <w:autoSpaceDE w:val="0"/>
      <w:autoSpaceDN w:val="0"/>
      <w:adjustRightInd w:val="0"/>
      <w:spacing w:before="80"/>
      <w:ind w:left="454" w:hanging="454"/>
      <w:textAlignment w:val="center"/>
    </w:pPr>
    <w:rPr>
      <w:rFonts w:eastAsia="Cambria" w:cs="MinionPro-Regular"/>
      <w:noProof/>
      <w:szCs w:val="24"/>
      <w:lang w:val="en-GB" w:eastAsia="en-AU"/>
    </w:rPr>
  </w:style>
  <w:style w:type="table" w:customStyle="1" w:styleId="CCATablerecommendations">
    <w:name w:val="CCA Table (recommendations)"/>
    <w:basedOn w:val="CCATablebox"/>
    <w:uiPriority w:val="99"/>
    <w:rsid w:val="004E6CA3"/>
    <w:tblPr/>
    <w:tcPr>
      <w:shd w:val="clear" w:color="auto" w:fill="E6ECF2"/>
    </w:tcPr>
    <w:tblStylePr w:type="firstRow">
      <w:tblPr/>
      <w:trPr>
        <w:tblHeader/>
      </w:trPr>
    </w:tblStylePr>
  </w:style>
  <w:style w:type="paragraph" w:customStyle="1" w:styleId="Refno">
    <w:name w:val="Ref no"/>
    <w:basedOn w:val="ListNumber"/>
    <w:uiPriority w:val="10"/>
    <w:rsid w:val="00D40946"/>
    <w:pPr>
      <w:numPr>
        <w:numId w:val="0"/>
      </w:numPr>
    </w:pPr>
    <w:rPr>
      <w:color w:val="FF6600"/>
      <w:lang w:val="en-GB"/>
    </w:rPr>
  </w:style>
  <w:style w:type="paragraph" w:customStyle="1" w:styleId="IntroParagraph">
    <w:name w:val="Intro Paragraph"/>
    <w:basedOn w:val="BodyText"/>
    <w:uiPriority w:val="3"/>
    <w:rsid w:val="004505A4"/>
    <w:pPr>
      <w:spacing w:line="260" w:lineRule="exact"/>
    </w:pPr>
    <w:rPr>
      <w:rFonts w:ascii="Arial Bold" w:hAnsi="Arial Bold"/>
      <w:b/>
      <w:lang w:val="en-GB" w:eastAsia="en-AU"/>
    </w:rPr>
  </w:style>
  <w:style w:type="paragraph" w:styleId="Quote">
    <w:name w:val="Quote"/>
    <w:basedOn w:val="Normal"/>
    <w:link w:val="QuoteChar"/>
    <w:uiPriority w:val="15"/>
    <w:qFormat/>
    <w:rsid w:val="00A7081A"/>
    <w:pPr>
      <w:spacing w:after="120" w:line="276" w:lineRule="auto"/>
      <w:ind w:left="454" w:right="454"/>
    </w:pPr>
    <w:rPr>
      <w:i/>
      <w:iCs/>
      <w:color w:val="auto"/>
    </w:rPr>
  </w:style>
  <w:style w:type="character" w:customStyle="1" w:styleId="QuoteChar">
    <w:name w:val="Quote Char"/>
    <w:basedOn w:val="DefaultParagraphFont"/>
    <w:link w:val="Quote"/>
    <w:uiPriority w:val="15"/>
    <w:rsid w:val="00A7081A"/>
    <w:rPr>
      <w:rFonts w:ascii="Arial" w:hAnsi="Arial"/>
      <w:i/>
      <w:iCs/>
      <w:lang w:val="en-AU"/>
    </w:rPr>
  </w:style>
  <w:style w:type="paragraph" w:customStyle="1" w:styleId="TableTextrightalignment">
    <w:name w:val="Table Text (right alignment)"/>
    <w:basedOn w:val="TableText"/>
    <w:uiPriority w:val="13"/>
    <w:qFormat/>
    <w:rsid w:val="00EF76E0"/>
    <w:pPr>
      <w:jc w:val="right"/>
    </w:pPr>
  </w:style>
  <w:style w:type="table" w:customStyle="1" w:styleId="CCATablequestions">
    <w:name w:val="CCA Table (questions)"/>
    <w:basedOn w:val="CCATablerecommendations"/>
    <w:uiPriority w:val="99"/>
    <w:rsid w:val="00FB1A48"/>
    <w:tblPr/>
    <w:tcPr>
      <w:shd w:val="clear" w:color="auto" w:fill="E6ECF2"/>
    </w:tcPr>
    <w:tblStylePr w:type="firstRow">
      <w:tblPr/>
      <w:trPr>
        <w:tblHeader/>
      </w:trPr>
    </w:tblStylePr>
  </w:style>
  <w:style w:type="paragraph" w:customStyle="1" w:styleId="Headingquestions">
    <w:name w:val="Heading (questions)"/>
    <w:basedOn w:val="Headingrecommendations"/>
    <w:next w:val="ListQuestions"/>
    <w:uiPriority w:val="7"/>
    <w:rsid w:val="00005671"/>
    <w:pPr>
      <w:spacing w:line="360" w:lineRule="auto"/>
    </w:pPr>
  </w:style>
  <w:style w:type="paragraph" w:customStyle="1" w:styleId="ListQuestions">
    <w:name w:val="List Questions"/>
    <w:basedOn w:val="Refno"/>
    <w:uiPriority w:val="10"/>
    <w:rsid w:val="0088663B"/>
    <w:pPr>
      <w:numPr>
        <w:numId w:val="10"/>
      </w:numPr>
    </w:pPr>
    <w:rPr>
      <w:lang w:eastAsia="en-AU"/>
    </w:rPr>
  </w:style>
  <w:style w:type="numbering" w:customStyle="1" w:styleId="ListRecommendationsMaster">
    <w:name w:val="List Recommendations Master"/>
    <w:uiPriority w:val="99"/>
    <w:rsid w:val="001837B9"/>
    <w:pPr>
      <w:numPr>
        <w:numId w:val="8"/>
      </w:numPr>
    </w:pPr>
  </w:style>
  <w:style w:type="numbering" w:customStyle="1" w:styleId="ListQuestionsMaster">
    <w:name w:val="List Questions Master"/>
    <w:uiPriority w:val="99"/>
    <w:rsid w:val="001837B9"/>
    <w:pPr>
      <w:numPr>
        <w:numId w:val="9"/>
      </w:numPr>
    </w:pPr>
  </w:style>
  <w:style w:type="paragraph" w:customStyle="1" w:styleId="Footereven">
    <w:name w:val="Footer even"/>
    <w:basedOn w:val="Footer"/>
    <w:uiPriority w:val="19"/>
    <w:qFormat/>
    <w:rsid w:val="008C706F"/>
    <w:pPr>
      <w:tabs>
        <w:tab w:val="right" w:pos="397"/>
      </w:tabs>
      <w:jc w:val="left"/>
    </w:pPr>
    <w:rPr>
      <w:noProof/>
    </w:rPr>
  </w:style>
  <w:style w:type="paragraph" w:customStyle="1" w:styleId="Headingreferences">
    <w:name w:val="Heading (references)"/>
    <w:basedOn w:val="Heading2"/>
    <w:next w:val="BodyText"/>
    <w:uiPriority w:val="5"/>
    <w:rsid w:val="00365F92"/>
    <w:rPr>
      <w:b w:val="0"/>
    </w:rPr>
  </w:style>
  <w:style w:type="paragraph" w:styleId="TOC5">
    <w:name w:val="toc 5"/>
    <w:basedOn w:val="Normal"/>
    <w:next w:val="Normal"/>
    <w:autoRedefine/>
    <w:uiPriority w:val="39"/>
    <w:rsid w:val="004E6CA3"/>
    <w:pPr>
      <w:tabs>
        <w:tab w:val="right" w:pos="7927"/>
        <w:tab w:val="right" w:leader="dot" w:pos="9629"/>
      </w:tabs>
      <w:spacing w:after="100" w:line="200" w:lineRule="exact"/>
    </w:pPr>
    <w:rPr>
      <w:rFonts w:ascii="Arial Bold" w:hAnsi="Arial Bold"/>
      <w:b/>
      <w:sz w:val="16"/>
    </w:rPr>
  </w:style>
  <w:style w:type="paragraph" w:customStyle="1" w:styleId="ChapterHeading2">
    <w:name w:val="Chapter Heading 2"/>
    <w:basedOn w:val="Heading2"/>
    <w:next w:val="BodyText"/>
    <w:uiPriority w:val="5"/>
    <w:rsid w:val="002B4BCC"/>
    <w:rPr>
      <w:b w:val="0"/>
    </w:rPr>
  </w:style>
  <w:style w:type="paragraph" w:customStyle="1" w:styleId="ChapterHeading3">
    <w:name w:val="Chapter Heading 3"/>
    <w:basedOn w:val="Heading3"/>
    <w:next w:val="BodyText"/>
    <w:uiPriority w:val="5"/>
    <w:rsid w:val="00AB72E4"/>
    <w:pPr>
      <w:numPr>
        <w:ilvl w:val="0"/>
        <w:numId w:val="19"/>
      </w:numPr>
    </w:pPr>
  </w:style>
  <w:style w:type="paragraph" w:customStyle="1" w:styleId="ChapterHeading4">
    <w:name w:val="Chapter Heading 4"/>
    <w:basedOn w:val="Heading4"/>
    <w:next w:val="BodyText"/>
    <w:uiPriority w:val="5"/>
    <w:rsid w:val="00857FF2"/>
    <w:pPr>
      <w:spacing w:before="100" w:after="80" w:line="260" w:lineRule="exact"/>
    </w:pPr>
  </w:style>
  <w:style w:type="paragraph" w:customStyle="1" w:styleId="ChapterHeading1">
    <w:name w:val="Chapter Heading 1"/>
    <w:basedOn w:val="Heading1"/>
    <w:next w:val="BodyText"/>
    <w:uiPriority w:val="5"/>
    <w:rsid w:val="009C5CD5"/>
    <w:pPr>
      <w:numPr>
        <w:numId w:val="18"/>
      </w:numPr>
      <w:spacing w:after="0" w:line="276" w:lineRule="auto"/>
    </w:pPr>
    <w:rPr>
      <w:rFonts w:ascii="Arial Bold" w:hAnsi="Arial Bold"/>
    </w:rPr>
  </w:style>
  <w:style w:type="numbering" w:customStyle="1" w:styleId="ChapterHeadingsmaster">
    <w:name w:val="Chapter Headings (master)"/>
    <w:uiPriority w:val="99"/>
    <w:rsid w:val="001837B9"/>
    <w:pPr>
      <w:numPr>
        <w:numId w:val="10"/>
      </w:numPr>
    </w:pPr>
  </w:style>
  <w:style w:type="paragraph" w:customStyle="1" w:styleId="Conclusion">
    <w:name w:val="Conclusion"/>
    <w:basedOn w:val="ListNumber"/>
    <w:rsid w:val="0031482F"/>
    <w:pPr>
      <w:keepNext/>
      <w:keepLines/>
      <w:numPr>
        <w:numId w:val="12"/>
      </w:numPr>
      <w:ind w:left="714" w:hanging="714"/>
    </w:pPr>
  </w:style>
  <w:style w:type="paragraph" w:styleId="NormalWeb">
    <w:name w:val="Normal (Web)"/>
    <w:basedOn w:val="Normal"/>
    <w:uiPriority w:val="99"/>
    <w:unhideWhenUsed/>
    <w:rsid w:val="00BE2578"/>
    <w:pPr>
      <w:spacing w:before="100" w:beforeAutospacing="1" w:after="100" w:afterAutospacing="1" w:line="240" w:lineRule="auto"/>
    </w:pPr>
    <w:rPr>
      <w:rFonts w:ascii="Times New Roman" w:eastAsiaTheme="minorEastAsia" w:hAnsi="Times New Roman" w:cs="Times New Roman"/>
      <w:color w:val="auto"/>
      <w:sz w:val="24"/>
      <w:szCs w:val="24"/>
      <w:lang w:val="en-US"/>
    </w:rPr>
  </w:style>
  <w:style w:type="table" w:customStyle="1" w:styleId="FilmVictoriaTableStyle">
    <w:name w:val="Film Victoria Table Style"/>
    <w:basedOn w:val="TableNormal"/>
    <w:uiPriority w:val="99"/>
    <w:rsid w:val="00FB1A48"/>
    <w:pPr>
      <w:spacing w:after="0" w:line="240" w:lineRule="auto"/>
    </w:pPr>
    <w:rPr>
      <w:rFonts w:ascii="Neutraface Text Book" w:hAnsi="Neutraface Text Book"/>
      <w:color w:val="247495" w:themeColor="text2" w:themeShade="BF"/>
      <w:sz w:val="18"/>
    </w:rPr>
    <w:tblPr>
      <w:tblBorders>
        <w:insideH w:val="single" w:sz="4" w:space="0" w:color="6D6E71"/>
        <w:insideV w:val="single" w:sz="4" w:space="0" w:color="6D6E71"/>
      </w:tblBorders>
    </w:tblPr>
    <w:tblStylePr w:type="firstRow">
      <w:rPr>
        <w:rFonts w:ascii="MinionPro-Regular" w:hAnsi="MinionPro-Regular"/>
        <w:color w:val="309CC8" w:themeColor="accent1"/>
        <w:sz w:val="18"/>
      </w:rPr>
    </w:tblStylePr>
    <w:tblStylePr w:type="firstCol">
      <w:rPr>
        <w:rFonts w:ascii="MinionPro-Regular" w:hAnsi="MinionPro-Regular"/>
        <w:color w:val="414042"/>
        <w:sz w:val="18"/>
      </w:rPr>
    </w:tblStylePr>
  </w:style>
  <w:style w:type="character" w:styleId="IntenseReference">
    <w:name w:val="Intense Reference"/>
    <w:basedOn w:val="DefaultParagraphFont"/>
    <w:uiPriority w:val="32"/>
    <w:qFormat/>
    <w:rsid w:val="00365F92"/>
    <w:rPr>
      <w:b/>
      <w:bCs/>
      <w:smallCaps/>
      <w:color w:val="159DCE"/>
      <w:spacing w:val="5"/>
    </w:rPr>
  </w:style>
  <w:style w:type="paragraph" w:styleId="IntenseQuote">
    <w:name w:val="Intense Quote"/>
    <w:basedOn w:val="Normal"/>
    <w:next w:val="Normal"/>
    <w:link w:val="IntenseQuoteChar"/>
    <w:uiPriority w:val="30"/>
    <w:qFormat/>
    <w:rsid w:val="00365F92"/>
    <w:pPr>
      <w:pBdr>
        <w:top w:val="single" w:sz="4" w:space="10" w:color="6E8DB0"/>
        <w:bottom w:val="single" w:sz="4" w:space="10" w:color="6E8DB0"/>
      </w:pBdr>
      <w:spacing w:before="360" w:after="360"/>
      <w:ind w:left="864" w:right="864"/>
      <w:jc w:val="center"/>
    </w:pPr>
    <w:rPr>
      <w:i/>
      <w:iCs/>
      <w:color w:val="159DCE"/>
    </w:rPr>
  </w:style>
  <w:style w:type="character" w:customStyle="1" w:styleId="IntenseQuoteChar">
    <w:name w:val="Intense Quote Char"/>
    <w:basedOn w:val="DefaultParagraphFont"/>
    <w:link w:val="IntenseQuote"/>
    <w:uiPriority w:val="30"/>
    <w:rsid w:val="00365F92"/>
    <w:rPr>
      <w:rFonts w:ascii="Arial" w:hAnsi="Arial"/>
      <w:i/>
      <w:iCs/>
      <w:color w:val="159DCE"/>
      <w:sz w:val="18"/>
      <w:lang w:val="en-AU"/>
    </w:rPr>
  </w:style>
  <w:style w:type="character" w:styleId="IntenseEmphasis">
    <w:name w:val="Intense Emphasis"/>
    <w:basedOn w:val="DefaultParagraphFont"/>
    <w:uiPriority w:val="21"/>
    <w:qFormat/>
    <w:rsid w:val="00365F92"/>
    <w:rPr>
      <w:i/>
      <w:iCs/>
      <w:color w:val="159DCE"/>
    </w:rPr>
  </w:style>
  <w:style w:type="paragraph" w:customStyle="1" w:styleId="CCAFigureHeader">
    <w:name w:val="CCA Figure Header"/>
    <w:basedOn w:val="CCATableheader"/>
    <w:link w:val="CCAFigureHeaderChar"/>
    <w:qFormat/>
    <w:rsid w:val="00B3242A"/>
    <w:pPr>
      <w:numPr>
        <w:numId w:val="25"/>
      </w:numPr>
      <w:pBdr>
        <w:top w:val="dotted" w:sz="12" w:space="5" w:color="0C9FCD"/>
      </w:pBdr>
      <w:ind w:left="1418" w:hanging="1418"/>
    </w:pPr>
  </w:style>
  <w:style w:type="character" w:customStyle="1" w:styleId="Heading6Char">
    <w:name w:val="Heading 6 Char"/>
    <w:basedOn w:val="DefaultParagraphFont"/>
    <w:link w:val="Heading6"/>
    <w:uiPriority w:val="4"/>
    <w:semiHidden/>
    <w:rsid w:val="00365F92"/>
    <w:rPr>
      <w:rFonts w:ascii="Arial" w:eastAsiaTheme="majorEastAsia" w:hAnsi="Arial" w:cstheme="majorBidi"/>
      <w:color w:val="159DCE"/>
      <w:sz w:val="16"/>
      <w:lang w:val="en-AU"/>
    </w:rPr>
  </w:style>
  <w:style w:type="character" w:customStyle="1" w:styleId="Heading7Char">
    <w:name w:val="Heading 7 Char"/>
    <w:basedOn w:val="DefaultParagraphFont"/>
    <w:link w:val="Heading7"/>
    <w:uiPriority w:val="4"/>
    <w:semiHidden/>
    <w:rsid w:val="00365F92"/>
    <w:rPr>
      <w:rFonts w:ascii="Arial" w:eastAsiaTheme="majorEastAsia" w:hAnsi="Arial" w:cstheme="majorBidi"/>
      <w:i/>
      <w:iCs/>
      <w:color w:val="159DCE"/>
      <w:sz w:val="16"/>
      <w:lang w:val="en-AU"/>
    </w:rPr>
  </w:style>
  <w:style w:type="character" w:customStyle="1" w:styleId="Heading8Char">
    <w:name w:val="Heading 8 Char"/>
    <w:basedOn w:val="DefaultParagraphFont"/>
    <w:link w:val="Heading8"/>
    <w:uiPriority w:val="4"/>
    <w:semiHidden/>
    <w:rsid w:val="00365F92"/>
    <w:rPr>
      <w:rFonts w:ascii="Arial" w:eastAsiaTheme="majorEastAsia" w:hAnsi="Arial" w:cstheme="majorBidi"/>
      <w:color w:val="159DCE"/>
      <w:sz w:val="16"/>
      <w:szCs w:val="21"/>
      <w:lang w:val="en-AU"/>
    </w:rPr>
  </w:style>
  <w:style w:type="character" w:customStyle="1" w:styleId="Heading9Char">
    <w:name w:val="Heading 9 Char"/>
    <w:basedOn w:val="DefaultParagraphFont"/>
    <w:link w:val="Heading9"/>
    <w:uiPriority w:val="4"/>
    <w:semiHidden/>
    <w:rsid w:val="00365F92"/>
    <w:rPr>
      <w:rFonts w:ascii="Arial" w:eastAsiaTheme="majorEastAsia" w:hAnsi="Arial" w:cstheme="majorBidi"/>
      <w:i/>
      <w:iCs/>
      <w:color w:val="159DCE"/>
      <w:sz w:val="16"/>
      <w:szCs w:val="21"/>
      <w:lang w:val="en-AU"/>
    </w:rPr>
  </w:style>
  <w:style w:type="paragraph" w:styleId="TOC6">
    <w:name w:val="toc 6"/>
    <w:basedOn w:val="Normal"/>
    <w:next w:val="Normal"/>
    <w:autoRedefine/>
    <w:uiPriority w:val="39"/>
    <w:unhideWhenUsed/>
    <w:rsid w:val="00370B2C"/>
    <w:pPr>
      <w:spacing w:after="100" w:line="200" w:lineRule="exact"/>
      <w:ind w:left="1049"/>
    </w:pPr>
    <w:rPr>
      <w:sz w:val="16"/>
    </w:rPr>
  </w:style>
  <w:style w:type="paragraph" w:styleId="TOC7">
    <w:name w:val="toc 7"/>
    <w:basedOn w:val="Normal"/>
    <w:next w:val="Normal"/>
    <w:autoRedefine/>
    <w:uiPriority w:val="39"/>
    <w:unhideWhenUsed/>
    <w:rsid w:val="00370B2C"/>
    <w:pPr>
      <w:spacing w:after="100" w:line="200" w:lineRule="exact"/>
      <w:ind w:left="1259"/>
    </w:pPr>
    <w:rPr>
      <w:sz w:val="16"/>
    </w:rPr>
  </w:style>
  <w:style w:type="paragraph" w:styleId="TOC8">
    <w:name w:val="toc 8"/>
    <w:basedOn w:val="Normal"/>
    <w:next w:val="Normal"/>
    <w:autoRedefine/>
    <w:uiPriority w:val="39"/>
    <w:unhideWhenUsed/>
    <w:rsid w:val="00370B2C"/>
    <w:pPr>
      <w:spacing w:after="100" w:line="200" w:lineRule="exact"/>
      <w:ind w:left="1469"/>
    </w:pPr>
    <w:rPr>
      <w:sz w:val="16"/>
    </w:rPr>
  </w:style>
  <w:style w:type="paragraph" w:styleId="TOC9">
    <w:name w:val="toc 9"/>
    <w:basedOn w:val="Normal"/>
    <w:next w:val="Normal"/>
    <w:autoRedefine/>
    <w:uiPriority w:val="39"/>
    <w:unhideWhenUsed/>
    <w:rsid w:val="00370B2C"/>
    <w:pPr>
      <w:spacing w:after="100" w:line="200" w:lineRule="exact"/>
      <w:ind w:left="1678"/>
    </w:pPr>
    <w:rPr>
      <w:sz w:val="16"/>
    </w:rPr>
  </w:style>
  <w:style w:type="paragraph" w:styleId="BlockText">
    <w:name w:val="Block Text"/>
    <w:basedOn w:val="Normal"/>
    <w:uiPriority w:val="99"/>
    <w:semiHidden/>
    <w:unhideWhenUsed/>
    <w:rsid w:val="00365F92"/>
    <w:pPr>
      <w:pBdr>
        <w:top w:val="single" w:sz="2" w:space="10" w:color="6E8DB0"/>
        <w:left w:val="single" w:sz="2" w:space="10" w:color="6E8DB0"/>
        <w:bottom w:val="single" w:sz="2" w:space="10" w:color="6E8DB0"/>
        <w:right w:val="single" w:sz="2" w:space="10" w:color="6E8DB0"/>
      </w:pBdr>
      <w:ind w:left="1152" w:right="1152"/>
    </w:pPr>
    <w:rPr>
      <w:rFonts w:asciiTheme="minorHAnsi" w:eastAsiaTheme="minorEastAsia" w:hAnsiTheme="minorHAnsi"/>
      <w:i/>
      <w:iCs/>
      <w:color w:val="159DCE"/>
    </w:rPr>
  </w:style>
  <w:style w:type="paragraph" w:styleId="BodyText2">
    <w:name w:val="Body Text 2"/>
    <w:basedOn w:val="Normal"/>
    <w:link w:val="BodyText2Char"/>
    <w:uiPriority w:val="99"/>
    <w:semiHidden/>
    <w:unhideWhenUsed/>
    <w:rsid w:val="00940279"/>
  </w:style>
  <w:style w:type="character" w:customStyle="1" w:styleId="BodyText2Char">
    <w:name w:val="Body Text 2 Char"/>
    <w:basedOn w:val="DefaultParagraphFont"/>
    <w:link w:val="BodyText2"/>
    <w:uiPriority w:val="99"/>
    <w:semiHidden/>
    <w:rsid w:val="00940279"/>
    <w:rPr>
      <w:rFonts w:ascii="Arial" w:hAnsi="Arial"/>
      <w:color w:val="414141"/>
      <w:sz w:val="18"/>
      <w:lang w:val="en-AU"/>
    </w:rPr>
  </w:style>
  <w:style w:type="paragraph" w:styleId="BodyText3">
    <w:name w:val="Body Text 3"/>
    <w:basedOn w:val="Normal"/>
    <w:link w:val="BodyText3Char"/>
    <w:uiPriority w:val="99"/>
    <w:semiHidden/>
    <w:unhideWhenUsed/>
    <w:rsid w:val="00940279"/>
    <w:rPr>
      <w:szCs w:val="16"/>
    </w:rPr>
  </w:style>
  <w:style w:type="character" w:customStyle="1" w:styleId="BodyText3Char">
    <w:name w:val="Body Text 3 Char"/>
    <w:basedOn w:val="DefaultParagraphFont"/>
    <w:link w:val="BodyText3"/>
    <w:uiPriority w:val="99"/>
    <w:semiHidden/>
    <w:rsid w:val="00940279"/>
    <w:rPr>
      <w:rFonts w:ascii="Arial" w:hAnsi="Arial"/>
      <w:color w:val="414141"/>
      <w:sz w:val="18"/>
      <w:szCs w:val="16"/>
      <w:lang w:val="en-AU"/>
    </w:rPr>
  </w:style>
  <w:style w:type="paragraph" w:styleId="BodyTextFirstIndent">
    <w:name w:val="Body Text First Indent"/>
    <w:basedOn w:val="BodyText"/>
    <w:link w:val="BodyTextFirstIndentChar"/>
    <w:uiPriority w:val="99"/>
    <w:semiHidden/>
    <w:rsid w:val="00940279"/>
    <w:pPr>
      <w:ind w:firstLine="340"/>
    </w:pPr>
  </w:style>
  <w:style w:type="character" w:customStyle="1" w:styleId="BodyTextFirstIndentChar">
    <w:name w:val="Body Text First Indent Char"/>
    <w:basedOn w:val="BodyTextChar"/>
    <w:link w:val="BodyTextFirstIndent"/>
    <w:uiPriority w:val="99"/>
    <w:semiHidden/>
    <w:rsid w:val="00940279"/>
    <w:rPr>
      <w:rFonts w:ascii="Arial" w:hAnsi="Arial"/>
      <w:color w:val="414141"/>
      <w:sz w:val="18"/>
      <w:lang w:val="en-AU"/>
    </w:rPr>
  </w:style>
  <w:style w:type="paragraph" w:styleId="BodyTextIndent">
    <w:name w:val="Body Text Indent"/>
    <w:basedOn w:val="Normal"/>
    <w:link w:val="BodyTextIndentChar"/>
    <w:uiPriority w:val="99"/>
    <w:semiHidden/>
    <w:unhideWhenUsed/>
    <w:rsid w:val="00940279"/>
    <w:pPr>
      <w:ind w:left="284"/>
    </w:pPr>
  </w:style>
  <w:style w:type="character" w:customStyle="1" w:styleId="BodyTextIndentChar">
    <w:name w:val="Body Text Indent Char"/>
    <w:basedOn w:val="DefaultParagraphFont"/>
    <w:link w:val="BodyTextIndent"/>
    <w:uiPriority w:val="99"/>
    <w:semiHidden/>
    <w:rsid w:val="00940279"/>
    <w:rPr>
      <w:rFonts w:ascii="Arial" w:hAnsi="Arial"/>
      <w:color w:val="414141"/>
      <w:sz w:val="18"/>
      <w:lang w:val="en-AU"/>
    </w:rPr>
  </w:style>
  <w:style w:type="paragraph" w:styleId="BodyTextFirstIndent2">
    <w:name w:val="Body Text First Indent 2"/>
    <w:basedOn w:val="BodyTextIndent"/>
    <w:link w:val="BodyTextFirstIndent2Char"/>
    <w:uiPriority w:val="99"/>
    <w:semiHidden/>
    <w:unhideWhenUsed/>
    <w:rsid w:val="00940279"/>
    <w:pPr>
      <w:ind w:left="340" w:firstLine="340"/>
    </w:pPr>
  </w:style>
  <w:style w:type="character" w:customStyle="1" w:styleId="BodyTextFirstIndent2Char">
    <w:name w:val="Body Text First Indent 2 Char"/>
    <w:basedOn w:val="BodyTextIndentChar"/>
    <w:link w:val="BodyTextFirstIndent2"/>
    <w:uiPriority w:val="99"/>
    <w:semiHidden/>
    <w:rsid w:val="00940279"/>
    <w:rPr>
      <w:rFonts w:ascii="Arial" w:hAnsi="Arial"/>
      <w:color w:val="414141"/>
      <w:sz w:val="18"/>
      <w:lang w:val="en-AU"/>
    </w:rPr>
  </w:style>
  <w:style w:type="paragraph" w:styleId="BodyTextIndent2">
    <w:name w:val="Body Text Indent 2"/>
    <w:basedOn w:val="Normal"/>
    <w:link w:val="BodyTextIndent2Char"/>
    <w:uiPriority w:val="99"/>
    <w:semiHidden/>
    <w:unhideWhenUsed/>
    <w:rsid w:val="00940279"/>
    <w:pPr>
      <w:ind w:left="284"/>
    </w:pPr>
  </w:style>
  <w:style w:type="character" w:customStyle="1" w:styleId="BodyTextIndent2Char">
    <w:name w:val="Body Text Indent 2 Char"/>
    <w:basedOn w:val="DefaultParagraphFont"/>
    <w:link w:val="BodyTextIndent2"/>
    <w:uiPriority w:val="99"/>
    <w:semiHidden/>
    <w:rsid w:val="00940279"/>
    <w:rPr>
      <w:rFonts w:ascii="Arial" w:hAnsi="Arial"/>
      <w:color w:val="414141"/>
      <w:sz w:val="18"/>
      <w:lang w:val="en-AU"/>
    </w:rPr>
  </w:style>
  <w:style w:type="paragraph" w:styleId="BodyTextIndent3">
    <w:name w:val="Body Text Indent 3"/>
    <w:basedOn w:val="Normal"/>
    <w:link w:val="BodyTextIndent3Char"/>
    <w:uiPriority w:val="99"/>
    <w:semiHidden/>
    <w:unhideWhenUsed/>
    <w:rsid w:val="00940279"/>
    <w:pPr>
      <w:ind w:left="284"/>
    </w:pPr>
    <w:rPr>
      <w:szCs w:val="16"/>
    </w:rPr>
  </w:style>
  <w:style w:type="character" w:customStyle="1" w:styleId="BodyTextIndent3Char">
    <w:name w:val="Body Text Indent 3 Char"/>
    <w:basedOn w:val="DefaultParagraphFont"/>
    <w:link w:val="BodyTextIndent3"/>
    <w:uiPriority w:val="99"/>
    <w:semiHidden/>
    <w:rsid w:val="00940279"/>
    <w:rPr>
      <w:rFonts w:ascii="Arial" w:hAnsi="Arial"/>
      <w:color w:val="414141"/>
      <w:sz w:val="18"/>
      <w:szCs w:val="16"/>
      <w:lang w:val="en-AU"/>
    </w:rPr>
  </w:style>
  <w:style w:type="paragraph" w:styleId="Closing">
    <w:name w:val="Closing"/>
    <w:basedOn w:val="Normal"/>
    <w:link w:val="ClosingChar"/>
    <w:uiPriority w:val="99"/>
    <w:semiHidden/>
    <w:unhideWhenUsed/>
    <w:rsid w:val="00940279"/>
    <w:pPr>
      <w:spacing w:after="0"/>
      <w:ind w:left="4253"/>
    </w:pPr>
  </w:style>
  <w:style w:type="character" w:customStyle="1" w:styleId="ClosingChar">
    <w:name w:val="Closing Char"/>
    <w:basedOn w:val="DefaultParagraphFont"/>
    <w:link w:val="Closing"/>
    <w:uiPriority w:val="99"/>
    <w:semiHidden/>
    <w:rsid w:val="00940279"/>
    <w:rPr>
      <w:rFonts w:ascii="Arial" w:hAnsi="Arial"/>
      <w:color w:val="414141"/>
      <w:sz w:val="18"/>
      <w:lang w:val="en-AU"/>
    </w:rPr>
  </w:style>
  <w:style w:type="character" w:styleId="CommentReference">
    <w:name w:val="annotation reference"/>
    <w:basedOn w:val="DefaultParagraphFont"/>
    <w:uiPriority w:val="99"/>
    <w:semiHidden/>
    <w:unhideWhenUsed/>
    <w:rsid w:val="00940279"/>
    <w:rPr>
      <w:sz w:val="16"/>
      <w:szCs w:val="16"/>
    </w:rPr>
  </w:style>
  <w:style w:type="paragraph" w:styleId="CommentText">
    <w:name w:val="annotation text"/>
    <w:basedOn w:val="Normal"/>
    <w:link w:val="CommentTextChar"/>
    <w:uiPriority w:val="99"/>
    <w:unhideWhenUsed/>
    <w:rsid w:val="00940279"/>
    <w:rPr>
      <w:szCs w:val="20"/>
    </w:rPr>
  </w:style>
  <w:style w:type="character" w:customStyle="1" w:styleId="CommentTextChar">
    <w:name w:val="Comment Text Char"/>
    <w:basedOn w:val="DefaultParagraphFont"/>
    <w:link w:val="CommentText"/>
    <w:uiPriority w:val="99"/>
    <w:rsid w:val="00940279"/>
    <w:rPr>
      <w:rFonts w:ascii="Arial" w:hAnsi="Arial"/>
      <w:color w:val="414141"/>
      <w:sz w:val="18"/>
      <w:szCs w:val="20"/>
      <w:lang w:val="en-AU"/>
    </w:rPr>
  </w:style>
  <w:style w:type="paragraph" w:styleId="CommentSubject">
    <w:name w:val="annotation subject"/>
    <w:basedOn w:val="CommentText"/>
    <w:next w:val="CommentText"/>
    <w:link w:val="CommentSubjectChar"/>
    <w:uiPriority w:val="99"/>
    <w:semiHidden/>
    <w:unhideWhenUsed/>
    <w:rsid w:val="00940279"/>
    <w:rPr>
      <w:b/>
      <w:bCs/>
    </w:rPr>
  </w:style>
  <w:style w:type="character" w:customStyle="1" w:styleId="CommentSubjectChar">
    <w:name w:val="Comment Subject Char"/>
    <w:basedOn w:val="CommentTextChar"/>
    <w:link w:val="CommentSubject"/>
    <w:uiPriority w:val="99"/>
    <w:semiHidden/>
    <w:rsid w:val="00940279"/>
    <w:rPr>
      <w:rFonts w:ascii="Arial" w:hAnsi="Arial"/>
      <w:b/>
      <w:bCs/>
      <w:color w:val="414141"/>
      <w:sz w:val="18"/>
      <w:szCs w:val="20"/>
      <w:lang w:val="en-AU"/>
    </w:rPr>
  </w:style>
  <w:style w:type="paragraph" w:styleId="E-mailSignature">
    <w:name w:val="E-mail Signature"/>
    <w:basedOn w:val="Normal"/>
    <w:link w:val="E-mailSignatureChar"/>
    <w:uiPriority w:val="99"/>
    <w:semiHidden/>
    <w:unhideWhenUsed/>
    <w:rsid w:val="00940279"/>
    <w:pPr>
      <w:spacing w:after="0"/>
    </w:pPr>
  </w:style>
  <w:style w:type="character" w:customStyle="1" w:styleId="E-mailSignatureChar">
    <w:name w:val="E-mail Signature Char"/>
    <w:basedOn w:val="DefaultParagraphFont"/>
    <w:link w:val="E-mailSignature"/>
    <w:uiPriority w:val="99"/>
    <w:semiHidden/>
    <w:rsid w:val="00940279"/>
    <w:rPr>
      <w:rFonts w:ascii="Arial" w:hAnsi="Arial"/>
      <w:color w:val="414141"/>
      <w:sz w:val="18"/>
      <w:lang w:val="en-AU"/>
    </w:rPr>
  </w:style>
  <w:style w:type="paragraph" w:styleId="EnvelopeAddress">
    <w:name w:val="envelope address"/>
    <w:basedOn w:val="Normal"/>
    <w:uiPriority w:val="99"/>
    <w:semiHidden/>
    <w:unhideWhenUsed/>
    <w:rsid w:val="00940279"/>
    <w:pPr>
      <w:framePr w:w="7920" w:h="1980" w:hRule="exact" w:hSpace="180" w:wrap="auto" w:hAnchor="page" w:xAlign="center" w:yAlign="bottom"/>
      <w:spacing w:after="0" w:line="260" w:lineRule="atLeast"/>
      <w:ind w:left="2835"/>
    </w:pPr>
    <w:rPr>
      <w:rFonts w:eastAsiaTheme="majorEastAsia" w:cstheme="majorBidi"/>
      <w:szCs w:val="24"/>
    </w:rPr>
  </w:style>
  <w:style w:type="paragraph" w:styleId="EnvelopeReturn">
    <w:name w:val="envelope return"/>
    <w:basedOn w:val="Normal"/>
    <w:uiPriority w:val="99"/>
    <w:semiHidden/>
    <w:unhideWhenUsed/>
    <w:rsid w:val="00940279"/>
    <w:pPr>
      <w:spacing w:after="0"/>
    </w:pPr>
    <w:rPr>
      <w:rFonts w:eastAsiaTheme="majorEastAsia" w:cstheme="majorBidi"/>
      <w:szCs w:val="20"/>
    </w:rPr>
  </w:style>
  <w:style w:type="character" w:styleId="FollowedHyperlink">
    <w:name w:val="FollowedHyperlink"/>
    <w:basedOn w:val="DefaultParagraphFont"/>
    <w:uiPriority w:val="99"/>
    <w:semiHidden/>
    <w:unhideWhenUsed/>
    <w:rsid w:val="00365F92"/>
    <w:rPr>
      <w:color w:val="159DCE"/>
      <w:u w:val="single"/>
    </w:rPr>
  </w:style>
  <w:style w:type="character" w:styleId="HTMLAcronym">
    <w:name w:val="HTML Acronym"/>
    <w:basedOn w:val="DefaultParagraphFont"/>
    <w:uiPriority w:val="99"/>
    <w:semiHidden/>
    <w:unhideWhenUsed/>
    <w:rsid w:val="00940279"/>
  </w:style>
  <w:style w:type="paragraph" w:styleId="Index1">
    <w:name w:val="index 1"/>
    <w:basedOn w:val="Normal"/>
    <w:next w:val="Normal"/>
    <w:autoRedefine/>
    <w:uiPriority w:val="99"/>
    <w:semiHidden/>
    <w:unhideWhenUsed/>
    <w:rsid w:val="00940279"/>
    <w:pPr>
      <w:spacing w:after="0"/>
      <w:ind w:left="210" w:hanging="210"/>
    </w:pPr>
  </w:style>
  <w:style w:type="paragraph" w:styleId="Index2">
    <w:name w:val="index 2"/>
    <w:basedOn w:val="Normal"/>
    <w:next w:val="Normal"/>
    <w:autoRedefine/>
    <w:uiPriority w:val="99"/>
    <w:semiHidden/>
    <w:unhideWhenUsed/>
    <w:rsid w:val="00940279"/>
    <w:pPr>
      <w:spacing w:after="0"/>
      <w:ind w:left="340" w:hanging="170"/>
    </w:pPr>
  </w:style>
  <w:style w:type="paragraph" w:styleId="Index3">
    <w:name w:val="index 3"/>
    <w:basedOn w:val="Normal"/>
    <w:next w:val="Normal"/>
    <w:autoRedefine/>
    <w:uiPriority w:val="99"/>
    <w:semiHidden/>
    <w:unhideWhenUsed/>
    <w:rsid w:val="00940279"/>
    <w:pPr>
      <w:spacing w:after="0"/>
      <w:ind w:left="567" w:hanging="170"/>
    </w:pPr>
  </w:style>
  <w:style w:type="paragraph" w:styleId="Index4">
    <w:name w:val="index 4"/>
    <w:basedOn w:val="Normal"/>
    <w:next w:val="Normal"/>
    <w:autoRedefine/>
    <w:uiPriority w:val="99"/>
    <w:semiHidden/>
    <w:unhideWhenUsed/>
    <w:rsid w:val="00940279"/>
    <w:pPr>
      <w:spacing w:after="0"/>
      <w:ind w:left="737" w:hanging="170"/>
    </w:pPr>
  </w:style>
  <w:style w:type="paragraph" w:styleId="Index5">
    <w:name w:val="index 5"/>
    <w:basedOn w:val="Normal"/>
    <w:next w:val="Normal"/>
    <w:autoRedefine/>
    <w:uiPriority w:val="99"/>
    <w:semiHidden/>
    <w:unhideWhenUsed/>
    <w:rsid w:val="00940279"/>
    <w:pPr>
      <w:spacing w:after="0"/>
      <w:ind w:left="1021" w:hanging="170"/>
    </w:pPr>
  </w:style>
  <w:style w:type="paragraph" w:styleId="Index6">
    <w:name w:val="index 6"/>
    <w:basedOn w:val="Normal"/>
    <w:next w:val="Normal"/>
    <w:autoRedefine/>
    <w:uiPriority w:val="99"/>
    <w:semiHidden/>
    <w:unhideWhenUsed/>
    <w:rsid w:val="009D2ECC"/>
    <w:pPr>
      <w:spacing w:after="0"/>
      <w:ind w:left="1219" w:hanging="170"/>
    </w:pPr>
  </w:style>
  <w:style w:type="paragraph" w:styleId="Index7">
    <w:name w:val="index 7"/>
    <w:basedOn w:val="Normal"/>
    <w:next w:val="Normal"/>
    <w:autoRedefine/>
    <w:uiPriority w:val="99"/>
    <w:semiHidden/>
    <w:unhideWhenUsed/>
    <w:rsid w:val="00940279"/>
    <w:pPr>
      <w:spacing w:after="0"/>
      <w:ind w:left="1429" w:hanging="170"/>
    </w:pPr>
  </w:style>
  <w:style w:type="paragraph" w:styleId="Index8">
    <w:name w:val="index 8"/>
    <w:basedOn w:val="Normal"/>
    <w:next w:val="Normal"/>
    <w:autoRedefine/>
    <w:uiPriority w:val="99"/>
    <w:semiHidden/>
    <w:unhideWhenUsed/>
    <w:rsid w:val="009D2ECC"/>
    <w:pPr>
      <w:spacing w:after="0"/>
      <w:ind w:left="1639" w:hanging="170"/>
    </w:pPr>
  </w:style>
  <w:style w:type="paragraph" w:styleId="Index9">
    <w:name w:val="index 9"/>
    <w:basedOn w:val="Normal"/>
    <w:next w:val="Normal"/>
    <w:autoRedefine/>
    <w:uiPriority w:val="99"/>
    <w:semiHidden/>
    <w:unhideWhenUsed/>
    <w:rsid w:val="009D2ECC"/>
    <w:pPr>
      <w:spacing w:after="0"/>
      <w:ind w:left="1848" w:hanging="170"/>
    </w:pPr>
  </w:style>
  <w:style w:type="paragraph" w:styleId="IndexHeading">
    <w:name w:val="index heading"/>
    <w:basedOn w:val="Normal"/>
    <w:next w:val="Index1"/>
    <w:uiPriority w:val="99"/>
    <w:semiHidden/>
    <w:unhideWhenUsed/>
    <w:rsid w:val="009D2ECC"/>
    <w:rPr>
      <w:rFonts w:eastAsiaTheme="majorEastAsia" w:cstheme="majorBidi"/>
      <w:b/>
      <w:bCs/>
    </w:rPr>
  </w:style>
  <w:style w:type="character" w:styleId="LineNumber">
    <w:name w:val="line number"/>
    <w:basedOn w:val="DefaultParagraphFont"/>
    <w:uiPriority w:val="99"/>
    <w:semiHidden/>
    <w:unhideWhenUsed/>
    <w:rsid w:val="009D2ECC"/>
  </w:style>
  <w:style w:type="paragraph" w:styleId="List">
    <w:name w:val="List"/>
    <w:basedOn w:val="Normal"/>
    <w:uiPriority w:val="99"/>
    <w:semiHidden/>
    <w:unhideWhenUsed/>
    <w:rsid w:val="009D2ECC"/>
    <w:pPr>
      <w:ind w:left="170" w:hanging="170"/>
      <w:contextualSpacing/>
    </w:pPr>
  </w:style>
  <w:style w:type="paragraph" w:styleId="List2">
    <w:name w:val="List 2"/>
    <w:basedOn w:val="Normal"/>
    <w:uiPriority w:val="99"/>
    <w:semiHidden/>
    <w:unhideWhenUsed/>
    <w:rsid w:val="009D2ECC"/>
    <w:pPr>
      <w:ind w:left="340" w:hanging="170"/>
      <w:contextualSpacing/>
    </w:pPr>
  </w:style>
  <w:style w:type="paragraph" w:styleId="List3">
    <w:name w:val="List 3"/>
    <w:basedOn w:val="Normal"/>
    <w:uiPriority w:val="99"/>
    <w:semiHidden/>
    <w:unhideWhenUsed/>
    <w:rsid w:val="009D2ECC"/>
    <w:pPr>
      <w:ind w:left="737" w:hanging="170"/>
      <w:contextualSpacing/>
    </w:pPr>
  </w:style>
  <w:style w:type="paragraph" w:styleId="List4">
    <w:name w:val="List 4"/>
    <w:basedOn w:val="Normal"/>
    <w:uiPriority w:val="99"/>
    <w:semiHidden/>
    <w:unhideWhenUsed/>
    <w:rsid w:val="009D2ECC"/>
    <w:pPr>
      <w:ind w:left="1021" w:hanging="170"/>
      <w:contextualSpacing/>
    </w:pPr>
  </w:style>
  <w:style w:type="paragraph" w:styleId="List5">
    <w:name w:val="List 5"/>
    <w:basedOn w:val="Normal"/>
    <w:uiPriority w:val="99"/>
    <w:semiHidden/>
    <w:unhideWhenUsed/>
    <w:rsid w:val="009D2ECC"/>
    <w:pPr>
      <w:ind w:left="1304" w:hanging="170"/>
      <w:contextualSpacing/>
    </w:pPr>
  </w:style>
  <w:style w:type="paragraph" w:styleId="ListBullet4">
    <w:name w:val="List Bullet 4"/>
    <w:basedOn w:val="Normal"/>
    <w:uiPriority w:val="99"/>
    <w:unhideWhenUsed/>
    <w:rsid w:val="001837B9"/>
    <w:pPr>
      <w:numPr>
        <w:ilvl w:val="3"/>
        <w:numId w:val="30"/>
      </w:numPr>
      <w:contextualSpacing/>
    </w:pPr>
  </w:style>
  <w:style w:type="paragraph" w:styleId="ListBullet5">
    <w:name w:val="List Bullet 5"/>
    <w:basedOn w:val="Normal"/>
    <w:uiPriority w:val="99"/>
    <w:unhideWhenUsed/>
    <w:rsid w:val="001837B9"/>
    <w:pPr>
      <w:numPr>
        <w:numId w:val="15"/>
      </w:numPr>
      <w:ind w:left="1474" w:hanging="340"/>
      <w:contextualSpacing/>
    </w:pPr>
  </w:style>
  <w:style w:type="paragraph" w:styleId="ListContinue">
    <w:name w:val="List Continue"/>
    <w:basedOn w:val="Normal"/>
    <w:uiPriority w:val="99"/>
    <w:semiHidden/>
    <w:unhideWhenUsed/>
    <w:rsid w:val="009D2ECC"/>
    <w:pPr>
      <w:ind w:left="170"/>
      <w:contextualSpacing/>
    </w:pPr>
  </w:style>
  <w:style w:type="paragraph" w:styleId="ListContinue2">
    <w:name w:val="List Continue 2"/>
    <w:basedOn w:val="Normal"/>
    <w:uiPriority w:val="99"/>
    <w:semiHidden/>
    <w:unhideWhenUsed/>
    <w:rsid w:val="009D2ECC"/>
    <w:pPr>
      <w:ind w:left="567"/>
      <w:contextualSpacing/>
    </w:pPr>
  </w:style>
  <w:style w:type="paragraph" w:styleId="ListContinue3">
    <w:name w:val="List Continue 3"/>
    <w:basedOn w:val="Normal"/>
    <w:uiPriority w:val="99"/>
    <w:semiHidden/>
    <w:unhideWhenUsed/>
    <w:rsid w:val="009D2ECC"/>
    <w:pPr>
      <w:ind w:left="851"/>
      <w:contextualSpacing/>
    </w:pPr>
  </w:style>
  <w:style w:type="paragraph" w:styleId="ListContinue4">
    <w:name w:val="List Continue 4"/>
    <w:basedOn w:val="Normal"/>
    <w:uiPriority w:val="99"/>
    <w:semiHidden/>
    <w:unhideWhenUsed/>
    <w:rsid w:val="009D2ECC"/>
    <w:pPr>
      <w:ind w:left="1134"/>
      <w:contextualSpacing/>
    </w:pPr>
  </w:style>
  <w:style w:type="paragraph" w:styleId="ListContinue5">
    <w:name w:val="List Continue 5"/>
    <w:basedOn w:val="Normal"/>
    <w:uiPriority w:val="99"/>
    <w:semiHidden/>
    <w:unhideWhenUsed/>
    <w:rsid w:val="009D2ECC"/>
    <w:pPr>
      <w:ind w:left="1418"/>
      <w:contextualSpacing/>
    </w:pPr>
  </w:style>
  <w:style w:type="paragraph" w:styleId="ListNumber4">
    <w:name w:val="List Number 4"/>
    <w:basedOn w:val="Normal"/>
    <w:uiPriority w:val="99"/>
    <w:unhideWhenUsed/>
    <w:rsid w:val="001837B9"/>
    <w:pPr>
      <w:numPr>
        <w:numId w:val="16"/>
      </w:numPr>
      <w:ind w:left="1208" w:hanging="357"/>
      <w:contextualSpacing/>
    </w:pPr>
  </w:style>
  <w:style w:type="paragraph" w:styleId="ListNumber5">
    <w:name w:val="List Number 5"/>
    <w:basedOn w:val="Normal"/>
    <w:uiPriority w:val="99"/>
    <w:unhideWhenUsed/>
    <w:rsid w:val="001837B9"/>
    <w:pPr>
      <w:numPr>
        <w:numId w:val="17"/>
      </w:numPr>
      <w:ind w:left="1491" w:hanging="357"/>
      <w:contextualSpacing/>
    </w:pPr>
  </w:style>
  <w:style w:type="paragraph" w:styleId="MessageHeader">
    <w:name w:val="Message Header"/>
    <w:basedOn w:val="Normal"/>
    <w:link w:val="MessageHeaderChar"/>
    <w:uiPriority w:val="99"/>
    <w:semiHidden/>
    <w:unhideWhenUsed/>
    <w:rsid w:val="009D2ECC"/>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9D2ECC"/>
    <w:rPr>
      <w:rFonts w:ascii="Arial" w:eastAsiaTheme="majorEastAsia" w:hAnsi="Arial" w:cstheme="majorBidi"/>
      <w:color w:val="414141"/>
      <w:szCs w:val="24"/>
      <w:shd w:val="pct20" w:color="auto" w:fill="auto"/>
      <w:lang w:val="en-AU"/>
    </w:rPr>
  </w:style>
  <w:style w:type="paragraph" w:styleId="NormalIndent">
    <w:name w:val="Normal Indent"/>
    <w:basedOn w:val="Normal"/>
    <w:uiPriority w:val="99"/>
    <w:semiHidden/>
    <w:unhideWhenUsed/>
    <w:rsid w:val="009D2ECC"/>
    <w:pPr>
      <w:ind w:left="720"/>
    </w:pPr>
  </w:style>
  <w:style w:type="paragraph" w:styleId="NoteHeading">
    <w:name w:val="Note Heading"/>
    <w:basedOn w:val="Normal"/>
    <w:next w:val="Normal"/>
    <w:link w:val="NoteHeadingChar"/>
    <w:uiPriority w:val="99"/>
    <w:semiHidden/>
    <w:unhideWhenUsed/>
    <w:rsid w:val="00AF2698"/>
    <w:pPr>
      <w:spacing w:after="0"/>
    </w:pPr>
  </w:style>
  <w:style w:type="character" w:customStyle="1" w:styleId="NoteHeadingChar">
    <w:name w:val="Note Heading Char"/>
    <w:basedOn w:val="DefaultParagraphFont"/>
    <w:link w:val="NoteHeading"/>
    <w:uiPriority w:val="99"/>
    <w:semiHidden/>
    <w:rsid w:val="00AF2698"/>
    <w:rPr>
      <w:rFonts w:ascii="Arial" w:hAnsi="Arial"/>
      <w:color w:val="414141"/>
      <w:sz w:val="18"/>
      <w:lang w:val="en-AU"/>
    </w:rPr>
  </w:style>
  <w:style w:type="paragraph" w:styleId="Salutation">
    <w:name w:val="Salutation"/>
    <w:basedOn w:val="Normal"/>
    <w:next w:val="Normal"/>
    <w:link w:val="SalutationChar"/>
    <w:uiPriority w:val="99"/>
    <w:semiHidden/>
    <w:rsid w:val="00AF2698"/>
  </w:style>
  <w:style w:type="character" w:customStyle="1" w:styleId="SalutationChar">
    <w:name w:val="Salutation Char"/>
    <w:basedOn w:val="DefaultParagraphFont"/>
    <w:link w:val="Salutation"/>
    <w:uiPriority w:val="99"/>
    <w:semiHidden/>
    <w:rsid w:val="00AF2698"/>
    <w:rPr>
      <w:rFonts w:ascii="Arial" w:hAnsi="Arial"/>
      <w:color w:val="414141"/>
      <w:sz w:val="18"/>
      <w:lang w:val="en-AU"/>
    </w:rPr>
  </w:style>
  <w:style w:type="paragraph" w:styleId="Signature">
    <w:name w:val="Signature"/>
    <w:basedOn w:val="Normal"/>
    <w:link w:val="SignatureChar"/>
    <w:uiPriority w:val="99"/>
    <w:semiHidden/>
    <w:unhideWhenUsed/>
    <w:rsid w:val="00AF2698"/>
    <w:pPr>
      <w:spacing w:after="0"/>
      <w:ind w:left="4253"/>
    </w:pPr>
  </w:style>
  <w:style w:type="character" w:customStyle="1" w:styleId="SignatureChar">
    <w:name w:val="Signature Char"/>
    <w:basedOn w:val="DefaultParagraphFont"/>
    <w:link w:val="Signature"/>
    <w:uiPriority w:val="99"/>
    <w:semiHidden/>
    <w:rsid w:val="00AF2698"/>
    <w:rPr>
      <w:rFonts w:ascii="Arial" w:hAnsi="Arial"/>
      <w:color w:val="414141"/>
      <w:sz w:val="18"/>
      <w:lang w:val="en-AU"/>
    </w:rPr>
  </w:style>
  <w:style w:type="paragraph" w:styleId="TableofAuthorities">
    <w:name w:val="table of authorities"/>
    <w:basedOn w:val="Normal"/>
    <w:next w:val="Normal"/>
    <w:uiPriority w:val="99"/>
    <w:semiHidden/>
    <w:unhideWhenUsed/>
    <w:locked/>
    <w:rsid w:val="00780BDA"/>
    <w:pPr>
      <w:spacing w:after="0"/>
      <w:ind w:left="1134" w:hanging="1134"/>
    </w:pPr>
  </w:style>
  <w:style w:type="paragraph" w:styleId="TOAHeading">
    <w:name w:val="toa heading"/>
    <w:basedOn w:val="Normal"/>
    <w:next w:val="Normal"/>
    <w:uiPriority w:val="99"/>
    <w:semiHidden/>
    <w:unhideWhenUsed/>
    <w:rsid w:val="004505A4"/>
    <w:pPr>
      <w:spacing w:before="140"/>
    </w:pPr>
    <w:rPr>
      <w:rFonts w:eastAsiaTheme="majorEastAsia" w:cstheme="majorBidi"/>
      <w:b/>
      <w:bCs/>
      <w:szCs w:val="24"/>
    </w:rPr>
  </w:style>
  <w:style w:type="character" w:customStyle="1" w:styleId="TextColour">
    <w:name w:val="Text Colour"/>
    <w:basedOn w:val="DefaultParagraphFont"/>
    <w:uiPriority w:val="1"/>
    <w:rsid w:val="00365F92"/>
    <w:rPr>
      <w:color w:val="159DCE"/>
    </w:rPr>
  </w:style>
  <w:style w:type="paragraph" w:customStyle="1" w:styleId="CCAtable0">
    <w:name w:val="CCA table"/>
    <w:basedOn w:val="Normal"/>
    <w:link w:val="CCAtableChar"/>
    <w:qFormat/>
    <w:rsid w:val="00A24004"/>
    <w:pPr>
      <w:spacing w:after="0" w:line="240" w:lineRule="auto"/>
      <w:jc w:val="both"/>
    </w:pPr>
    <w:rPr>
      <w:rFonts w:eastAsiaTheme="minorEastAsia" w:cs="Arial"/>
      <w:b/>
      <w:bCs/>
      <w:color w:val="FFFFFF" w:themeColor="background1"/>
      <w:sz w:val="20"/>
    </w:rPr>
  </w:style>
  <w:style w:type="character" w:customStyle="1" w:styleId="CCAtableChar">
    <w:name w:val="CCA table Char"/>
    <w:basedOn w:val="DefaultParagraphFont"/>
    <w:link w:val="CCAtable0"/>
    <w:rsid w:val="00A24004"/>
    <w:rPr>
      <w:rFonts w:ascii="Arial" w:eastAsiaTheme="minorEastAsia" w:hAnsi="Arial" w:cs="Arial"/>
      <w:b/>
      <w:bCs/>
      <w:color w:val="FFFFFF" w:themeColor="background1"/>
      <w:sz w:val="20"/>
      <w:lang w:val="en-AU"/>
    </w:rPr>
  </w:style>
  <w:style w:type="table" w:customStyle="1" w:styleId="MediumShading1-Accent15">
    <w:name w:val="Medium Shading 1 - Accent 15"/>
    <w:basedOn w:val="TableNormal"/>
    <w:next w:val="MediumShading1-Accent1"/>
    <w:uiPriority w:val="63"/>
    <w:rsid w:val="002D19CF"/>
    <w:pPr>
      <w:spacing w:after="0" w:line="240" w:lineRule="auto"/>
    </w:pPr>
    <w:rPr>
      <w:lang w:val="en-AU"/>
    </w:rPr>
    <w:tblPr>
      <w:tblStyleRowBandSize w:val="1"/>
      <w:tblStyleColBandSize w:val="1"/>
      <w:tbl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single" w:sz="8" w:space="0" w:color="60B6D9" w:themeColor="accent1" w:themeTint="BF"/>
      </w:tblBorders>
    </w:tblPr>
    <w:tblStylePr w:type="firstRow">
      <w:pPr>
        <w:spacing w:before="0" w:after="0" w:line="240" w:lineRule="auto"/>
      </w:pPr>
      <w:rPr>
        <w:b/>
        <w:bCs/>
        <w:color w:val="FFFFFF" w:themeColor="background1"/>
      </w:rPr>
      <w:tblPr/>
      <w:tcPr>
        <w:shd w:val="clear" w:color="auto" w:fill="00B0F0"/>
      </w:tcPr>
    </w:tblStylePr>
    <w:tblStylePr w:type="lastRow">
      <w:pPr>
        <w:spacing w:before="0" w:after="0" w:line="240" w:lineRule="auto"/>
      </w:pPr>
      <w:rPr>
        <w:b/>
        <w:bCs/>
      </w:rPr>
      <w:tblPr/>
      <w:tcPr>
        <w:tcBorders>
          <w:top w:val="double" w:sz="6"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6F2" w:themeFill="accent1" w:themeFillTint="3F"/>
      </w:tcPr>
    </w:tblStylePr>
    <w:tblStylePr w:type="band1Horz">
      <w:tblPr/>
      <w:tcPr>
        <w:tcBorders>
          <w:insideH w:val="nil"/>
          <w:insideV w:val="nil"/>
        </w:tcBorders>
        <w:shd w:val="clear" w:color="auto" w:fill="CAE6F2"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locked/>
    <w:rsid w:val="002D19CF"/>
    <w:pPr>
      <w:spacing w:after="0" w:line="240" w:lineRule="auto"/>
    </w:pPr>
    <w:tblPr>
      <w:tblStyleRowBandSize w:val="1"/>
      <w:tblStyleColBandSize w:val="1"/>
      <w:tbl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single" w:sz="8" w:space="0" w:color="60B6D9" w:themeColor="accent1" w:themeTint="BF"/>
      </w:tblBorders>
    </w:tblPr>
    <w:tblStylePr w:type="firstRow">
      <w:pPr>
        <w:spacing w:before="0" w:after="0" w:line="240" w:lineRule="auto"/>
      </w:pPr>
      <w:rPr>
        <w:b/>
        <w:bCs/>
        <w:color w:val="FFFFFF" w:themeColor="background1"/>
      </w:rPr>
      <w:tblPr/>
      <w:tcPr>
        <w:tc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shd w:val="clear" w:color="auto" w:fill="309CC8" w:themeFill="accent1"/>
      </w:tcPr>
    </w:tblStylePr>
    <w:tblStylePr w:type="lastRow">
      <w:pPr>
        <w:spacing w:before="0" w:after="0" w:line="240" w:lineRule="auto"/>
      </w:pPr>
      <w:rPr>
        <w:b/>
        <w:bCs/>
      </w:rPr>
      <w:tblPr/>
      <w:tcPr>
        <w:tcBorders>
          <w:top w:val="double" w:sz="6"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6F2" w:themeFill="accent1" w:themeFillTint="3F"/>
      </w:tcPr>
    </w:tblStylePr>
    <w:tblStylePr w:type="band1Horz">
      <w:tblPr/>
      <w:tcPr>
        <w:tcBorders>
          <w:insideH w:val="nil"/>
          <w:insideV w:val="nil"/>
        </w:tcBorders>
        <w:shd w:val="clear" w:color="auto" w:fill="CAE6F2"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D56D28"/>
    <w:pPr>
      <w:spacing w:after="0" w:line="240" w:lineRule="auto"/>
    </w:pPr>
    <w:rPr>
      <w:lang w:val="en-AU"/>
    </w:rPr>
    <w:tblPr>
      <w:tblStyleRowBandSize w:val="1"/>
      <w:tblStyleColBandSize w:val="1"/>
      <w:tbl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single" w:sz="8" w:space="0" w:color="60B6D9" w:themeColor="accent1" w:themeTint="BF"/>
      </w:tblBorders>
    </w:tblPr>
    <w:tblStylePr w:type="firstRow">
      <w:pPr>
        <w:spacing w:before="0" w:after="0" w:line="240" w:lineRule="auto"/>
      </w:pPr>
      <w:rPr>
        <w:b/>
        <w:bCs/>
        <w:color w:val="FFFFFF" w:themeColor="background1"/>
      </w:rPr>
      <w:tblPr/>
      <w:tcPr>
        <w:shd w:val="clear" w:color="auto" w:fill="00B0F0"/>
      </w:tcPr>
    </w:tblStylePr>
    <w:tblStylePr w:type="lastRow">
      <w:pPr>
        <w:spacing w:before="0" w:after="0" w:line="240" w:lineRule="auto"/>
      </w:pPr>
      <w:rPr>
        <w:b/>
        <w:bCs/>
      </w:rPr>
      <w:tblPr/>
      <w:tcPr>
        <w:tcBorders>
          <w:top w:val="double" w:sz="6"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6F2" w:themeFill="accent1" w:themeFillTint="3F"/>
      </w:tcPr>
    </w:tblStylePr>
    <w:tblStylePr w:type="band1Horz">
      <w:tblPr/>
      <w:tcPr>
        <w:tcBorders>
          <w:insideH w:val="nil"/>
          <w:insideV w:val="nil"/>
        </w:tcBorders>
        <w:shd w:val="clear" w:color="auto" w:fill="CAE6F2" w:themeFill="accent1" w:themeFillTint="3F"/>
      </w:tcPr>
    </w:tblStylePr>
    <w:tblStylePr w:type="band2Horz">
      <w:tblPr/>
      <w:tcPr>
        <w:tcBorders>
          <w:insideH w:val="nil"/>
          <w:insideV w:val="nil"/>
        </w:tcBorders>
      </w:tcPr>
    </w:tblStylePr>
  </w:style>
  <w:style w:type="paragraph" w:customStyle="1" w:styleId="Tabletext0">
    <w:name w:val="Table text"/>
    <w:basedOn w:val="Normal"/>
    <w:uiPriority w:val="9"/>
    <w:qFormat/>
    <w:rsid w:val="00FC2FC1"/>
    <w:pPr>
      <w:spacing w:before="60" w:after="0" w:line="276" w:lineRule="auto"/>
    </w:pPr>
    <w:rPr>
      <w:rFonts w:eastAsia="Calibri" w:cs="Times New Roman"/>
      <w:color w:val="auto"/>
      <w:sz w:val="21"/>
    </w:rPr>
  </w:style>
  <w:style w:type="character" w:styleId="Strong">
    <w:name w:val="Strong"/>
    <w:basedOn w:val="DefaultParagraphFont"/>
    <w:uiPriority w:val="22"/>
    <w:qFormat/>
    <w:rsid w:val="00BC7E52"/>
    <w:rPr>
      <w:b/>
      <w:bCs/>
    </w:rPr>
  </w:style>
  <w:style w:type="character" w:styleId="Emphasis">
    <w:name w:val="Emphasis"/>
    <w:basedOn w:val="DefaultParagraphFont"/>
    <w:uiPriority w:val="20"/>
    <w:qFormat/>
    <w:rsid w:val="00BC7E52"/>
    <w:rPr>
      <w:i/>
      <w:iCs/>
    </w:rPr>
  </w:style>
  <w:style w:type="character" w:styleId="PlaceholderText">
    <w:name w:val="Placeholder Text"/>
    <w:basedOn w:val="DefaultParagraphFont"/>
    <w:uiPriority w:val="99"/>
    <w:semiHidden/>
    <w:rsid w:val="00685FA0"/>
    <w:rPr>
      <w:color w:val="808080"/>
    </w:rPr>
  </w:style>
  <w:style w:type="paragraph" w:customStyle="1" w:styleId="CCAquote">
    <w:name w:val="CCA quote"/>
    <w:basedOn w:val="CCABodytext"/>
    <w:next w:val="CCABodytext"/>
    <w:qFormat/>
    <w:rsid w:val="004974EF"/>
    <w:pPr>
      <w:keepNext/>
      <w:spacing w:before="240" w:after="0" w:line="240" w:lineRule="auto"/>
      <w:ind w:left="454" w:right="340"/>
      <w:mirrorIndents/>
    </w:pPr>
    <w:rPr>
      <w:i/>
    </w:rPr>
  </w:style>
  <w:style w:type="paragraph" w:customStyle="1" w:styleId="CCAquotesource">
    <w:name w:val="CCA quote source"/>
    <w:basedOn w:val="CCABodytext"/>
    <w:next w:val="CCABodytext"/>
    <w:qFormat/>
    <w:rsid w:val="00772087"/>
    <w:pPr>
      <w:spacing w:line="240" w:lineRule="auto"/>
      <w:jc w:val="right"/>
    </w:pPr>
  </w:style>
  <w:style w:type="character" w:customStyle="1" w:styleId="st">
    <w:name w:val="st"/>
    <w:basedOn w:val="DefaultParagraphFont"/>
    <w:rsid w:val="009D37B2"/>
  </w:style>
  <w:style w:type="table" w:styleId="LightGrid-Accent3">
    <w:name w:val="Light Grid Accent 3"/>
    <w:basedOn w:val="TableNormal"/>
    <w:uiPriority w:val="62"/>
    <w:locked/>
    <w:rsid w:val="0016743A"/>
    <w:pPr>
      <w:spacing w:after="0" w:line="240" w:lineRule="auto"/>
    </w:pPr>
    <w:rPr>
      <w:lang w:val="en-AU"/>
    </w:rPr>
    <w:tblPr>
      <w:tblStyleRowBandSize w:val="1"/>
      <w:tblStyleColBandSize w:val="1"/>
      <w:tblBorders>
        <w:top w:val="single" w:sz="8" w:space="0" w:color="309CC8" w:themeColor="accent3"/>
        <w:left w:val="single" w:sz="8" w:space="0" w:color="309CC8" w:themeColor="accent3"/>
        <w:bottom w:val="single" w:sz="8" w:space="0" w:color="309CC8" w:themeColor="accent3"/>
        <w:right w:val="single" w:sz="8" w:space="0" w:color="309CC8" w:themeColor="accent3"/>
        <w:insideH w:val="single" w:sz="8" w:space="0" w:color="309CC8" w:themeColor="accent3"/>
        <w:insideV w:val="single" w:sz="8" w:space="0" w:color="309C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9CC8" w:themeColor="accent3"/>
          <w:left w:val="single" w:sz="8" w:space="0" w:color="309CC8" w:themeColor="accent3"/>
          <w:bottom w:val="single" w:sz="18" w:space="0" w:color="309CC8" w:themeColor="accent3"/>
          <w:right w:val="single" w:sz="8" w:space="0" w:color="309CC8" w:themeColor="accent3"/>
          <w:insideH w:val="nil"/>
          <w:insideV w:val="single" w:sz="8" w:space="0" w:color="309C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9CC8" w:themeColor="accent3"/>
          <w:left w:val="single" w:sz="8" w:space="0" w:color="309CC8" w:themeColor="accent3"/>
          <w:bottom w:val="single" w:sz="8" w:space="0" w:color="309CC8" w:themeColor="accent3"/>
          <w:right w:val="single" w:sz="8" w:space="0" w:color="309CC8" w:themeColor="accent3"/>
          <w:insideH w:val="nil"/>
          <w:insideV w:val="single" w:sz="8" w:space="0" w:color="309C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9CC8" w:themeColor="accent3"/>
          <w:left w:val="single" w:sz="8" w:space="0" w:color="309CC8" w:themeColor="accent3"/>
          <w:bottom w:val="single" w:sz="8" w:space="0" w:color="309CC8" w:themeColor="accent3"/>
          <w:right w:val="single" w:sz="8" w:space="0" w:color="309CC8" w:themeColor="accent3"/>
        </w:tcBorders>
      </w:tcPr>
    </w:tblStylePr>
    <w:tblStylePr w:type="band1Vert">
      <w:tblPr/>
      <w:tcPr>
        <w:tcBorders>
          <w:top w:val="single" w:sz="8" w:space="0" w:color="309CC8" w:themeColor="accent3"/>
          <w:left w:val="single" w:sz="8" w:space="0" w:color="309CC8" w:themeColor="accent3"/>
          <w:bottom w:val="single" w:sz="8" w:space="0" w:color="309CC8" w:themeColor="accent3"/>
          <w:right w:val="single" w:sz="8" w:space="0" w:color="309CC8" w:themeColor="accent3"/>
        </w:tcBorders>
        <w:shd w:val="clear" w:color="auto" w:fill="CAE6F2" w:themeFill="accent3" w:themeFillTint="3F"/>
      </w:tcPr>
    </w:tblStylePr>
    <w:tblStylePr w:type="band1Horz">
      <w:tblPr/>
      <w:tcPr>
        <w:tcBorders>
          <w:top w:val="single" w:sz="8" w:space="0" w:color="309CC8" w:themeColor="accent3"/>
          <w:left w:val="single" w:sz="8" w:space="0" w:color="309CC8" w:themeColor="accent3"/>
          <w:bottom w:val="single" w:sz="8" w:space="0" w:color="309CC8" w:themeColor="accent3"/>
          <w:right w:val="single" w:sz="8" w:space="0" w:color="309CC8" w:themeColor="accent3"/>
          <w:insideV w:val="single" w:sz="8" w:space="0" w:color="309CC8" w:themeColor="accent3"/>
        </w:tcBorders>
        <w:shd w:val="clear" w:color="auto" w:fill="CAE6F2" w:themeFill="accent3" w:themeFillTint="3F"/>
      </w:tcPr>
    </w:tblStylePr>
    <w:tblStylePr w:type="band2Horz">
      <w:tblPr/>
      <w:tcPr>
        <w:tcBorders>
          <w:top w:val="single" w:sz="8" w:space="0" w:color="309CC8" w:themeColor="accent3"/>
          <w:left w:val="single" w:sz="8" w:space="0" w:color="309CC8" w:themeColor="accent3"/>
          <w:bottom w:val="single" w:sz="8" w:space="0" w:color="309CC8" w:themeColor="accent3"/>
          <w:right w:val="single" w:sz="8" w:space="0" w:color="309CC8" w:themeColor="accent3"/>
          <w:insideV w:val="single" w:sz="8" w:space="0" w:color="309CC8" w:themeColor="accent3"/>
        </w:tcBorders>
      </w:tcPr>
    </w:tblStylePr>
  </w:style>
  <w:style w:type="paragraph" w:styleId="ListParagraph">
    <w:name w:val="List Paragraph"/>
    <w:basedOn w:val="ListBullet"/>
    <w:next w:val="ListBullet"/>
    <w:uiPriority w:val="34"/>
    <w:qFormat/>
    <w:rsid w:val="0016743A"/>
    <w:pPr>
      <w:spacing w:line="240" w:lineRule="atLeast"/>
      <w:ind w:right="0"/>
      <w:contextualSpacing/>
    </w:pPr>
    <w:rPr>
      <w:rFonts w:ascii="Calibri" w:eastAsia="Calibri" w:hAnsi="Calibri"/>
      <w:szCs w:val="22"/>
      <w:lang w:eastAsia="en-US"/>
    </w:rPr>
  </w:style>
  <w:style w:type="paragraph" w:styleId="DocumentMap">
    <w:name w:val="Document Map"/>
    <w:basedOn w:val="Normal"/>
    <w:link w:val="DocumentMapChar"/>
    <w:uiPriority w:val="99"/>
    <w:semiHidden/>
    <w:unhideWhenUsed/>
    <w:rsid w:val="007909C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909CF"/>
    <w:rPr>
      <w:rFonts w:ascii="Times New Roman" w:hAnsi="Times New Roman" w:cs="Times New Roman"/>
      <w:color w:val="414141"/>
      <w:sz w:val="24"/>
      <w:szCs w:val="24"/>
      <w:lang w:val="en-AU"/>
    </w:rPr>
  </w:style>
  <w:style w:type="paragraph" w:customStyle="1" w:styleId="CCAFigure">
    <w:name w:val="CCA Figure"/>
    <w:basedOn w:val="CCABodytext"/>
    <w:rsid w:val="004E405A"/>
    <w:pPr>
      <w:jc w:val="center"/>
    </w:pPr>
    <w:rPr>
      <w:noProof/>
      <w:lang w:eastAsia="en-AU"/>
    </w:rPr>
  </w:style>
  <w:style w:type="character" w:customStyle="1" w:styleId="A1">
    <w:name w:val="A1"/>
    <w:uiPriority w:val="99"/>
    <w:rsid w:val="00B41F99"/>
    <w:rPr>
      <w:rFonts w:cs="Lato"/>
      <w:color w:val="545557"/>
      <w:sz w:val="42"/>
      <w:szCs w:val="42"/>
    </w:rPr>
  </w:style>
  <w:style w:type="character" w:customStyle="1" w:styleId="publication-meta-journal">
    <w:name w:val="publication-meta-journal"/>
    <w:basedOn w:val="DefaultParagraphFont"/>
    <w:rsid w:val="00B41F99"/>
  </w:style>
  <w:style w:type="paragraph" w:styleId="Revision">
    <w:name w:val="Revision"/>
    <w:hidden/>
    <w:uiPriority w:val="99"/>
    <w:semiHidden/>
    <w:rsid w:val="00722136"/>
    <w:pPr>
      <w:spacing w:after="0" w:line="240" w:lineRule="auto"/>
    </w:pPr>
    <w:rPr>
      <w:rFonts w:ascii="Arial" w:hAnsi="Arial"/>
      <w:color w:val="414141"/>
      <w:lang w:val="en-AU"/>
    </w:rPr>
  </w:style>
  <w:style w:type="paragraph" w:customStyle="1" w:styleId="CCAheading1nonumber">
    <w:name w:val="CCA heading 1 no number"/>
    <w:basedOn w:val="Heading1"/>
    <w:next w:val="CCABodytext"/>
    <w:qFormat/>
    <w:rsid w:val="00F92F48"/>
  </w:style>
  <w:style w:type="table" w:customStyle="1" w:styleId="MediumShading1-Accent11">
    <w:name w:val="Medium Shading 1 - Accent 11"/>
    <w:basedOn w:val="TableNormal"/>
    <w:next w:val="MediumShading1-Accent1"/>
    <w:uiPriority w:val="63"/>
    <w:unhideWhenUsed/>
    <w:locked/>
    <w:rsid w:val="006B4D6F"/>
    <w:pPr>
      <w:spacing w:after="0" w:line="240" w:lineRule="auto"/>
    </w:pPr>
    <w:tblPr>
      <w:tblStyleRowBandSize w:val="1"/>
      <w:tblStyleColBandSize w:val="1"/>
      <w:tbl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single" w:sz="8" w:space="0" w:color="60B6D9" w:themeColor="accent1" w:themeTint="BF"/>
      </w:tblBorders>
    </w:tblPr>
    <w:tblStylePr w:type="firstRow">
      <w:pPr>
        <w:spacing w:before="0" w:after="0" w:line="240" w:lineRule="auto"/>
      </w:pPr>
      <w:rPr>
        <w:b/>
        <w:bCs/>
        <w:color w:val="FFFFFF" w:themeColor="background1"/>
      </w:rPr>
      <w:tblPr/>
      <w:tcPr>
        <w:tc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shd w:val="clear" w:color="auto" w:fill="309CC8" w:themeFill="accent1"/>
      </w:tcPr>
    </w:tblStylePr>
    <w:tblStylePr w:type="lastRow">
      <w:pPr>
        <w:spacing w:before="0" w:after="0" w:line="240" w:lineRule="auto"/>
      </w:pPr>
      <w:rPr>
        <w:b/>
        <w:bCs/>
      </w:rPr>
      <w:tblPr/>
      <w:tcPr>
        <w:tcBorders>
          <w:top w:val="double" w:sz="6"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6F2" w:themeFill="accent1" w:themeFillTint="3F"/>
      </w:tcPr>
    </w:tblStylePr>
    <w:tblStylePr w:type="band1Horz">
      <w:tblPr/>
      <w:tcPr>
        <w:tcBorders>
          <w:insideH w:val="nil"/>
          <w:insideV w:val="nil"/>
        </w:tcBorders>
        <w:shd w:val="clear" w:color="auto" w:fill="CAE6F2" w:themeFill="accent1" w:themeFillTint="3F"/>
      </w:tcPr>
    </w:tblStylePr>
    <w:tblStylePr w:type="band2Horz">
      <w:tblPr/>
      <w:tcPr>
        <w:tcBorders>
          <w:insideH w:val="nil"/>
          <w:insideV w:val="nil"/>
        </w:tcBorders>
      </w:tcPr>
    </w:tblStylePr>
  </w:style>
  <w:style w:type="table" w:customStyle="1" w:styleId="ListTable3-Accent21">
    <w:name w:val="List Table 3 - Accent 21"/>
    <w:basedOn w:val="TableNormal"/>
    <w:uiPriority w:val="48"/>
    <w:rsid w:val="008D6257"/>
    <w:pPr>
      <w:spacing w:after="0" w:line="240" w:lineRule="auto"/>
    </w:pPr>
    <w:tblPr>
      <w:tblStyleRowBandSize w:val="1"/>
      <w:tblStyleColBandSize w:val="1"/>
      <w:tblBorders>
        <w:top w:val="single" w:sz="4" w:space="0" w:color="309CC8" w:themeColor="accent2"/>
        <w:left w:val="single" w:sz="4" w:space="0" w:color="309CC8" w:themeColor="accent2"/>
        <w:bottom w:val="single" w:sz="4" w:space="0" w:color="309CC8" w:themeColor="accent2"/>
        <w:right w:val="single" w:sz="4" w:space="0" w:color="309CC8" w:themeColor="accent2"/>
      </w:tblBorders>
    </w:tblPr>
    <w:tblStylePr w:type="firstRow">
      <w:rPr>
        <w:b/>
        <w:bCs/>
        <w:color w:val="FFFFFF" w:themeColor="background1"/>
      </w:rPr>
      <w:tblPr/>
      <w:tcPr>
        <w:shd w:val="clear" w:color="auto" w:fill="309CC8" w:themeFill="accent2"/>
      </w:tcPr>
    </w:tblStylePr>
    <w:tblStylePr w:type="lastRow">
      <w:rPr>
        <w:b/>
        <w:bCs/>
      </w:rPr>
      <w:tblPr/>
      <w:tcPr>
        <w:tcBorders>
          <w:top w:val="double" w:sz="4" w:space="0" w:color="309CC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9CC8" w:themeColor="accent2"/>
          <w:right w:val="single" w:sz="4" w:space="0" w:color="309CC8" w:themeColor="accent2"/>
        </w:tcBorders>
      </w:tcPr>
    </w:tblStylePr>
    <w:tblStylePr w:type="band1Horz">
      <w:tblPr/>
      <w:tcPr>
        <w:tcBorders>
          <w:top w:val="single" w:sz="4" w:space="0" w:color="309CC8" w:themeColor="accent2"/>
          <w:bottom w:val="single" w:sz="4" w:space="0" w:color="309CC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9CC8" w:themeColor="accent2"/>
          <w:left w:val="nil"/>
        </w:tcBorders>
      </w:tcPr>
    </w:tblStylePr>
    <w:tblStylePr w:type="swCell">
      <w:tblPr/>
      <w:tcPr>
        <w:tcBorders>
          <w:top w:val="double" w:sz="4" w:space="0" w:color="309CC8" w:themeColor="accent2"/>
          <w:right w:val="nil"/>
        </w:tcBorders>
      </w:tcPr>
    </w:tblStylePr>
  </w:style>
  <w:style w:type="paragraph" w:customStyle="1" w:styleId="TOCFigures">
    <w:name w:val="TOC Figures"/>
    <w:basedOn w:val="TableofFigures"/>
    <w:rsid w:val="001121D2"/>
    <w:pPr>
      <w:tabs>
        <w:tab w:val="clear" w:pos="1134"/>
        <w:tab w:val="clear" w:pos="7927"/>
        <w:tab w:val="right" w:pos="9639"/>
      </w:tabs>
      <w:ind w:left="794" w:right="851" w:hanging="794"/>
    </w:pPr>
  </w:style>
  <w:style w:type="numbering" w:customStyle="1" w:styleId="KeyPoints">
    <w:name w:val="Key Points"/>
    <w:basedOn w:val="NoList"/>
    <w:uiPriority w:val="99"/>
    <w:rsid w:val="0005383C"/>
    <w:pPr>
      <w:numPr>
        <w:numId w:val="35"/>
      </w:numPr>
    </w:pPr>
  </w:style>
  <w:style w:type="table" w:customStyle="1" w:styleId="TableGrid1">
    <w:name w:val="Table Grid1"/>
    <w:basedOn w:val="TableNormal"/>
    <w:next w:val="TableGrid"/>
    <w:uiPriority w:val="39"/>
    <w:rsid w:val="0005383C"/>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21">
    <w:name w:val="Medium Shading 1 - Accent 121"/>
    <w:basedOn w:val="TableNormal"/>
    <w:next w:val="MediumShading1-Accent1"/>
    <w:uiPriority w:val="63"/>
    <w:unhideWhenUsed/>
    <w:locked/>
    <w:rsid w:val="00234ED9"/>
    <w:pPr>
      <w:spacing w:after="0" w:line="240" w:lineRule="auto"/>
    </w:pPr>
    <w:rPr>
      <w:rFonts w:ascii="Arial" w:eastAsia="Arial" w:hAnsi="Arial" w:cs="Times New Roman"/>
    </w:rPr>
    <w:tblPr>
      <w:tblStyleRowBandSize w:val="1"/>
      <w:tblStyleColBandSize w:val="1"/>
      <w:tblBorders>
        <w:top w:val="single" w:sz="8" w:space="0" w:color="60B6D9"/>
        <w:left w:val="single" w:sz="8" w:space="0" w:color="60B6D9"/>
        <w:bottom w:val="single" w:sz="8" w:space="0" w:color="60B6D9"/>
        <w:right w:val="single" w:sz="8" w:space="0" w:color="60B6D9"/>
        <w:insideH w:val="single" w:sz="8" w:space="0" w:color="60B6D9"/>
      </w:tblBorders>
    </w:tblPr>
    <w:tblStylePr w:type="firstRow">
      <w:pPr>
        <w:spacing w:before="0" w:after="0" w:line="240" w:lineRule="auto"/>
      </w:pPr>
      <w:rPr>
        <w:b/>
        <w:bCs/>
        <w:color w:val="FFFFFF"/>
      </w:rPr>
      <w:tblPr/>
      <w:tcPr>
        <w:tcBorders>
          <w:top w:val="single" w:sz="8" w:space="0" w:color="60B6D9"/>
          <w:left w:val="single" w:sz="8" w:space="0" w:color="60B6D9"/>
          <w:bottom w:val="single" w:sz="8" w:space="0" w:color="60B6D9"/>
          <w:right w:val="single" w:sz="8" w:space="0" w:color="60B6D9"/>
          <w:insideH w:val="nil"/>
          <w:insideV w:val="nil"/>
        </w:tcBorders>
        <w:shd w:val="clear" w:color="auto" w:fill="309CC8"/>
      </w:tcPr>
    </w:tblStylePr>
    <w:tblStylePr w:type="lastRow">
      <w:pPr>
        <w:spacing w:before="0" w:after="0" w:line="240" w:lineRule="auto"/>
      </w:pPr>
      <w:rPr>
        <w:b/>
        <w:bCs/>
      </w:rPr>
      <w:tblPr/>
      <w:tcPr>
        <w:tcBorders>
          <w:top w:val="double" w:sz="6" w:space="0" w:color="60B6D9"/>
          <w:left w:val="single" w:sz="8" w:space="0" w:color="60B6D9"/>
          <w:bottom w:val="single" w:sz="8" w:space="0" w:color="60B6D9"/>
          <w:right w:val="single" w:sz="8" w:space="0" w:color="60B6D9"/>
          <w:insideH w:val="nil"/>
          <w:insideV w:val="nil"/>
        </w:tcBorders>
      </w:tcPr>
    </w:tblStylePr>
    <w:tblStylePr w:type="firstCol">
      <w:rPr>
        <w:b/>
        <w:bCs/>
      </w:rPr>
    </w:tblStylePr>
    <w:tblStylePr w:type="lastCol">
      <w:rPr>
        <w:b/>
        <w:bCs/>
      </w:rPr>
    </w:tblStylePr>
    <w:tblStylePr w:type="band1Vert">
      <w:tblPr/>
      <w:tcPr>
        <w:shd w:val="clear" w:color="auto" w:fill="CAE6F2"/>
      </w:tcPr>
    </w:tblStylePr>
    <w:tblStylePr w:type="band1Horz">
      <w:tblPr/>
      <w:tcPr>
        <w:tcBorders>
          <w:insideH w:val="nil"/>
          <w:insideV w:val="nil"/>
        </w:tcBorders>
        <w:shd w:val="clear" w:color="auto" w:fill="CAE6F2"/>
      </w:tcPr>
    </w:tblStylePr>
    <w:tblStylePr w:type="band2Horz">
      <w:tblPr/>
      <w:tcPr>
        <w:tcBorders>
          <w:insideH w:val="nil"/>
          <w:insideV w:val="nil"/>
        </w:tcBorders>
      </w:tcPr>
    </w:tblStylePr>
  </w:style>
  <w:style w:type="paragraph" w:customStyle="1" w:styleId="TableHeadingRightAligned">
    <w:name w:val="Table Heading (Right Aligned)"/>
    <w:basedOn w:val="TableHeading"/>
    <w:qFormat/>
    <w:rsid w:val="00FC2FC1"/>
    <w:pPr>
      <w:jc w:val="right"/>
    </w:pPr>
    <w:rPr>
      <w:b w:val="0"/>
      <w:bCs w:val="0"/>
      <w:sz w:val="21"/>
    </w:rPr>
  </w:style>
  <w:style w:type="paragraph" w:customStyle="1" w:styleId="CCABodytext">
    <w:name w:val="CCA Bodytext"/>
    <w:basedOn w:val="BodyText"/>
    <w:link w:val="CCABodytextChar"/>
    <w:qFormat/>
    <w:rsid w:val="00386858"/>
    <w:pPr>
      <w:spacing w:after="200" w:line="276" w:lineRule="auto"/>
    </w:pPr>
    <w:rPr>
      <w:color w:val="auto"/>
      <w:sz w:val="21"/>
      <w:szCs w:val="21"/>
    </w:rPr>
  </w:style>
  <w:style w:type="paragraph" w:customStyle="1" w:styleId="Note">
    <w:name w:val="Note"/>
    <w:basedOn w:val="BodyText"/>
    <w:link w:val="NoteChar"/>
    <w:rsid w:val="002B4BCC"/>
    <w:pPr>
      <w:keepNext/>
      <w:keepLines/>
    </w:pPr>
    <w:rPr>
      <w:color w:val="auto"/>
      <w:sz w:val="17"/>
      <w:szCs w:val="17"/>
      <w:lang w:eastAsia="en-AU"/>
    </w:rPr>
  </w:style>
  <w:style w:type="character" w:customStyle="1" w:styleId="CCABodytextChar">
    <w:name w:val="CCA Bodytext Char"/>
    <w:basedOn w:val="BodyTextChar"/>
    <w:link w:val="CCABodytext"/>
    <w:rsid w:val="00386858"/>
    <w:rPr>
      <w:rFonts w:ascii="Arial" w:hAnsi="Arial"/>
      <w:color w:val="414141"/>
      <w:sz w:val="21"/>
      <w:szCs w:val="21"/>
      <w:lang w:val="en-AU"/>
    </w:rPr>
  </w:style>
  <w:style w:type="paragraph" w:customStyle="1" w:styleId="CCAHeading1">
    <w:name w:val="CCA Heading 1"/>
    <w:basedOn w:val="Normal"/>
    <w:link w:val="CCAHeading1Char"/>
    <w:qFormat/>
    <w:rsid w:val="00C813C5"/>
    <w:pPr>
      <w:keepNext/>
      <w:numPr>
        <w:numId w:val="60"/>
      </w:numPr>
      <w:spacing w:before="200" w:after="200" w:line="276" w:lineRule="auto"/>
      <w:outlineLvl w:val="1"/>
    </w:pPr>
    <w:rPr>
      <w:rFonts w:asciiTheme="minorHAnsi" w:hAnsiTheme="minorHAnsi" w:cstheme="minorHAnsi"/>
      <w:b/>
      <w:caps/>
      <w:color w:val="159DCE"/>
      <w:sz w:val="34"/>
      <w:szCs w:val="34"/>
      <w:lang w:val="en-GB" w:eastAsia="en-AU"/>
    </w:rPr>
  </w:style>
  <w:style w:type="character" w:customStyle="1" w:styleId="NoteChar">
    <w:name w:val="Note Char"/>
    <w:basedOn w:val="BodyTextChar"/>
    <w:link w:val="Note"/>
    <w:rsid w:val="002B4BCC"/>
    <w:rPr>
      <w:rFonts w:ascii="Arial" w:hAnsi="Arial"/>
      <w:color w:val="414141"/>
      <w:sz w:val="17"/>
      <w:szCs w:val="17"/>
      <w:lang w:val="en-AU" w:eastAsia="en-AU"/>
    </w:rPr>
  </w:style>
  <w:style w:type="paragraph" w:customStyle="1" w:styleId="CCAHeading2">
    <w:name w:val="CCA Heading 2"/>
    <w:basedOn w:val="CCAHeading1"/>
    <w:link w:val="CCAHeading2Char"/>
    <w:qFormat/>
    <w:rsid w:val="00C813C5"/>
    <w:pPr>
      <w:numPr>
        <w:ilvl w:val="1"/>
      </w:numPr>
    </w:pPr>
    <w:rPr>
      <w:sz w:val="22"/>
      <w:szCs w:val="21"/>
    </w:rPr>
  </w:style>
  <w:style w:type="character" w:customStyle="1" w:styleId="CCAHeading1Char">
    <w:name w:val="CCA Heading 1 Char"/>
    <w:basedOn w:val="CCABodytextChar"/>
    <w:link w:val="CCAHeading1"/>
    <w:rsid w:val="00C813C5"/>
    <w:rPr>
      <w:rFonts w:ascii="Arial" w:hAnsi="Arial" w:cstheme="minorHAnsi"/>
      <w:b/>
      <w:caps/>
      <w:color w:val="159DCE"/>
      <w:sz w:val="34"/>
      <w:szCs w:val="34"/>
      <w:lang w:val="en-GB" w:eastAsia="en-AU"/>
    </w:rPr>
  </w:style>
  <w:style w:type="paragraph" w:customStyle="1" w:styleId="CCAHeading3">
    <w:name w:val="CCA Heading 3"/>
    <w:basedOn w:val="CCAHeading2"/>
    <w:link w:val="CCAHeading3Char"/>
    <w:qFormat/>
    <w:rsid w:val="00C813C5"/>
    <w:pPr>
      <w:numPr>
        <w:ilvl w:val="2"/>
      </w:numPr>
      <w:outlineLvl w:val="2"/>
    </w:pPr>
    <w:rPr>
      <w:rFonts w:asciiTheme="majorHAnsi" w:hAnsiTheme="majorHAnsi" w:cstheme="majorHAnsi"/>
      <w:b w:val="0"/>
      <w:caps w:val="0"/>
    </w:rPr>
  </w:style>
  <w:style w:type="character" w:customStyle="1" w:styleId="CCAHeading2Char">
    <w:name w:val="CCA Heading 2 Char"/>
    <w:basedOn w:val="CCAHeading1Char"/>
    <w:link w:val="CCAHeading2"/>
    <w:rsid w:val="00C813C5"/>
    <w:rPr>
      <w:rFonts w:ascii="Arial" w:hAnsi="Arial" w:cstheme="minorHAnsi"/>
      <w:b/>
      <w:caps/>
      <w:color w:val="159DCE"/>
      <w:sz w:val="34"/>
      <w:szCs w:val="21"/>
      <w:lang w:val="en-GB" w:eastAsia="en-AU"/>
    </w:rPr>
  </w:style>
  <w:style w:type="character" w:customStyle="1" w:styleId="CCAHeading3Char">
    <w:name w:val="CCA Heading 3 Char"/>
    <w:basedOn w:val="CCAHeading2Char"/>
    <w:link w:val="CCAHeading3"/>
    <w:rsid w:val="00C813C5"/>
    <w:rPr>
      <w:rFonts w:asciiTheme="majorHAnsi" w:hAnsiTheme="majorHAnsi" w:cstheme="majorHAnsi"/>
      <w:b w:val="0"/>
      <w:caps w:val="0"/>
      <w:color w:val="159DCE"/>
      <w:sz w:val="34"/>
      <w:szCs w:val="21"/>
      <w:lang w:val="en-GB" w:eastAsia="en-AU"/>
    </w:rPr>
  </w:style>
  <w:style w:type="table" w:customStyle="1" w:styleId="CCATable1">
    <w:name w:val="CCA Table1"/>
    <w:basedOn w:val="TableNormal"/>
    <w:uiPriority w:val="99"/>
    <w:rsid w:val="0042436A"/>
    <w:pPr>
      <w:keepNext/>
      <w:keepLines/>
      <w:spacing w:before="40" w:after="80" w:line="240" w:lineRule="auto"/>
    </w:pPr>
    <w:rPr>
      <w:rFonts w:ascii="Arial" w:hAnsi="Arial"/>
      <w:color w:val="414141"/>
      <w:sz w:val="18"/>
    </w:rPr>
    <w:tblPr>
      <w:tblStyleRowBandSize w:val="1"/>
      <w:tblBorders>
        <w:bottom w:val="dotted" w:sz="4" w:space="0" w:color="BFBFBF" w:themeColor="background1" w:themeShade="BF"/>
        <w:insideH w:val="dotted" w:sz="4" w:space="0" w:color="BFBFBF" w:themeColor="background1" w:themeShade="BF"/>
      </w:tblBorders>
    </w:tblPr>
    <w:trPr>
      <w:cantSplit/>
    </w:trPr>
    <w:tcPr>
      <w:shd w:val="clear" w:color="auto" w:fill="309CC8" w:themeFill="accent4"/>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309CC8" w:themeFill="accent1"/>
      </w:tcPr>
    </w:tblStylePr>
    <w:tblStylePr w:type="lastRow">
      <w:rPr>
        <w:rFonts w:ascii="Arial" w:hAnsi="Arial"/>
        <w:sz w:val="18"/>
      </w:rPr>
      <w:tblPr/>
      <w:tcPr>
        <w:tcBorders>
          <w:bottom w:val="dotted" w:sz="4" w:space="0" w:color="BFBFBF" w:themeColor="background1" w:themeShade="BF"/>
        </w:tcBorders>
        <w:shd w:val="clear" w:color="auto" w:fill="309CC8" w:themeFill="accent4"/>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PlainText">
    <w:name w:val="Plain Text"/>
    <w:basedOn w:val="Normal"/>
    <w:link w:val="PlainTextChar"/>
    <w:uiPriority w:val="99"/>
    <w:semiHidden/>
    <w:unhideWhenUsed/>
    <w:rsid w:val="00B54F4D"/>
    <w:pPr>
      <w:spacing w:after="0" w:line="240" w:lineRule="auto"/>
    </w:pPr>
    <w:rPr>
      <w:rFonts w:ascii="Calibri" w:hAnsi="Calibri" w:cs="Consolas"/>
      <w:color w:val="auto"/>
      <w:szCs w:val="21"/>
    </w:rPr>
  </w:style>
  <w:style w:type="character" w:customStyle="1" w:styleId="PlainTextChar">
    <w:name w:val="Plain Text Char"/>
    <w:basedOn w:val="DefaultParagraphFont"/>
    <w:link w:val="PlainText"/>
    <w:uiPriority w:val="99"/>
    <w:semiHidden/>
    <w:rsid w:val="00B54F4D"/>
    <w:rPr>
      <w:rFonts w:ascii="Calibri" w:hAnsi="Calibri" w:cs="Consolas"/>
      <w:szCs w:val="21"/>
      <w:lang w:val="en-AU"/>
    </w:rPr>
  </w:style>
  <w:style w:type="character" w:customStyle="1" w:styleId="A7">
    <w:name w:val="A7"/>
    <w:uiPriority w:val="99"/>
    <w:rsid w:val="00EF262E"/>
    <w:rPr>
      <w:rFonts w:cs="Adobe Garamond Pro"/>
      <w:color w:val="000000"/>
      <w:sz w:val="11"/>
      <w:szCs w:val="11"/>
    </w:rPr>
  </w:style>
  <w:style w:type="character" w:customStyle="1" w:styleId="element-invisible1">
    <w:name w:val="element-invisible1"/>
    <w:basedOn w:val="DefaultParagraphFont"/>
    <w:rsid w:val="00214316"/>
    <w:rPr>
      <w:sz w:val="24"/>
      <w:szCs w:val="24"/>
      <w:bdr w:val="none" w:sz="0" w:space="0" w:color="auto" w:frame="1"/>
      <w:vertAlign w:val="baseline"/>
    </w:rPr>
  </w:style>
  <w:style w:type="character" w:customStyle="1" w:styleId="TableTextChar">
    <w:name w:val="Table Text Char"/>
    <w:basedOn w:val="DefaultParagraphFont"/>
    <w:link w:val="TableText"/>
    <w:locked/>
    <w:rsid w:val="00D153E0"/>
    <w:rPr>
      <w:rFonts w:ascii="Arial" w:eastAsia="Times New Roman" w:hAnsi="Arial" w:cs="Times New Roman"/>
      <w:bCs/>
      <w:sz w:val="20"/>
      <w:szCs w:val="24"/>
      <w:lang w:val="en-AU" w:eastAsia="en-GB"/>
    </w:rPr>
  </w:style>
  <w:style w:type="character" w:customStyle="1" w:styleId="st1">
    <w:name w:val="st1"/>
    <w:basedOn w:val="DefaultParagraphFont"/>
    <w:rsid w:val="00CB1818"/>
  </w:style>
  <w:style w:type="paragraph" w:customStyle="1" w:styleId="CCATableheader">
    <w:name w:val="CCA Table header"/>
    <w:basedOn w:val="Normal"/>
    <w:next w:val="CCABodytext"/>
    <w:link w:val="CCATableheaderChar"/>
    <w:qFormat/>
    <w:rsid w:val="00532BE2"/>
    <w:pPr>
      <w:keepNext/>
      <w:numPr>
        <w:numId w:val="43"/>
      </w:numPr>
      <w:pBdr>
        <w:top w:val="dotted" w:sz="18" w:space="5" w:color="309CC8" w:themeColor="accent1"/>
      </w:pBdr>
      <w:spacing w:before="60" w:after="240" w:line="240" w:lineRule="auto"/>
      <w:ind w:left="1418" w:hanging="1418"/>
    </w:pPr>
    <w:rPr>
      <w:color w:val="159DCE"/>
    </w:rPr>
  </w:style>
  <w:style w:type="character" w:customStyle="1" w:styleId="CCATableheaderChar">
    <w:name w:val="CCA Table header Char"/>
    <w:basedOn w:val="DefaultParagraphFont"/>
    <w:link w:val="CCATableheader"/>
    <w:rsid w:val="00532BE2"/>
    <w:rPr>
      <w:rFonts w:ascii="Arial" w:hAnsi="Arial"/>
      <w:color w:val="159DCE"/>
      <w:lang w:val="en-AU"/>
    </w:rPr>
  </w:style>
  <w:style w:type="paragraph" w:customStyle="1" w:styleId="Tablesubheading">
    <w:name w:val="Table subheading"/>
    <w:basedOn w:val="TableText"/>
    <w:link w:val="TablesubheadingChar"/>
    <w:rsid w:val="00FC2FC1"/>
    <w:pPr>
      <w:spacing w:after="60" w:line="240" w:lineRule="auto"/>
    </w:pPr>
    <w:rPr>
      <w:rFonts w:ascii="Arial Bold" w:hAnsi="Arial Bold"/>
      <w:b/>
      <w:sz w:val="21"/>
    </w:rPr>
  </w:style>
  <w:style w:type="paragraph" w:customStyle="1" w:styleId="Recommendationheading">
    <w:name w:val="Recommendation heading"/>
    <w:basedOn w:val="BodyText"/>
    <w:next w:val="Normal"/>
    <w:link w:val="RecommendationheadingChar"/>
    <w:rsid w:val="00E05C4A"/>
    <w:pPr>
      <w:keepNext/>
      <w:spacing w:before="120" w:after="120" w:line="276" w:lineRule="auto"/>
      <w:ind w:left="360" w:hanging="360"/>
    </w:pPr>
    <w:rPr>
      <w:rFonts w:cs="Arial"/>
    </w:rPr>
  </w:style>
  <w:style w:type="character" w:customStyle="1" w:styleId="TablesubheadingChar">
    <w:name w:val="Table subheading Char"/>
    <w:basedOn w:val="TableTextChar"/>
    <w:link w:val="Tablesubheading"/>
    <w:rsid w:val="00FC2FC1"/>
    <w:rPr>
      <w:rFonts w:ascii="Arial Bold" w:eastAsia="Times New Roman" w:hAnsi="Arial Bold" w:cs="Times New Roman"/>
      <w:b/>
      <w:bCs/>
      <w:sz w:val="21"/>
      <w:szCs w:val="24"/>
      <w:lang w:val="en-AU" w:eastAsia="en-GB"/>
    </w:rPr>
  </w:style>
  <w:style w:type="character" w:customStyle="1" w:styleId="RecommendationheadingChar">
    <w:name w:val="Recommendation heading Char"/>
    <w:basedOn w:val="BodyTextChar"/>
    <w:link w:val="Recommendationheading"/>
    <w:rsid w:val="00E05C4A"/>
    <w:rPr>
      <w:rFonts w:ascii="Arial" w:hAnsi="Arial" w:cs="Arial"/>
      <w:color w:val="414141"/>
      <w:lang w:val="en-AU"/>
    </w:rPr>
  </w:style>
  <w:style w:type="paragraph" w:customStyle="1" w:styleId="CCARecommendation">
    <w:name w:val="CCA Recommendation"/>
    <w:basedOn w:val="Recommendationheading"/>
    <w:next w:val="CCABodytext"/>
    <w:link w:val="CCARecommendationChar"/>
    <w:qFormat/>
    <w:rsid w:val="0065703D"/>
    <w:pPr>
      <w:numPr>
        <w:numId w:val="23"/>
      </w:numPr>
      <w:tabs>
        <w:tab w:val="left" w:pos="709"/>
      </w:tabs>
      <w:ind w:left="567" w:hanging="567"/>
    </w:pPr>
    <w:rPr>
      <w:color w:val="auto"/>
      <w:sz w:val="21"/>
    </w:rPr>
  </w:style>
  <w:style w:type="paragraph" w:customStyle="1" w:styleId="CCAForRheading">
    <w:name w:val="CCA F or R heading"/>
    <w:basedOn w:val="Recommendationheading"/>
    <w:next w:val="CCARecommendation"/>
    <w:link w:val="CCAForRheadingChar"/>
    <w:qFormat/>
    <w:rsid w:val="005843E5"/>
    <w:pPr>
      <w:ind w:left="567" w:hanging="567"/>
    </w:pPr>
    <w:rPr>
      <w:b/>
      <w:color w:val="309CC8" w:themeColor="text2"/>
      <w:sz w:val="24"/>
    </w:rPr>
  </w:style>
  <w:style w:type="character" w:customStyle="1" w:styleId="CCARecommendationChar">
    <w:name w:val="CCA Recommendation Char"/>
    <w:basedOn w:val="RecommendationheadingChar"/>
    <w:link w:val="CCARecommendation"/>
    <w:rsid w:val="0065703D"/>
    <w:rPr>
      <w:rFonts w:ascii="Arial" w:hAnsi="Arial" w:cs="Arial"/>
      <w:color w:val="414141"/>
      <w:sz w:val="21"/>
      <w:lang w:val="en-AU"/>
    </w:rPr>
  </w:style>
  <w:style w:type="paragraph" w:customStyle="1" w:styleId="ESsubheading">
    <w:name w:val="ES subheading"/>
    <w:basedOn w:val="Heading2"/>
    <w:link w:val="ESsubheadingChar"/>
    <w:rsid w:val="008448F1"/>
    <w:pPr>
      <w:spacing w:before="240" w:after="120" w:line="276" w:lineRule="auto"/>
    </w:pPr>
    <w:rPr>
      <w:rFonts w:ascii="Arial" w:eastAsia="Calibri" w:hAnsi="Arial"/>
      <w:b w:val="0"/>
    </w:rPr>
  </w:style>
  <w:style w:type="character" w:customStyle="1" w:styleId="CCAForRheadingChar">
    <w:name w:val="CCA F or R heading Char"/>
    <w:basedOn w:val="RecommendationheadingChar"/>
    <w:link w:val="CCAForRheading"/>
    <w:rsid w:val="005843E5"/>
    <w:rPr>
      <w:rFonts w:ascii="Arial" w:hAnsi="Arial" w:cs="Arial"/>
      <w:b/>
      <w:color w:val="309CC8" w:themeColor="text2"/>
      <w:sz w:val="24"/>
      <w:lang w:val="en-AU"/>
    </w:rPr>
  </w:style>
  <w:style w:type="paragraph" w:customStyle="1" w:styleId="Appendixtableheader">
    <w:name w:val="Appendix table header"/>
    <w:basedOn w:val="CCAFigureHeader"/>
    <w:link w:val="AppendixtableheaderChar"/>
    <w:qFormat/>
    <w:rsid w:val="00966A3A"/>
    <w:pPr>
      <w:numPr>
        <w:numId w:val="21"/>
      </w:numPr>
    </w:pPr>
  </w:style>
  <w:style w:type="character" w:customStyle="1" w:styleId="ESsubheadingChar">
    <w:name w:val="ES subheading Char"/>
    <w:basedOn w:val="Heading2Char"/>
    <w:link w:val="ESsubheading"/>
    <w:rsid w:val="008448F1"/>
    <w:rPr>
      <w:rFonts w:ascii="Arial" w:eastAsia="Calibri" w:hAnsi="Arial" w:cs="Arial"/>
      <w:b w:val="0"/>
      <w:iCs/>
      <w:caps/>
      <w:color w:val="159DCE"/>
      <w:szCs w:val="28"/>
      <w:lang w:val="en-GB" w:eastAsia="en-AU"/>
    </w:rPr>
  </w:style>
  <w:style w:type="character" w:customStyle="1" w:styleId="CCAFigureHeaderChar">
    <w:name w:val="CCA Figure Header Char"/>
    <w:basedOn w:val="CCATableheaderChar"/>
    <w:link w:val="CCAFigureHeader"/>
    <w:rsid w:val="00B3242A"/>
    <w:rPr>
      <w:rFonts w:ascii="Arial" w:hAnsi="Arial"/>
      <w:color w:val="159DCE"/>
      <w:lang w:val="en-AU"/>
    </w:rPr>
  </w:style>
  <w:style w:type="character" w:customStyle="1" w:styleId="AppendixtableheaderChar">
    <w:name w:val="Appendix table header Char"/>
    <w:basedOn w:val="CCAFigureHeaderChar"/>
    <w:link w:val="Appendixtableheader"/>
    <w:rsid w:val="002F1EBB"/>
    <w:rPr>
      <w:rFonts w:ascii="Arial" w:hAnsi="Arial"/>
      <w:color w:val="159DCE"/>
      <w:lang w:val="en-AU"/>
    </w:rPr>
  </w:style>
  <w:style w:type="paragraph" w:customStyle="1" w:styleId="In-text">
    <w:name w:val="In-text"/>
    <w:basedOn w:val="Normal"/>
    <w:link w:val="In-textChar"/>
    <w:rsid w:val="00E05A49"/>
    <w:pPr>
      <w:spacing w:after="200" w:line="276" w:lineRule="auto"/>
    </w:pPr>
    <w:rPr>
      <w:rFonts w:eastAsia="Calibri" w:cs="Times New Roman"/>
      <w:color w:val="000000" w:themeColor="text1"/>
    </w:rPr>
  </w:style>
  <w:style w:type="character" w:customStyle="1" w:styleId="In-textChar">
    <w:name w:val="In-text Char"/>
    <w:basedOn w:val="DefaultParagraphFont"/>
    <w:link w:val="In-text"/>
    <w:rsid w:val="00E05A49"/>
    <w:rPr>
      <w:rFonts w:ascii="Arial" w:eastAsia="Calibri" w:hAnsi="Arial" w:cs="Times New Roman"/>
      <w:color w:val="000000" w:themeColor="text1"/>
      <w:lang w:val="en-AU"/>
    </w:rPr>
  </w:style>
  <w:style w:type="numbering" w:customStyle="1" w:styleId="BulletList">
    <w:name w:val="Bullet List"/>
    <w:uiPriority w:val="99"/>
    <w:rsid w:val="00071336"/>
  </w:style>
  <w:style w:type="paragraph" w:customStyle="1" w:styleId="AppendixBtable">
    <w:name w:val="Appendix B table"/>
    <w:basedOn w:val="Appendixtableheader"/>
    <w:link w:val="AppendixBtableChar"/>
    <w:qFormat/>
    <w:rsid w:val="008A63F5"/>
    <w:pPr>
      <w:numPr>
        <w:numId w:val="22"/>
      </w:numPr>
    </w:pPr>
    <w:rPr>
      <w:rFonts w:asciiTheme="minorHAnsi" w:hAnsiTheme="minorHAnsi" w:cstheme="minorHAnsi"/>
    </w:rPr>
  </w:style>
  <w:style w:type="character" w:customStyle="1" w:styleId="AppendixBtableChar">
    <w:name w:val="Appendix B table Char"/>
    <w:basedOn w:val="AppendixtableheaderChar"/>
    <w:link w:val="AppendixBtable"/>
    <w:rsid w:val="008A63F5"/>
    <w:rPr>
      <w:rFonts w:ascii="Arial" w:hAnsi="Arial" w:cstheme="minorHAnsi"/>
      <w:color w:val="159DCE"/>
      <w:lang w:val="en-AU"/>
    </w:rPr>
  </w:style>
  <w:style w:type="paragraph" w:customStyle="1" w:styleId="CCAAppendixHeading">
    <w:name w:val="CCA Appendix Heading"/>
    <w:basedOn w:val="CCAHeading1"/>
    <w:next w:val="CCABodytext"/>
    <w:qFormat/>
    <w:rsid w:val="00944017"/>
    <w:pPr>
      <w:pageBreakBefore/>
      <w:numPr>
        <w:numId w:val="34"/>
      </w:numPr>
      <w:ind w:left="0" w:firstLine="0"/>
    </w:pPr>
    <w:rPr>
      <w:rFonts w:ascii="Arial Bold" w:eastAsia="Times New Roman" w:hAnsi="Arial Bold" w:cs="Arial"/>
      <w:b w:val="0"/>
      <w:caps w:val="0"/>
    </w:rPr>
  </w:style>
  <w:style w:type="paragraph" w:customStyle="1" w:styleId="Reviewconclusion">
    <w:name w:val="Review conclusion"/>
    <w:basedOn w:val="CCARecommendation"/>
    <w:link w:val="ReviewconclusionChar"/>
    <w:rsid w:val="00D71BF9"/>
    <w:pPr>
      <w:numPr>
        <w:numId w:val="24"/>
      </w:numPr>
    </w:pPr>
    <w:rPr>
      <w:rFonts w:asciiTheme="minorHAnsi" w:hAnsiTheme="minorHAnsi" w:cstheme="minorHAnsi"/>
      <w:szCs w:val="21"/>
    </w:rPr>
  </w:style>
  <w:style w:type="character" w:customStyle="1" w:styleId="ReviewconclusionChar">
    <w:name w:val="Review conclusion Char"/>
    <w:basedOn w:val="CCARecommendationChar"/>
    <w:link w:val="Reviewconclusion"/>
    <w:rsid w:val="00D40946"/>
    <w:rPr>
      <w:rFonts w:ascii="Arial" w:hAnsi="Arial" w:cstheme="minorHAnsi"/>
      <w:color w:val="414141"/>
      <w:sz w:val="21"/>
      <w:szCs w:val="21"/>
      <w:lang w:val="en-AU"/>
    </w:rPr>
  </w:style>
  <w:style w:type="paragraph" w:customStyle="1" w:styleId="CCAHeading4">
    <w:name w:val="CCA Heading 4"/>
    <w:basedOn w:val="CCAHeading3"/>
    <w:link w:val="CCAHeading4Char"/>
    <w:qFormat/>
    <w:rsid w:val="00354794"/>
    <w:pPr>
      <w:numPr>
        <w:ilvl w:val="0"/>
        <w:numId w:val="0"/>
      </w:numPr>
      <w:spacing w:before="0"/>
      <w:outlineLvl w:val="3"/>
    </w:pPr>
    <w:rPr>
      <w:rFonts w:ascii="Arial" w:eastAsia="Calibri" w:hAnsi="Arial" w:cs="Arial"/>
      <w:i/>
      <w:szCs w:val="22"/>
    </w:rPr>
  </w:style>
  <w:style w:type="paragraph" w:customStyle="1" w:styleId="Formalconclusion">
    <w:name w:val="Formal conclusion"/>
    <w:basedOn w:val="Normal"/>
    <w:link w:val="FormalconclusionChar"/>
    <w:rsid w:val="002E5024"/>
    <w:pPr>
      <w:keepNext/>
      <w:spacing w:before="120" w:after="120" w:line="276" w:lineRule="auto"/>
      <w:ind w:left="567" w:hanging="567"/>
    </w:pPr>
    <w:rPr>
      <w:rFonts w:cstheme="minorHAnsi"/>
      <w:color w:val="auto"/>
      <w:sz w:val="21"/>
      <w:szCs w:val="21"/>
    </w:rPr>
  </w:style>
  <w:style w:type="character" w:customStyle="1" w:styleId="FormalconclusionChar">
    <w:name w:val="Formal conclusion Char"/>
    <w:basedOn w:val="DefaultParagraphFont"/>
    <w:link w:val="Formalconclusion"/>
    <w:rsid w:val="002E5024"/>
    <w:rPr>
      <w:rFonts w:ascii="Arial" w:hAnsi="Arial" w:cstheme="minorHAnsi"/>
      <w:sz w:val="21"/>
      <w:szCs w:val="21"/>
      <w:lang w:val="en-AU"/>
    </w:rPr>
  </w:style>
  <w:style w:type="paragraph" w:customStyle="1" w:styleId="Tableheading0">
    <w:name w:val="Table heading"/>
    <w:basedOn w:val="CCAFigureHeader"/>
    <w:link w:val="TableheadingChar"/>
    <w:rsid w:val="002E5024"/>
    <w:pPr>
      <w:numPr>
        <w:numId w:val="0"/>
      </w:numPr>
      <w:ind w:left="360" w:hanging="360"/>
    </w:pPr>
  </w:style>
  <w:style w:type="character" w:customStyle="1" w:styleId="TableheadingChar">
    <w:name w:val="Table heading Char"/>
    <w:basedOn w:val="CCAFigureHeaderChar"/>
    <w:link w:val="Tableheading0"/>
    <w:rsid w:val="002E5024"/>
    <w:rPr>
      <w:rFonts w:ascii="Arial" w:hAnsi="Arial"/>
      <w:color w:val="159DCE"/>
      <w:lang w:val="en-AU"/>
    </w:rPr>
  </w:style>
  <w:style w:type="paragraph" w:customStyle="1" w:styleId="Footnote">
    <w:name w:val="Footnote"/>
    <w:basedOn w:val="Normal"/>
    <w:link w:val="FootnoteChar"/>
    <w:qFormat/>
    <w:rsid w:val="00A4177A"/>
    <w:pPr>
      <w:spacing w:before="80" w:after="200" w:line="276" w:lineRule="auto"/>
    </w:pPr>
    <w:rPr>
      <w:rFonts w:eastAsia="Calibri" w:cs="Times New Roman"/>
      <w:color w:val="auto"/>
      <w:sz w:val="16"/>
      <w:szCs w:val="16"/>
    </w:rPr>
  </w:style>
  <w:style w:type="character" w:customStyle="1" w:styleId="FootnoteChar">
    <w:name w:val="Footnote Char"/>
    <w:basedOn w:val="DefaultParagraphFont"/>
    <w:link w:val="Footnote"/>
    <w:rsid w:val="00A4177A"/>
    <w:rPr>
      <w:rFonts w:ascii="Arial" w:eastAsia="Calibri" w:hAnsi="Arial" w:cs="Times New Roman"/>
      <w:sz w:val="16"/>
      <w:szCs w:val="16"/>
      <w:lang w:val="en-AU"/>
    </w:rPr>
  </w:style>
  <w:style w:type="numbering" w:customStyle="1" w:styleId="BulletList1">
    <w:name w:val="Bullet List1"/>
    <w:uiPriority w:val="99"/>
    <w:rsid w:val="0070180C"/>
  </w:style>
  <w:style w:type="table" w:customStyle="1" w:styleId="TableLayout1">
    <w:name w:val="Table Layout1"/>
    <w:basedOn w:val="TableNormal"/>
    <w:next w:val="TableGrid"/>
    <w:uiPriority w:val="59"/>
    <w:rsid w:val="0070180C"/>
    <w:pPr>
      <w:spacing w:after="0" w:line="240" w:lineRule="auto"/>
    </w:pPr>
    <w:rPr>
      <w:rFonts w:ascii="Arial" w:eastAsia="Calibri" w:hAnsi="Arial"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MediumShading1-Accent1211">
    <w:name w:val="Medium Shading 1 - Accent 1211"/>
    <w:basedOn w:val="TableNormal"/>
    <w:next w:val="MediumShading1-Accent1"/>
    <w:uiPriority w:val="63"/>
    <w:unhideWhenUsed/>
    <w:locked/>
    <w:rsid w:val="0070180C"/>
    <w:pPr>
      <w:spacing w:after="0" w:line="240" w:lineRule="auto"/>
    </w:pPr>
    <w:rPr>
      <w:rFonts w:ascii="Arial" w:eastAsia="Arial" w:hAnsi="Arial" w:cs="Times New Roman"/>
    </w:rPr>
    <w:tblPr>
      <w:tblStyleRowBandSize w:val="1"/>
      <w:tblStyleColBandSize w:val="1"/>
      <w:tblBorders>
        <w:top w:val="single" w:sz="8" w:space="0" w:color="60B6D9"/>
        <w:left w:val="single" w:sz="8" w:space="0" w:color="60B6D9"/>
        <w:bottom w:val="single" w:sz="8" w:space="0" w:color="60B6D9"/>
        <w:right w:val="single" w:sz="8" w:space="0" w:color="60B6D9"/>
        <w:insideH w:val="single" w:sz="8" w:space="0" w:color="60B6D9"/>
      </w:tblBorders>
    </w:tblPr>
    <w:tblStylePr w:type="firstRow">
      <w:pPr>
        <w:spacing w:before="0" w:after="0" w:line="240" w:lineRule="auto"/>
      </w:pPr>
      <w:rPr>
        <w:b/>
        <w:bCs/>
        <w:color w:val="FFFFFF"/>
      </w:rPr>
      <w:tblPr/>
      <w:tcPr>
        <w:tcBorders>
          <w:top w:val="single" w:sz="8" w:space="0" w:color="60B6D9"/>
          <w:left w:val="single" w:sz="8" w:space="0" w:color="60B6D9"/>
          <w:bottom w:val="single" w:sz="8" w:space="0" w:color="60B6D9"/>
          <w:right w:val="single" w:sz="8" w:space="0" w:color="60B6D9"/>
          <w:insideH w:val="nil"/>
          <w:insideV w:val="nil"/>
        </w:tcBorders>
        <w:shd w:val="clear" w:color="auto" w:fill="309CC8"/>
      </w:tcPr>
    </w:tblStylePr>
    <w:tblStylePr w:type="lastRow">
      <w:pPr>
        <w:spacing w:before="0" w:after="0" w:line="240" w:lineRule="auto"/>
      </w:pPr>
      <w:rPr>
        <w:b/>
        <w:bCs/>
      </w:rPr>
      <w:tblPr/>
      <w:tcPr>
        <w:tcBorders>
          <w:top w:val="double" w:sz="6" w:space="0" w:color="60B6D9"/>
          <w:left w:val="single" w:sz="8" w:space="0" w:color="60B6D9"/>
          <w:bottom w:val="single" w:sz="8" w:space="0" w:color="60B6D9"/>
          <w:right w:val="single" w:sz="8" w:space="0" w:color="60B6D9"/>
          <w:insideH w:val="nil"/>
          <w:insideV w:val="nil"/>
        </w:tcBorders>
      </w:tcPr>
    </w:tblStylePr>
    <w:tblStylePr w:type="firstCol">
      <w:rPr>
        <w:b/>
        <w:bCs/>
      </w:rPr>
    </w:tblStylePr>
    <w:tblStylePr w:type="lastCol">
      <w:rPr>
        <w:b/>
        <w:bCs/>
      </w:rPr>
    </w:tblStylePr>
    <w:tblStylePr w:type="band1Vert">
      <w:tblPr/>
      <w:tcPr>
        <w:shd w:val="clear" w:color="auto" w:fill="CAE6F2"/>
      </w:tcPr>
    </w:tblStylePr>
    <w:tblStylePr w:type="band1Horz">
      <w:tblPr/>
      <w:tcPr>
        <w:tcBorders>
          <w:insideH w:val="nil"/>
          <w:insideV w:val="nil"/>
        </w:tcBorders>
        <w:shd w:val="clear" w:color="auto" w:fill="CAE6F2"/>
      </w:tcPr>
    </w:tblStylePr>
    <w:tblStylePr w:type="band2Horz">
      <w:tblPr/>
      <w:tcPr>
        <w:tcBorders>
          <w:insideH w:val="nil"/>
          <w:insideV w:val="nil"/>
        </w:tcBorders>
      </w:tcPr>
    </w:tblStylePr>
  </w:style>
  <w:style w:type="paragraph" w:customStyle="1" w:styleId="Ref">
    <w:name w:val="Ref"/>
    <w:basedOn w:val="Normal"/>
    <w:link w:val="RefChar"/>
    <w:rsid w:val="00CC51A9"/>
    <w:pPr>
      <w:spacing w:after="160" w:line="259" w:lineRule="auto"/>
    </w:pPr>
    <w:rPr>
      <w:color w:val="000000" w:themeColor="text1"/>
      <w:sz w:val="21"/>
      <w:szCs w:val="16"/>
    </w:rPr>
  </w:style>
  <w:style w:type="character" w:customStyle="1" w:styleId="RefChar">
    <w:name w:val="Ref Char"/>
    <w:basedOn w:val="DefaultParagraphFont"/>
    <w:link w:val="Ref"/>
    <w:rsid w:val="00CC51A9"/>
    <w:rPr>
      <w:rFonts w:ascii="Arial" w:hAnsi="Arial"/>
      <w:color w:val="000000" w:themeColor="text1"/>
      <w:sz w:val="21"/>
      <w:szCs w:val="16"/>
      <w:lang w:val="en-AU"/>
    </w:rPr>
  </w:style>
  <w:style w:type="table" w:customStyle="1" w:styleId="TableLayout2">
    <w:name w:val="Table Layout2"/>
    <w:basedOn w:val="TableNormal"/>
    <w:next w:val="TableGrid"/>
    <w:uiPriority w:val="59"/>
    <w:rsid w:val="00C00C85"/>
    <w:pPr>
      <w:spacing w:after="0" w:line="240" w:lineRule="auto"/>
    </w:pPr>
    <w:rPr>
      <w:rFonts w:ascii="Arial" w:eastAsia="Calibri" w:hAnsi="Arial"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CABoxheading">
    <w:name w:val="CCA Box heading"/>
    <w:basedOn w:val="Normal"/>
    <w:link w:val="CCABoxheadingChar"/>
    <w:qFormat/>
    <w:rsid w:val="009947F2"/>
    <w:pPr>
      <w:framePr w:hSpace="180" w:wrap="around" w:vAnchor="text" w:hAnchor="text" w:xAlign="center" w:y="1"/>
      <w:numPr>
        <w:numId w:val="26"/>
      </w:numPr>
      <w:spacing w:before="240" w:after="200" w:line="276" w:lineRule="auto"/>
      <w:suppressOverlap/>
    </w:pPr>
    <w:rPr>
      <w:rFonts w:eastAsia="Calibri" w:cs="Times New Roman"/>
      <w:color w:val="0C9FCD"/>
      <w:lang w:val="en-GB" w:eastAsia="en-AU"/>
    </w:rPr>
  </w:style>
  <w:style w:type="character" w:customStyle="1" w:styleId="CCABoxheadingChar">
    <w:name w:val="CCA Box heading Char"/>
    <w:basedOn w:val="DefaultParagraphFont"/>
    <w:link w:val="CCABoxheading"/>
    <w:rsid w:val="009947F2"/>
    <w:rPr>
      <w:rFonts w:ascii="Arial" w:eastAsia="Calibri" w:hAnsi="Arial" w:cs="Times New Roman"/>
      <w:color w:val="0C9FCD"/>
      <w:lang w:val="en-GB" w:eastAsia="en-AU"/>
    </w:rPr>
  </w:style>
  <w:style w:type="paragraph" w:customStyle="1" w:styleId="DraftRec">
    <w:name w:val="Draft Rec"/>
    <w:basedOn w:val="Normal"/>
    <w:link w:val="DraftRecChar"/>
    <w:rsid w:val="008813C3"/>
    <w:pPr>
      <w:spacing w:after="200" w:line="276" w:lineRule="auto"/>
    </w:pPr>
    <w:rPr>
      <w:rFonts w:eastAsia="Calibri" w:cs="Times New Roman"/>
      <w:color w:val="000000" w:themeColor="text1"/>
      <w:sz w:val="21"/>
    </w:rPr>
  </w:style>
  <w:style w:type="character" w:customStyle="1" w:styleId="DraftRecChar">
    <w:name w:val="Draft Rec Char"/>
    <w:basedOn w:val="DefaultParagraphFont"/>
    <w:link w:val="DraftRec"/>
    <w:rsid w:val="008813C3"/>
    <w:rPr>
      <w:rFonts w:ascii="Arial" w:eastAsia="Calibri" w:hAnsi="Arial" w:cs="Times New Roman"/>
      <w:color w:val="000000" w:themeColor="text1"/>
      <w:sz w:val="21"/>
      <w:lang w:val="en-AU"/>
    </w:rPr>
  </w:style>
  <w:style w:type="paragraph" w:customStyle="1" w:styleId="Finding">
    <w:name w:val="Finding"/>
    <w:basedOn w:val="CCARecommendation"/>
    <w:link w:val="FindingChar"/>
    <w:rsid w:val="00A43CFE"/>
    <w:pPr>
      <w:numPr>
        <w:numId w:val="0"/>
      </w:numPr>
      <w:ind w:left="567" w:hanging="567"/>
    </w:pPr>
    <w:rPr>
      <w:rFonts w:cstheme="minorHAnsi"/>
      <w:color w:val="414141"/>
      <w:szCs w:val="21"/>
    </w:rPr>
  </w:style>
  <w:style w:type="character" w:customStyle="1" w:styleId="FindingChar">
    <w:name w:val="Finding Char"/>
    <w:basedOn w:val="CCARecommendationChar"/>
    <w:link w:val="Finding"/>
    <w:rsid w:val="00A43CFE"/>
    <w:rPr>
      <w:rFonts w:ascii="Arial" w:hAnsi="Arial" w:cstheme="minorHAnsi"/>
      <w:color w:val="414141"/>
      <w:sz w:val="21"/>
      <w:szCs w:val="21"/>
      <w:lang w:val="en-AU"/>
    </w:rPr>
  </w:style>
  <w:style w:type="character" w:customStyle="1" w:styleId="CCAHeading4Char">
    <w:name w:val="CCA Heading 4 Char"/>
    <w:basedOn w:val="CCAHeading3Char"/>
    <w:link w:val="CCAHeading4"/>
    <w:rsid w:val="00354794"/>
    <w:rPr>
      <w:rFonts w:ascii="Arial" w:eastAsia="Calibri" w:hAnsi="Arial" w:cs="Arial"/>
      <w:b w:val="0"/>
      <w:i/>
      <w:caps w:val="0"/>
      <w:color w:val="159DCE"/>
      <w:sz w:val="34"/>
      <w:szCs w:val="21"/>
      <w:lang w:val="en-GB" w:eastAsia="en-AU"/>
    </w:rPr>
  </w:style>
  <w:style w:type="paragraph" w:customStyle="1" w:styleId="Normal2">
    <w:name w:val="Normal2"/>
    <w:link w:val="Normal2Char"/>
    <w:rsid w:val="00A43CFE"/>
    <w:pPr>
      <w:spacing w:before="100" w:after="100"/>
    </w:pPr>
    <w:rPr>
      <w:rFonts w:ascii="Arial" w:hAnsi="Arial"/>
      <w:sz w:val="18"/>
      <w:lang w:val="en-AU"/>
    </w:rPr>
  </w:style>
  <w:style w:type="character" w:customStyle="1" w:styleId="Normal2Char">
    <w:name w:val="Normal2 Char"/>
    <w:basedOn w:val="DefaultParagraphFont"/>
    <w:link w:val="Normal2"/>
    <w:rsid w:val="00A43CFE"/>
    <w:rPr>
      <w:rFonts w:ascii="Arial" w:hAnsi="Arial"/>
      <w:sz w:val="18"/>
      <w:lang w:val="en-AU"/>
    </w:rPr>
  </w:style>
  <w:style w:type="table" w:customStyle="1" w:styleId="GridTable4-Accent51">
    <w:name w:val="Grid Table 4 - Accent 51"/>
    <w:basedOn w:val="TableNormal"/>
    <w:uiPriority w:val="49"/>
    <w:rsid w:val="00F84F58"/>
    <w:pPr>
      <w:spacing w:after="0" w:line="240" w:lineRule="auto"/>
    </w:pPr>
    <w:rPr>
      <w:rFonts w:ascii="Arial" w:eastAsia="Calibri" w:hAnsi="Arial" w:cs="Times New Roman"/>
      <w:sz w:val="20"/>
      <w:szCs w:val="20"/>
      <w:lang w:val="en-AU" w:eastAsia="en-AU"/>
    </w:rPr>
    <w:tblPr>
      <w:tblStyleRowBandSize w:val="1"/>
      <w:tblStyleColBandSize w:val="1"/>
      <w:tblBorders>
        <w:top w:val="single" w:sz="4" w:space="0" w:color="80C4E0" w:themeColor="accent5" w:themeTint="99"/>
        <w:left w:val="single" w:sz="4" w:space="0" w:color="80C4E0" w:themeColor="accent5" w:themeTint="99"/>
        <w:bottom w:val="single" w:sz="4" w:space="0" w:color="80C4E0" w:themeColor="accent5" w:themeTint="99"/>
        <w:right w:val="single" w:sz="4" w:space="0" w:color="80C4E0" w:themeColor="accent5" w:themeTint="99"/>
        <w:insideH w:val="single" w:sz="4" w:space="0" w:color="80C4E0" w:themeColor="accent5" w:themeTint="99"/>
        <w:insideV w:val="single" w:sz="4" w:space="0" w:color="80C4E0" w:themeColor="accent5" w:themeTint="99"/>
      </w:tblBorders>
    </w:tblPr>
    <w:tblStylePr w:type="firstRow">
      <w:rPr>
        <w:b/>
        <w:bCs/>
        <w:color w:val="FFFFFF" w:themeColor="background1"/>
      </w:rPr>
      <w:tblPr/>
      <w:tcPr>
        <w:tcBorders>
          <w:top w:val="single" w:sz="4" w:space="0" w:color="309CC8" w:themeColor="accent5"/>
          <w:left w:val="single" w:sz="4" w:space="0" w:color="309CC8" w:themeColor="accent5"/>
          <w:bottom w:val="single" w:sz="4" w:space="0" w:color="309CC8" w:themeColor="accent5"/>
          <w:right w:val="single" w:sz="4" w:space="0" w:color="309CC8" w:themeColor="accent5"/>
          <w:insideH w:val="nil"/>
          <w:insideV w:val="nil"/>
        </w:tcBorders>
        <w:shd w:val="clear" w:color="auto" w:fill="309CC8" w:themeFill="accent5"/>
      </w:tcPr>
    </w:tblStylePr>
    <w:tblStylePr w:type="lastRow">
      <w:rPr>
        <w:b/>
        <w:bCs/>
      </w:rPr>
      <w:tblPr/>
      <w:tcPr>
        <w:tcBorders>
          <w:top w:val="double" w:sz="4" w:space="0" w:color="309CC8" w:themeColor="accent5"/>
        </w:tcBorders>
      </w:tcPr>
    </w:tblStylePr>
    <w:tblStylePr w:type="firstCol">
      <w:rPr>
        <w:b/>
        <w:bCs/>
      </w:rPr>
    </w:tblStylePr>
    <w:tblStylePr w:type="lastCol">
      <w:rPr>
        <w:b/>
        <w:bCs/>
      </w:rPr>
    </w:tblStylePr>
    <w:tblStylePr w:type="band1Vert">
      <w:tblPr/>
      <w:tcPr>
        <w:shd w:val="clear" w:color="auto" w:fill="D4EBF4" w:themeFill="accent5" w:themeFillTint="33"/>
      </w:tcPr>
    </w:tblStylePr>
    <w:tblStylePr w:type="band1Horz">
      <w:tblPr/>
      <w:tcPr>
        <w:shd w:val="clear" w:color="auto" w:fill="D4EBF4" w:themeFill="accent5" w:themeFillTint="33"/>
      </w:tcPr>
    </w:tblStylePr>
  </w:style>
  <w:style w:type="paragraph" w:customStyle="1" w:styleId="Heading5NN">
    <w:name w:val="Heading 5 NN"/>
    <w:basedOn w:val="Normal"/>
    <w:link w:val="Heading5NNChar"/>
    <w:rsid w:val="0008170E"/>
    <w:pPr>
      <w:spacing w:after="200" w:line="276" w:lineRule="auto"/>
      <w:outlineLvl w:val="4"/>
    </w:pPr>
    <w:rPr>
      <w:rFonts w:eastAsia="Calibri" w:cs="Times New Roman"/>
      <w:i/>
      <w:color w:val="159DCE"/>
      <w:sz w:val="16"/>
    </w:rPr>
  </w:style>
  <w:style w:type="character" w:customStyle="1" w:styleId="Heading5NNChar">
    <w:name w:val="Heading 5 NN Char"/>
    <w:basedOn w:val="DefaultParagraphFont"/>
    <w:link w:val="Heading5NN"/>
    <w:rsid w:val="0008170E"/>
    <w:rPr>
      <w:rFonts w:ascii="Arial" w:eastAsia="Calibri" w:hAnsi="Arial" w:cs="Times New Roman"/>
      <w:i/>
      <w:color w:val="159DCE"/>
      <w:sz w:val="16"/>
      <w:lang w:val="en-AU"/>
    </w:rPr>
  </w:style>
  <w:style w:type="character" w:customStyle="1" w:styleId="CERnumberingChar">
    <w:name w:val="CER numbering Char"/>
    <w:basedOn w:val="DefaultParagraphFont"/>
    <w:link w:val="CERnumbering"/>
    <w:uiPriority w:val="8"/>
    <w:locked/>
    <w:rsid w:val="0008170E"/>
    <w:rPr>
      <w:rFonts w:cstheme="minorHAnsi"/>
      <w:szCs w:val="24"/>
    </w:rPr>
  </w:style>
  <w:style w:type="paragraph" w:customStyle="1" w:styleId="CERnumbering">
    <w:name w:val="CER numbering"/>
    <w:basedOn w:val="Normal"/>
    <w:link w:val="CERnumberingChar"/>
    <w:uiPriority w:val="8"/>
    <w:rsid w:val="0008170E"/>
    <w:pPr>
      <w:spacing w:before="120" w:after="120" w:line="240" w:lineRule="auto"/>
      <w:ind w:left="360" w:hanging="360"/>
    </w:pPr>
    <w:rPr>
      <w:rFonts w:asciiTheme="minorHAnsi" w:hAnsiTheme="minorHAnsi" w:cstheme="minorHAnsi"/>
      <w:color w:val="auto"/>
      <w:szCs w:val="24"/>
      <w:lang w:val="en-US"/>
    </w:rPr>
  </w:style>
  <w:style w:type="table" w:customStyle="1" w:styleId="TableGrid2">
    <w:name w:val="Table Grid2"/>
    <w:basedOn w:val="TableNormal"/>
    <w:next w:val="TableGrid"/>
    <w:uiPriority w:val="59"/>
    <w:rsid w:val="008D0A5D"/>
    <w:pPr>
      <w:spacing w:after="0" w:line="240" w:lineRule="auto"/>
    </w:pPr>
    <w:rPr>
      <w:rFonts w:ascii="Arial" w:eastAsia="Calibri" w:hAnsi="Arial"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Default">
    <w:name w:val="Default"/>
    <w:rsid w:val="00630F5B"/>
    <w:pPr>
      <w:autoSpaceDE w:val="0"/>
      <w:autoSpaceDN w:val="0"/>
      <w:adjustRightInd w:val="0"/>
      <w:spacing w:after="0" w:line="240" w:lineRule="auto"/>
    </w:pPr>
    <w:rPr>
      <w:rFonts w:ascii="Times New Roman" w:hAnsi="Times New Roman" w:cs="Times New Roman"/>
      <w:color w:val="000000"/>
      <w:sz w:val="24"/>
      <w:szCs w:val="24"/>
      <w:lang w:val="en-AU"/>
    </w:rPr>
  </w:style>
  <w:style w:type="paragraph" w:customStyle="1" w:styleId="Heading1NN">
    <w:name w:val="Heading 1 NN"/>
    <w:basedOn w:val="Heading1"/>
    <w:link w:val="Heading1NNChar"/>
    <w:qFormat/>
    <w:rsid w:val="00FB3CC1"/>
    <w:pPr>
      <w:spacing w:after="200" w:line="276" w:lineRule="auto"/>
      <w:ind w:left="432" w:hanging="432"/>
      <w:contextualSpacing w:val="0"/>
    </w:pPr>
    <w:rPr>
      <w:rFonts w:ascii="Arial Bold" w:eastAsia="Calibri" w:hAnsi="Arial Bold"/>
      <w:bCs w:val="0"/>
      <w:lang w:val="en-AU"/>
    </w:rPr>
  </w:style>
  <w:style w:type="character" w:customStyle="1" w:styleId="Heading1NNChar">
    <w:name w:val="Heading 1 NN Char"/>
    <w:basedOn w:val="Heading1Char"/>
    <w:link w:val="Heading1NN"/>
    <w:rsid w:val="00FB3CC1"/>
    <w:rPr>
      <w:rFonts w:ascii="Arial Bold" w:eastAsia="Calibri" w:hAnsi="Arial Bold" w:cs="Arial"/>
      <w:b/>
      <w:bCs w:val="0"/>
      <w:caps/>
      <w:color w:val="159DCE"/>
      <w:sz w:val="34"/>
      <w:szCs w:val="32"/>
      <w:lang w:val="en-AU" w:eastAsia="en-AU"/>
    </w:rPr>
  </w:style>
  <w:style w:type="character" w:styleId="HTMLCite">
    <w:name w:val="HTML Cite"/>
    <w:basedOn w:val="DefaultParagraphFont"/>
    <w:uiPriority w:val="99"/>
    <w:semiHidden/>
    <w:unhideWhenUsed/>
    <w:rsid w:val="008F73D1"/>
    <w:rPr>
      <w:i w:val="0"/>
      <w:iCs w:val="0"/>
      <w:color w:val="006D21"/>
    </w:rPr>
  </w:style>
  <w:style w:type="paragraph" w:customStyle="1" w:styleId="CCAcontentsheading">
    <w:name w:val="CCA contents heading"/>
    <w:basedOn w:val="CCAheading1nonumber"/>
    <w:rsid w:val="001D1BDB"/>
  </w:style>
  <w:style w:type="character" w:customStyle="1" w:styleId="UnresolvedMention">
    <w:name w:val="Unresolved Mention"/>
    <w:basedOn w:val="DefaultParagraphFont"/>
    <w:uiPriority w:val="99"/>
    <w:semiHidden/>
    <w:unhideWhenUsed/>
    <w:rsid w:val="00107726"/>
    <w:rPr>
      <w:color w:val="808080"/>
      <w:shd w:val="clear" w:color="auto" w:fill="E6E6E6"/>
    </w:rPr>
  </w:style>
  <w:style w:type="paragraph" w:customStyle="1" w:styleId="CCAheading2nonumber">
    <w:name w:val="CCA heading 2 no number"/>
    <w:basedOn w:val="CCAHeading2"/>
    <w:rsid w:val="00C637F3"/>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3949">
      <w:bodyDiv w:val="1"/>
      <w:marLeft w:val="0"/>
      <w:marRight w:val="0"/>
      <w:marTop w:val="0"/>
      <w:marBottom w:val="0"/>
      <w:divBdr>
        <w:top w:val="none" w:sz="0" w:space="0" w:color="auto"/>
        <w:left w:val="none" w:sz="0" w:space="0" w:color="auto"/>
        <w:bottom w:val="none" w:sz="0" w:space="0" w:color="auto"/>
        <w:right w:val="none" w:sz="0" w:space="0" w:color="auto"/>
      </w:divBdr>
    </w:div>
    <w:div w:id="28605997">
      <w:bodyDiv w:val="1"/>
      <w:marLeft w:val="0"/>
      <w:marRight w:val="0"/>
      <w:marTop w:val="0"/>
      <w:marBottom w:val="0"/>
      <w:divBdr>
        <w:top w:val="none" w:sz="0" w:space="0" w:color="auto"/>
        <w:left w:val="none" w:sz="0" w:space="0" w:color="auto"/>
        <w:bottom w:val="none" w:sz="0" w:space="0" w:color="auto"/>
        <w:right w:val="none" w:sz="0" w:space="0" w:color="auto"/>
      </w:divBdr>
    </w:div>
    <w:div w:id="28730056">
      <w:bodyDiv w:val="1"/>
      <w:marLeft w:val="0"/>
      <w:marRight w:val="0"/>
      <w:marTop w:val="0"/>
      <w:marBottom w:val="0"/>
      <w:divBdr>
        <w:top w:val="none" w:sz="0" w:space="0" w:color="auto"/>
        <w:left w:val="none" w:sz="0" w:space="0" w:color="auto"/>
        <w:bottom w:val="none" w:sz="0" w:space="0" w:color="auto"/>
        <w:right w:val="none" w:sz="0" w:space="0" w:color="auto"/>
      </w:divBdr>
    </w:div>
    <w:div w:id="86117708">
      <w:bodyDiv w:val="1"/>
      <w:marLeft w:val="0"/>
      <w:marRight w:val="0"/>
      <w:marTop w:val="0"/>
      <w:marBottom w:val="0"/>
      <w:divBdr>
        <w:top w:val="none" w:sz="0" w:space="0" w:color="auto"/>
        <w:left w:val="none" w:sz="0" w:space="0" w:color="auto"/>
        <w:bottom w:val="none" w:sz="0" w:space="0" w:color="auto"/>
        <w:right w:val="none" w:sz="0" w:space="0" w:color="auto"/>
      </w:divBdr>
      <w:divsChild>
        <w:div w:id="911544761">
          <w:marLeft w:val="0"/>
          <w:marRight w:val="0"/>
          <w:marTop w:val="0"/>
          <w:marBottom w:val="0"/>
          <w:divBdr>
            <w:top w:val="none" w:sz="0" w:space="0" w:color="auto"/>
            <w:left w:val="none" w:sz="0" w:space="0" w:color="auto"/>
            <w:bottom w:val="none" w:sz="0" w:space="0" w:color="auto"/>
            <w:right w:val="none" w:sz="0" w:space="0" w:color="auto"/>
          </w:divBdr>
          <w:divsChild>
            <w:div w:id="1174145513">
              <w:marLeft w:val="0"/>
              <w:marRight w:val="0"/>
              <w:marTop w:val="0"/>
              <w:marBottom w:val="750"/>
              <w:divBdr>
                <w:top w:val="none" w:sz="0" w:space="0" w:color="auto"/>
                <w:left w:val="none" w:sz="0" w:space="0" w:color="auto"/>
                <w:bottom w:val="none" w:sz="0" w:space="0" w:color="auto"/>
                <w:right w:val="none" w:sz="0" w:space="0" w:color="auto"/>
              </w:divBdr>
              <w:divsChild>
                <w:div w:id="1312713597">
                  <w:marLeft w:val="0"/>
                  <w:marRight w:val="0"/>
                  <w:marTop w:val="0"/>
                  <w:marBottom w:val="0"/>
                  <w:divBdr>
                    <w:top w:val="none" w:sz="0" w:space="0" w:color="auto"/>
                    <w:left w:val="none" w:sz="0" w:space="0" w:color="auto"/>
                    <w:bottom w:val="none" w:sz="0" w:space="0" w:color="auto"/>
                    <w:right w:val="none" w:sz="0" w:space="0" w:color="auto"/>
                  </w:divBdr>
                  <w:divsChild>
                    <w:div w:id="83385716">
                      <w:marLeft w:val="0"/>
                      <w:marRight w:val="0"/>
                      <w:marTop w:val="0"/>
                      <w:marBottom w:val="0"/>
                      <w:divBdr>
                        <w:top w:val="none" w:sz="0" w:space="0" w:color="auto"/>
                        <w:left w:val="none" w:sz="0" w:space="0" w:color="auto"/>
                        <w:bottom w:val="none" w:sz="0" w:space="0" w:color="auto"/>
                        <w:right w:val="none" w:sz="0" w:space="0" w:color="auto"/>
                      </w:divBdr>
                      <w:divsChild>
                        <w:div w:id="221795084">
                          <w:marLeft w:val="225"/>
                          <w:marRight w:val="0"/>
                          <w:marTop w:val="0"/>
                          <w:marBottom w:val="0"/>
                          <w:divBdr>
                            <w:top w:val="none" w:sz="0" w:space="0" w:color="auto"/>
                            <w:left w:val="none" w:sz="0" w:space="0" w:color="auto"/>
                            <w:bottom w:val="none" w:sz="0" w:space="0" w:color="auto"/>
                            <w:right w:val="none" w:sz="0" w:space="0" w:color="auto"/>
                          </w:divBdr>
                          <w:divsChild>
                            <w:div w:id="1003436990">
                              <w:marLeft w:val="0"/>
                              <w:marRight w:val="0"/>
                              <w:marTop w:val="0"/>
                              <w:marBottom w:val="0"/>
                              <w:divBdr>
                                <w:top w:val="none" w:sz="0" w:space="0" w:color="auto"/>
                                <w:left w:val="none" w:sz="0" w:space="0" w:color="auto"/>
                                <w:bottom w:val="none" w:sz="0" w:space="0" w:color="auto"/>
                                <w:right w:val="none" w:sz="0" w:space="0" w:color="auto"/>
                              </w:divBdr>
                              <w:divsChild>
                                <w:div w:id="5109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4238">
      <w:bodyDiv w:val="1"/>
      <w:marLeft w:val="0"/>
      <w:marRight w:val="0"/>
      <w:marTop w:val="0"/>
      <w:marBottom w:val="0"/>
      <w:divBdr>
        <w:top w:val="none" w:sz="0" w:space="0" w:color="auto"/>
        <w:left w:val="none" w:sz="0" w:space="0" w:color="auto"/>
        <w:bottom w:val="none" w:sz="0" w:space="0" w:color="auto"/>
        <w:right w:val="none" w:sz="0" w:space="0" w:color="auto"/>
      </w:divBdr>
    </w:div>
    <w:div w:id="145896226">
      <w:bodyDiv w:val="1"/>
      <w:marLeft w:val="0"/>
      <w:marRight w:val="0"/>
      <w:marTop w:val="0"/>
      <w:marBottom w:val="0"/>
      <w:divBdr>
        <w:top w:val="none" w:sz="0" w:space="0" w:color="auto"/>
        <w:left w:val="none" w:sz="0" w:space="0" w:color="auto"/>
        <w:bottom w:val="none" w:sz="0" w:space="0" w:color="auto"/>
        <w:right w:val="none" w:sz="0" w:space="0" w:color="auto"/>
      </w:divBdr>
    </w:div>
    <w:div w:id="146627573">
      <w:bodyDiv w:val="1"/>
      <w:marLeft w:val="0"/>
      <w:marRight w:val="0"/>
      <w:marTop w:val="0"/>
      <w:marBottom w:val="0"/>
      <w:divBdr>
        <w:top w:val="none" w:sz="0" w:space="0" w:color="auto"/>
        <w:left w:val="none" w:sz="0" w:space="0" w:color="auto"/>
        <w:bottom w:val="none" w:sz="0" w:space="0" w:color="auto"/>
        <w:right w:val="none" w:sz="0" w:space="0" w:color="auto"/>
      </w:divBdr>
    </w:div>
    <w:div w:id="151025332">
      <w:bodyDiv w:val="1"/>
      <w:marLeft w:val="0"/>
      <w:marRight w:val="0"/>
      <w:marTop w:val="0"/>
      <w:marBottom w:val="0"/>
      <w:divBdr>
        <w:top w:val="none" w:sz="0" w:space="0" w:color="auto"/>
        <w:left w:val="none" w:sz="0" w:space="0" w:color="auto"/>
        <w:bottom w:val="none" w:sz="0" w:space="0" w:color="auto"/>
        <w:right w:val="none" w:sz="0" w:space="0" w:color="auto"/>
      </w:divBdr>
    </w:div>
    <w:div w:id="158428393">
      <w:bodyDiv w:val="1"/>
      <w:marLeft w:val="0"/>
      <w:marRight w:val="0"/>
      <w:marTop w:val="0"/>
      <w:marBottom w:val="0"/>
      <w:divBdr>
        <w:top w:val="none" w:sz="0" w:space="0" w:color="auto"/>
        <w:left w:val="none" w:sz="0" w:space="0" w:color="auto"/>
        <w:bottom w:val="none" w:sz="0" w:space="0" w:color="auto"/>
        <w:right w:val="none" w:sz="0" w:space="0" w:color="auto"/>
      </w:divBdr>
    </w:div>
    <w:div w:id="192427716">
      <w:bodyDiv w:val="1"/>
      <w:marLeft w:val="0"/>
      <w:marRight w:val="0"/>
      <w:marTop w:val="0"/>
      <w:marBottom w:val="0"/>
      <w:divBdr>
        <w:top w:val="none" w:sz="0" w:space="0" w:color="auto"/>
        <w:left w:val="none" w:sz="0" w:space="0" w:color="auto"/>
        <w:bottom w:val="none" w:sz="0" w:space="0" w:color="auto"/>
        <w:right w:val="none" w:sz="0" w:space="0" w:color="auto"/>
      </w:divBdr>
    </w:div>
    <w:div w:id="209419598">
      <w:bodyDiv w:val="1"/>
      <w:marLeft w:val="0"/>
      <w:marRight w:val="0"/>
      <w:marTop w:val="0"/>
      <w:marBottom w:val="0"/>
      <w:divBdr>
        <w:top w:val="none" w:sz="0" w:space="0" w:color="auto"/>
        <w:left w:val="none" w:sz="0" w:space="0" w:color="auto"/>
        <w:bottom w:val="none" w:sz="0" w:space="0" w:color="auto"/>
        <w:right w:val="none" w:sz="0" w:space="0" w:color="auto"/>
      </w:divBdr>
    </w:div>
    <w:div w:id="233860440">
      <w:bodyDiv w:val="1"/>
      <w:marLeft w:val="0"/>
      <w:marRight w:val="0"/>
      <w:marTop w:val="0"/>
      <w:marBottom w:val="0"/>
      <w:divBdr>
        <w:top w:val="none" w:sz="0" w:space="0" w:color="auto"/>
        <w:left w:val="none" w:sz="0" w:space="0" w:color="auto"/>
        <w:bottom w:val="none" w:sz="0" w:space="0" w:color="auto"/>
        <w:right w:val="none" w:sz="0" w:space="0" w:color="auto"/>
      </w:divBdr>
      <w:divsChild>
        <w:div w:id="1525972007">
          <w:marLeft w:val="0"/>
          <w:marRight w:val="0"/>
          <w:marTop w:val="0"/>
          <w:marBottom w:val="0"/>
          <w:divBdr>
            <w:top w:val="none" w:sz="0" w:space="0" w:color="auto"/>
            <w:left w:val="none" w:sz="0" w:space="0" w:color="auto"/>
            <w:bottom w:val="none" w:sz="0" w:space="0" w:color="auto"/>
            <w:right w:val="none" w:sz="0" w:space="0" w:color="auto"/>
          </w:divBdr>
          <w:divsChild>
            <w:div w:id="616060146">
              <w:marLeft w:val="0"/>
              <w:marRight w:val="0"/>
              <w:marTop w:val="0"/>
              <w:marBottom w:val="0"/>
              <w:divBdr>
                <w:top w:val="none" w:sz="0" w:space="0" w:color="auto"/>
                <w:left w:val="none" w:sz="0" w:space="0" w:color="auto"/>
                <w:bottom w:val="none" w:sz="0" w:space="0" w:color="auto"/>
                <w:right w:val="none" w:sz="0" w:space="0" w:color="auto"/>
              </w:divBdr>
              <w:divsChild>
                <w:div w:id="918171792">
                  <w:marLeft w:val="0"/>
                  <w:marRight w:val="0"/>
                  <w:marTop w:val="0"/>
                  <w:marBottom w:val="0"/>
                  <w:divBdr>
                    <w:top w:val="none" w:sz="0" w:space="0" w:color="auto"/>
                    <w:left w:val="none" w:sz="0" w:space="0" w:color="auto"/>
                    <w:bottom w:val="none" w:sz="0" w:space="0" w:color="auto"/>
                    <w:right w:val="none" w:sz="0" w:space="0" w:color="auto"/>
                  </w:divBdr>
                  <w:divsChild>
                    <w:div w:id="1337070378">
                      <w:marLeft w:val="150"/>
                      <w:marRight w:val="150"/>
                      <w:marTop w:val="0"/>
                      <w:marBottom w:val="0"/>
                      <w:divBdr>
                        <w:top w:val="none" w:sz="0" w:space="0" w:color="auto"/>
                        <w:left w:val="none" w:sz="0" w:space="0" w:color="auto"/>
                        <w:bottom w:val="none" w:sz="0" w:space="0" w:color="auto"/>
                        <w:right w:val="none" w:sz="0" w:space="0" w:color="auto"/>
                      </w:divBdr>
                      <w:divsChild>
                        <w:div w:id="945310324">
                          <w:marLeft w:val="0"/>
                          <w:marRight w:val="0"/>
                          <w:marTop w:val="0"/>
                          <w:marBottom w:val="0"/>
                          <w:divBdr>
                            <w:top w:val="none" w:sz="0" w:space="0" w:color="auto"/>
                            <w:left w:val="none" w:sz="0" w:space="0" w:color="auto"/>
                            <w:bottom w:val="none" w:sz="0" w:space="0" w:color="auto"/>
                            <w:right w:val="none" w:sz="0" w:space="0" w:color="auto"/>
                          </w:divBdr>
                          <w:divsChild>
                            <w:div w:id="211889086">
                              <w:marLeft w:val="0"/>
                              <w:marRight w:val="0"/>
                              <w:marTop w:val="0"/>
                              <w:marBottom w:val="240"/>
                              <w:divBdr>
                                <w:top w:val="none" w:sz="0" w:space="0" w:color="auto"/>
                                <w:left w:val="none" w:sz="0" w:space="0" w:color="auto"/>
                                <w:bottom w:val="none" w:sz="0" w:space="0" w:color="auto"/>
                                <w:right w:val="none" w:sz="0" w:space="0" w:color="auto"/>
                              </w:divBdr>
                              <w:divsChild>
                                <w:div w:id="942028737">
                                  <w:marLeft w:val="0"/>
                                  <w:marRight w:val="0"/>
                                  <w:marTop w:val="0"/>
                                  <w:marBottom w:val="0"/>
                                  <w:divBdr>
                                    <w:top w:val="none" w:sz="0" w:space="0" w:color="auto"/>
                                    <w:left w:val="none" w:sz="0" w:space="0" w:color="auto"/>
                                    <w:bottom w:val="none" w:sz="0" w:space="0" w:color="auto"/>
                                    <w:right w:val="none" w:sz="0" w:space="0" w:color="auto"/>
                                  </w:divBdr>
                                  <w:divsChild>
                                    <w:div w:id="2032299257">
                                      <w:marLeft w:val="0"/>
                                      <w:marRight w:val="0"/>
                                      <w:marTop w:val="0"/>
                                      <w:marBottom w:val="0"/>
                                      <w:divBdr>
                                        <w:top w:val="none" w:sz="0" w:space="0" w:color="auto"/>
                                        <w:left w:val="none" w:sz="0" w:space="0" w:color="auto"/>
                                        <w:bottom w:val="none" w:sz="0" w:space="0" w:color="auto"/>
                                        <w:right w:val="none" w:sz="0" w:space="0" w:color="auto"/>
                                      </w:divBdr>
                                      <w:divsChild>
                                        <w:div w:id="1173572393">
                                          <w:marLeft w:val="0"/>
                                          <w:marRight w:val="0"/>
                                          <w:marTop w:val="0"/>
                                          <w:marBottom w:val="0"/>
                                          <w:divBdr>
                                            <w:top w:val="none" w:sz="0" w:space="0" w:color="auto"/>
                                            <w:left w:val="none" w:sz="0" w:space="0" w:color="auto"/>
                                            <w:bottom w:val="none" w:sz="0" w:space="0" w:color="auto"/>
                                            <w:right w:val="none" w:sz="0" w:space="0" w:color="auto"/>
                                          </w:divBdr>
                                          <w:divsChild>
                                            <w:div w:id="1269892035">
                                              <w:marLeft w:val="0"/>
                                              <w:marRight w:val="0"/>
                                              <w:marTop w:val="0"/>
                                              <w:marBottom w:val="0"/>
                                              <w:divBdr>
                                                <w:top w:val="none" w:sz="0" w:space="0" w:color="auto"/>
                                                <w:left w:val="none" w:sz="0" w:space="0" w:color="auto"/>
                                                <w:bottom w:val="none" w:sz="0" w:space="0" w:color="auto"/>
                                                <w:right w:val="none" w:sz="0" w:space="0" w:color="auto"/>
                                              </w:divBdr>
                                              <w:divsChild>
                                                <w:div w:id="631790850">
                                                  <w:marLeft w:val="0"/>
                                                  <w:marRight w:val="0"/>
                                                  <w:marTop w:val="0"/>
                                                  <w:marBottom w:val="0"/>
                                                  <w:divBdr>
                                                    <w:top w:val="none" w:sz="0" w:space="0" w:color="auto"/>
                                                    <w:left w:val="none" w:sz="0" w:space="0" w:color="auto"/>
                                                    <w:bottom w:val="none" w:sz="0" w:space="0" w:color="auto"/>
                                                    <w:right w:val="none" w:sz="0" w:space="0" w:color="auto"/>
                                                  </w:divBdr>
                                                  <w:divsChild>
                                                    <w:div w:id="656107044">
                                                      <w:marLeft w:val="0"/>
                                                      <w:marRight w:val="0"/>
                                                      <w:marTop w:val="0"/>
                                                      <w:marBottom w:val="0"/>
                                                      <w:divBdr>
                                                        <w:top w:val="none" w:sz="0" w:space="0" w:color="auto"/>
                                                        <w:left w:val="none" w:sz="0" w:space="0" w:color="auto"/>
                                                        <w:bottom w:val="none" w:sz="0" w:space="0" w:color="auto"/>
                                                        <w:right w:val="none" w:sz="0" w:space="0" w:color="auto"/>
                                                      </w:divBdr>
                                                      <w:divsChild>
                                                        <w:div w:id="149174250">
                                                          <w:marLeft w:val="0"/>
                                                          <w:marRight w:val="0"/>
                                                          <w:marTop w:val="0"/>
                                                          <w:marBottom w:val="360"/>
                                                          <w:divBdr>
                                                            <w:top w:val="none" w:sz="0" w:space="0" w:color="auto"/>
                                                            <w:left w:val="none" w:sz="0" w:space="0" w:color="auto"/>
                                                            <w:bottom w:val="none" w:sz="0" w:space="0" w:color="auto"/>
                                                            <w:right w:val="none" w:sz="0" w:space="0" w:color="auto"/>
                                                          </w:divBdr>
                                                          <w:divsChild>
                                                            <w:div w:id="3598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6787062">
      <w:bodyDiv w:val="1"/>
      <w:marLeft w:val="0"/>
      <w:marRight w:val="0"/>
      <w:marTop w:val="0"/>
      <w:marBottom w:val="0"/>
      <w:divBdr>
        <w:top w:val="none" w:sz="0" w:space="0" w:color="auto"/>
        <w:left w:val="none" w:sz="0" w:space="0" w:color="auto"/>
        <w:bottom w:val="none" w:sz="0" w:space="0" w:color="auto"/>
        <w:right w:val="none" w:sz="0" w:space="0" w:color="auto"/>
      </w:divBdr>
      <w:divsChild>
        <w:div w:id="542719851">
          <w:marLeft w:val="0"/>
          <w:marRight w:val="0"/>
          <w:marTop w:val="0"/>
          <w:marBottom w:val="0"/>
          <w:divBdr>
            <w:top w:val="none" w:sz="0" w:space="0" w:color="auto"/>
            <w:left w:val="none" w:sz="0" w:space="0" w:color="auto"/>
            <w:bottom w:val="none" w:sz="0" w:space="0" w:color="auto"/>
            <w:right w:val="none" w:sz="0" w:space="0" w:color="auto"/>
          </w:divBdr>
        </w:div>
        <w:div w:id="1366906907">
          <w:marLeft w:val="0"/>
          <w:marRight w:val="0"/>
          <w:marTop w:val="0"/>
          <w:marBottom w:val="0"/>
          <w:divBdr>
            <w:top w:val="none" w:sz="0" w:space="0" w:color="auto"/>
            <w:left w:val="none" w:sz="0" w:space="0" w:color="auto"/>
            <w:bottom w:val="none" w:sz="0" w:space="0" w:color="auto"/>
            <w:right w:val="none" w:sz="0" w:space="0" w:color="auto"/>
          </w:divBdr>
        </w:div>
      </w:divsChild>
    </w:div>
    <w:div w:id="274795947">
      <w:bodyDiv w:val="1"/>
      <w:marLeft w:val="0"/>
      <w:marRight w:val="0"/>
      <w:marTop w:val="0"/>
      <w:marBottom w:val="0"/>
      <w:divBdr>
        <w:top w:val="none" w:sz="0" w:space="0" w:color="auto"/>
        <w:left w:val="none" w:sz="0" w:space="0" w:color="auto"/>
        <w:bottom w:val="none" w:sz="0" w:space="0" w:color="auto"/>
        <w:right w:val="none" w:sz="0" w:space="0" w:color="auto"/>
      </w:divBdr>
    </w:div>
    <w:div w:id="312218573">
      <w:bodyDiv w:val="1"/>
      <w:marLeft w:val="0"/>
      <w:marRight w:val="0"/>
      <w:marTop w:val="0"/>
      <w:marBottom w:val="0"/>
      <w:divBdr>
        <w:top w:val="none" w:sz="0" w:space="0" w:color="auto"/>
        <w:left w:val="none" w:sz="0" w:space="0" w:color="auto"/>
        <w:bottom w:val="none" w:sz="0" w:space="0" w:color="auto"/>
        <w:right w:val="none" w:sz="0" w:space="0" w:color="auto"/>
      </w:divBdr>
    </w:div>
    <w:div w:id="322901019">
      <w:bodyDiv w:val="1"/>
      <w:marLeft w:val="0"/>
      <w:marRight w:val="0"/>
      <w:marTop w:val="0"/>
      <w:marBottom w:val="0"/>
      <w:divBdr>
        <w:top w:val="none" w:sz="0" w:space="0" w:color="auto"/>
        <w:left w:val="none" w:sz="0" w:space="0" w:color="auto"/>
        <w:bottom w:val="none" w:sz="0" w:space="0" w:color="auto"/>
        <w:right w:val="none" w:sz="0" w:space="0" w:color="auto"/>
      </w:divBdr>
    </w:div>
    <w:div w:id="330835563">
      <w:bodyDiv w:val="1"/>
      <w:marLeft w:val="0"/>
      <w:marRight w:val="0"/>
      <w:marTop w:val="0"/>
      <w:marBottom w:val="0"/>
      <w:divBdr>
        <w:top w:val="none" w:sz="0" w:space="0" w:color="auto"/>
        <w:left w:val="none" w:sz="0" w:space="0" w:color="auto"/>
        <w:bottom w:val="none" w:sz="0" w:space="0" w:color="auto"/>
        <w:right w:val="none" w:sz="0" w:space="0" w:color="auto"/>
      </w:divBdr>
    </w:div>
    <w:div w:id="365566593">
      <w:bodyDiv w:val="1"/>
      <w:marLeft w:val="0"/>
      <w:marRight w:val="0"/>
      <w:marTop w:val="0"/>
      <w:marBottom w:val="0"/>
      <w:divBdr>
        <w:top w:val="none" w:sz="0" w:space="0" w:color="auto"/>
        <w:left w:val="none" w:sz="0" w:space="0" w:color="auto"/>
        <w:bottom w:val="none" w:sz="0" w:space="0" w:color="auto"/>
        <w:right w:val="none" w:sz="0" w:space="0" w:color="auto"/>
      </w:divBdr>
    </w:div>
    <w:div w:id="385422245">
      <w:bodyDiv w:val="1"/>
      <w:marLeft w:val="0"/>
      <w:marRight w:val="0"/>
      <w:marTop w:val="0"/>
      <w:marBottom w:val="0"/>
      <w:divBdr>
        <w:top w:val="none" w:sz="0" w:space="0" w:color="auto"/>
        <w:left w:val="none" w:sz="0" w:space="0" w:color="auto"/>
        <w:bottom w:val="none" w:sz="0" w:space="0" w:color="auto"/>
        <w:right w:val="none" w:sz="0" w:space="0" w:color="auto"/>
      </w:divBdr>
    </w:div>
    <w:div w:id="448670637">
      <w:bodyDiv w:val="1"/>
      <w:marLeft w:val="0"/>
      <w:marRight w:val="0"/>
      <w:marTop w:val="0"/>
      <w:marBottom w:val="0"/>
      <w:divBdr>
        <w:top w:val="none" w:sz="0" w:space="0" w:color="auto"/>
        <w:left w:val="none" w:sz="0" w:space="0" w:color="auto"/>
        <w:bottom w:val="none" w:sz="0" w:space="0" w:color="auto"/>
        <w:right w:val="none" w:sz="0" w:space="0" w:color="auto"/>
      </w:divBdr>
    </w:div>
    <w:div w:id="456217979">
      <w:bodyDiv w:val="1"/>
      <w:marLeft w:val="0"/>
      <w:marRight w:val="0"/>
      <w:marTop w:val="0"/>
      <w:marBottom w:val="0"/>
      <w:divBdr>
        <w:top w:val="none" w:sz="0" w:space="0" w:color="auto"/>
        <w:left w:val="none" w:sz="0" w:space="0" w:color="auto"/>
        <w:bottom w:val="none" w:sz="0" w:space="0" w:color="auto"/>
        <w:right w:val="none" w:sz="0" w:space="0" w:color="auto"/>
      </w:divBdr>
    </w:div>
    <w:div w:id="460735003">
      <w:bodyDiv w:val="1"/>
      <w:marLeft w:val="0"/>
      <w:marRight w:val="0"/>
      <w:marTop w:val="0"/>
      <w:marBottom w:val="0"/>
      <w:divBdr>
        <w:top w:val="none" w:sz="0" w:space="0" w:color="auto"/>
        <w:left w:val="none" w:sz="0" w:space="0" w:color="auto"/>
        <w:bottom w:val="none" w:sz="0" w:space="0" w:color="auto"/>
        <w:right w:val="none" w:sz="0" w:space="0" w:color="auto"/>
      </w:divBdr>
    </w:div>
    <w:div w:id="463085273">
      <w:bodyDiv w:val="1"/>
      <w:marLeft w:val="0"/>
      <w:marRight w:val="0"/>
      <w:marTop w:val="0"/>
      <w:marBottom w:val="0"/>
      <w:divBdr>
        <w:top w:val="none" w:sz="0" w:space="0" w:color="auto"/>
        <w:left w:val="none" w:sz="0" w:space="0" w:color="auto"/>
        <w:bottom w:val="none" w:sz="0" w:space="0" w:color="auto"/>
        <w:right w:val="none" w:sz="0" w:space="0" w:color="auto"/>
      </w:divBdr>
    </w:div>
    <w:div w:id="503057602">
      <w:bodyDiv w:val="1"/>
      <w:marLeft w:val="0"/>
      <w:marRight w:val="0"/>
      <w:marTop w:val="0"/>
      <w:marBottom w:val="0"/>
      <w:divBdr>
        <w:top w:val="none" w:sz="0" w:space="0" w:color="auto"/>
        <w:left w:val="none" w:sz="0" w:space="0" w:color="auto"/>
        <w:bottom w:val="none" w:sz="0" w:space="0" w:color="auto"/>
        <w:right w:val="none" w:sz="0" w:space="0" w:color="auto"/>
      </w:divBdr>
    </w:div>
    <w:div w:id="506215049">
      <w:bodyDiv w:val="1"/>
      <w:marLeft w:val="0"/>
      <w:marRight w:val="0"/>
      <w:marTop w:val="0"/>
      <w:marBottom w:val="0"/>
      <w:divBdr>
        <w:top w:val="none" w:sz="0" w:space="0" w:color="auto"/>
        <w:left w:val="none" w:sz="0" w:space="0" w:color="auto"/>
        <w:bottom w:val="none" w:sz="0" w:space="0" w:color="auto"/>
        <w:right w:val="none" w:sz="0" w:space="0" w:color="auto"/>
      </w:divBdr>
      <w:divsChild>
        <w:div w:id="441415920">
          <w:marLeft w:val="0"/>
          <w:marRight w:val="0"/>
          <w:marTop w:val="0"/>
          <w:marBottom w:val="0"/>
          <w:divBdr>
            <w:top w:val="none" w:sz="0" w:space="0" w:color="auto"/>
            <w:left w:val="none" w:sz="0" w:space="0" w:color="auto"/>
            <w:bottom w:val="none" w:sz="0" w:space="0" w:color="auto"/>
            <w:right w:val="none" w:sz="0" w:space="0" w:color="auto"/>
          </w:divBdr>
        </w:div>
        <w:div w:id="918054266">
          <w:marLeft w:val="0"/>
          <w:marRight w:val="0"/>
          <w:marTop w:val="0"/>
          <w:marBottom w:val="0"/>
          <w:divBdr>
            <w:top w:val="none" w:sz="0" w:space="0" w:color="auto"/>
            <w:left w:val="none" w:sz="0" w:space="0" w:color="auto"/>
            <w:bottom w:val="none" w:sz="0" w:space="0" w:color="auto"/>
            <w:right w:val="none" w:sz="0" w:space="0" w:color="auto"/>
          </w:divBdr>
        </w:div>
        <w:div w:id="1044334638">
          <w:marLeft w:val="0"/>
          <w:marRight w:val="0"/>
          <w:marTop w:val="0"/>
          <w:marBottom w:val="0"/>
          <w:divBdr>
            <w:top w:val="none" w:sz="0" w:space="0" w:color="auto"/>
            <w:left w:val="none" w:sz="0" w:space="0" w:color="auto"/>
            <w:bottom w:val="none" w:sz="0" w:space="0" w:color="auto"/>
            <w:right w:val="none" w:sz="0" w:space="0" w:color="auto"/>
          </w:divBdr>
        </w:div>
        <w:div w:id="1459447543">
          <w:marLeft w:val="0"/>
          <w:marRight w:val="0"/>
          <w:marTop w:val="0"/>
          <w:marBottom w:val="0"/>
          <w:divBdr>
            <w:top w:val="none" w:sz="0" w:space="0" w:color="auto"/>
            <w:left w:val="none" w:sz="0" w:space="0" w:color="auto"/>
            <w:bottom w:val="none" w:sz="0" w:space="0" w:color="auto"/>
            <w:right w:val="none" w:sz="0" w:space="0" w:color="auto"/>
          </w:divBdr>
        </w:div>
      </w:divsChild>
    </w:div>
    <w:div w:id="516163915">
      <w:bodyDiv w:val="1"/>
      <w:marLeft w:val="0"/>
      <w:marRight w:val="0"/>
      <w:marTop w:val="0"/>
      <w:marBottom w:val="0"/>
      <w:divBdr>
        <w:top w:val="none" w:sz="0" w:space="0" w:color="auto"/>
        <w:left w:val="none" w:sz="0" w:space="0" w:color="auto"/>
        <w:bottom w:val="none" w:sz="0" w:space="0" w:color="auto"/>
        <w:right w:val="none" w:sz="0" w:space="0" w:color="auto"/>
      </w:divBdr>
    </w:div>
    <w:div w:id="546381030">
      <w:bodyDiv w:val="1"/>
      <w:marLeft w:val="0"/>
      <w:marRight w:val="0"/>
      <w:marTop w:val="0"/>
      <w:marBottom w:val="0"/>
      <w:divBdr>
        <w:top w:val="none" w:sz="0" w:space="0" w:color="auto"/>
        <w:left w:val="none" w:sz="0" w:space="0" w:color="auto"/>
        <w:bottom w:val="none" w:sz="0" w:space="0" w:color="auto"/>
        <w:right w:val="none" w:sz="0" w:space="0" w:color="auto"/>
      </w:divBdr>
    </w:div>
    <w:div w:id="552547127">
      <w:bodyDiv w:val="1"/>
      <w:marLeft w:val="0"/>
      <w:marRight w:val="0"/>
      <w:marTop w:val="0"/>
      <w:marBottom w:val="0"/>
      <w:divBdr>
        <w:top w:val="none" w:sz="0" w:space="0" w:color="auto"/>
        <w:left w:val="none" w:sz="0" w:space="0" w:color="auto"/>
        <w:bottom w:val="none" w:sz="0" w:space="0" w:color="auto"/>
        <w:right w:val="none" w:sz="0" w:space="0" w:color="auto"/>
      </w:divBdr>
      <w:divsChild>
        <w:div w:id="1053193442">
          <w:marLeft w:val="0"/>
          <w:marRight w:val="0"/>
          <w:marTop w:val="0"/>
          <w:marBottom w:val="0"/>
          <w:divBdr>
            <w:top w:val="none" w:sz="0" w:space="0" w:color="auto"/>
            <w:left w:val="none" w:sz="0" w:space="0" w:color="auto"/>
            <w:bottom w:val="none" w:sz="0" w:space="0" w:color="auto"/>
            <w:right w:val="none" w:sz="0" w:space="0" w:color="auto"/>
          </w:divBdr>
          <w:divsChild>
            <w:div w:id="2075859808">
              <w:marLeft w:val="0"/>
              <w:marRight w:val="0"/>
              <w:marTop w:val="0"/>
              <w:marBottom w:val="0"/>
              <w:divBdr>
                <w:top w:val="none" w:sz="0" w:space="0" w:color="auto"/>
                <w:left w:val="none" w:sz="0" w:space="0" w:color="auto"/>
                <w:bottom w:val="none" w:sz="0" w:space="0" w:color="auto"/>
                <w:right w:val="none" w:sz="0" w:space="0" w:color="auto"/>
              </w:divBdr>
              <w:divsChild>
                <w:div w:id="1280261568">
                  <w:marLeft w:val="0"/>
                  <w:marRight w:val="0"/>
                  <w:marTop w:val="0"/>
                  <w:marBottom w:val="0"/>
                  <w:divBdr>
                    <w:top w:val="none" w:sz="0" w:space="0" w:color="auto"/>
                    <w:left w:val="none" w:sz="0" w:space="0" w:color="auto"/>
                    <w:bottom w:val="none" w:sz="0" w:space="0" w:color="auto"/>
                    <w:right w:val="none" w:sz="0" w:space="0" w:color="auto"/>
                  </w:divBdr>
                  <w:divsChild>
                    <w:div w:id="699013100">
                      <w:marLeft w:val="0"/>
                      <w:marRight w:val="0"/>
                      <w:marTop w:val="0"/>
                      <w:marBottom w:val="0"/>
                      <w:divBdr>
                        <w:top w:val="none" w:sz="0" w:space="0" w:color="auto"/>
                        <w:left w:val="none" w:sz="0" w:space="0" w:color="auto"/>
                        <w:bottom w:val="none" w:sz="0" w:space="0" w:color="auto"/>
                        <w:right w:val="none" w:sz="0" w:space="0" w:color="auto"/>
                      </w:divBdr>
                      <w:divsChild>
                        <w:div w:id="250049622">
                          <w:marLeft w:val="0"/>
                          <w:marRight w:val="0"/>
                          <w:marTop w:val="0"/>
                          <w:marBottom w:val="0"/>
                          <w:divBdr>
                            <w:top w:val="none" w:sz="0" w:space="0" w:color="auto"/>
                            <w:left w:val="none" w:sz="0" w:space="0" w:color="auto"/>
                            <w:bottom w:val="none" w:sz="0" w:space="0" w:color="auto"/>
                            <w:right w:val="none" w:sz="0" w:space="0" w:color="auto"/>
                          </w:divBdr>
                          <w:divsChild>
                            <w:div w:id="1217205306">
                              <w:marLeft w:val="0"/>
                              <w:marRight w:val="0"/>
                              <w:marTop w:val="0"/>
                              <w:marBottom w:val="0"/>
                              <w:divBdr>
                                <w:top w:val="none" w:sz="0" w:space="0" w:color="auto"/>
                                <w:left w:val="none" w:sz="0" w:space="0" w:color="auto"/>
                                <w:bottom w:val="none" w:sz="0" w:space="0" w:color="auto"/>
                                <w:right w:val="none" w:sz="0" w:space="0" w:color="auto"/>
                              </w:divBdr>
                              <w:divsChild>
                                <w:div w:id="407115446">
                                  <w:marLeft w:val="0"/>
                                  <w:marRight w:val="0"/>
                                  <w:marTop w:val="0"/>
                                  <w:marBottom w:val="0"/>
                                  <w:divBdr>
                                    <w:top w:val="none" w:sz="0" w:space="0" w:color="auto"/>
                                    <w:left w:val="none" w:sz="0" w:space="0" w:color="auto"/>
                                    <w:bottom w:val="none" w:sz="0" w:space="0" w:color="auto"/>
                                    <w:right w:val="none" w:sz="0" w:space="0" w:color="auto"/>
                                  </w:divBdr>
                                  <w:divsChild>
                                    <w:div w:id="3155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997612">
      <w:bodyDiv w:val="1"/>
      <w:marLeft w:val="0"/>
      <w:marRight w:val="0"/>
      <w:marTop w:val="0"/>
      <w:marBottom w:val="0"/>
      <w:divBdr>
        <w:top w:val="none" w:sz="0" w:space="0" w:color="auto"/>
        <w:left w:val="none" w:sz="0" w:space="0" w:color="auto"/>
        <w:bottom w:val="none" w:sz="0" w:space="0" w:color="auto"/>
        <w:right w:val="none" w:sz="0" w:space="0" w:color="auto"/>
      </w:divBdr>
    </w:div>
    <w:div w:id="582032603">
      <w:bodyDiv w:val="1"/>
      <w:marLeft w:val="0"/>
      <w:marRight w:val="0"/>
      <w:marTop w:val="0"/>
      <w:marBottom w:val="0"/>
      <w:divBdr>
        <w:top w:val="none" w:sz="0" w:space="0" w:color="auto"/>
        <w:left w:val="none" w:sz="0" w:space="0" w:color="auto"/>
        <w:bottom w:val="none" w:sz="0" w:space="0" w:color="auto"/>
        <w:right w:val="none" w:sz="0" w:space="0" w:color="auto"/>
      </w:divBdr>
      <w:divsChild>
        <w:div w:id="101609818">
          <w:marLeft w:val="0"/>
          <w:marRight w:val="0"/>
          <w:marTop w:val="0"/>
          <w:marBottom w:val="0"/>
          <w:divBdr>
            <w:top w:val="none" w:sz="0" w:space="0" w:color="auto"/>
            <w:left w:val="none" w:sz="0" w:space="0" w:color="auto"/>
            <w:bottom w:val="none" w:sz="0" w:space="0" w:color="auto"/>
            <w:right w:val="none" w:sz="0" w:space="0" w:color="auto"/>
          </w:divBdr>
          <w:divsChild>
            <w:div w:id="870842565">
              <w:marLeft w:val="0"/>
              <w:marRight w:val="0"/>
              <w:marTop w:val="0"/>
              <w:marBottom w:val="0"/>
              <w:divBdr>
                <w:top w:val="none" w:sz="0" w:space="0" w:color="auto"/>
                <w:left w:val="none" w:sz="0" w:space="0" w:color="auto"/>
                <w:bottom w:val="none" w:sz="0" w:space="0" w:color="auto"/>
                <w:right w:val="none" w:sz="0" w:space="0" w:color="auto"/>
              </w:divBdr>
              <w:divsChild>
                <w:div w:id="819805199">
                  <w:marLeft w:val="0"/>
                  <w:marRight w:val="0"/>
                  <w:marTop w:val="0"/>
                  <w:marBottom w:val="0"/>
                  <w:divBdr>
                    <w:top w:val="none" w:sz="0" w:space="0" w:color="auto"/>
                    <w:left w:val="none" w:sz="0" w:space="0" w:color="auto"/>
                    <w:bottom w:val="none" w:sz="0" w:space="0" w:color="auto"/>
                    <w:right w:val="none" w:sz="0" w:space="0" w:color="auto"/>
                  </w:divBdr>
                  <w:divsChild>
                    <w:div w:id="1966084462">
                      <w:marLeft w:val="0"/>
                      <w:marRight w:val="0"/>
                      <w:marTop w:val="0"/>
                      <w:marBottom w:val="0"/>
                      <w:divBdr>
                        <w:top w:val="none" w:sz="0" w:space="0" w:color="auto"/>
                        <w:left w:val="none" w:sz="0" w:space="0" w:color="auto"/>
                        <w:bottom w:val="none" w:sz="0" w:space="0" w:color="auto"/>
                        <w:right w:val="none" w:sz="0" w:space="0" w:color="auto"/>
                      </w:divBdr>
                      <w:divsChild>
                        <w:div w:id="49305916">
                          <w:marLeft w:val="0"/>
                          <w:marRight w:val="0"/>
                          <w:marTop w:val="0"/>
                          <w:marBottom w:val="0"/>
                          <w:divBdr>
                            <w:top w:val="none" w:sz="0" w:space="0" w:color="auto"/>
                            <w:left w:val="none" w:sz="0" w:space="0" w:color="auto"/>
                            <w:bottom w:val="none" w:sz="0" w:space="0" w:color="auto"/>
                            <w:right w:val="none" w:sz="0" w:space="0" w:color="auto"/>
                          </w:divBdr>
                          <w:divsChild>
                            <w:div w:id="2112898530">
                              <w:marLeft w:val="0"/>
                              <w:marRight w:val="0"/>
                              <w:marTop w:val="0"/>
                              <w:marBottom w:val="0"/>
                              <w:divBdr>
                                <w:top w:val="none" w:sz="0" w:space="0" w:color="auto"/>
                                <w:left w:val="none" w:sz="0" w:space="0" w:color="auto"/>
                                <w:bottom w:val="none" w:sz="0" w:space="0" w:color="auto"/>
                                <w:right w:val="none" w:sz="0" w:space="0" w:color="auto"/>
                              </w:divBdr>
                              <w:divsChild>
                                <w:div w:id="37945861">
                                  <w:marLeft w:val="0"/>
                                  <w:marRight w:val="0"/>
                                  <w:marTop w:val="0"/>
                                  <w:marBottom w:val="0"/>
                                  <w:divBdr>
                                    <w:top w:val="none" w:sz="0" w:space="0" w:color="auto"/>
                                    <w:left w:val="none" w:sz="0" w:space="0" w:color="auto"/>
                                    <w:bottom w:val="none" w:sz="0" w:space="0" w:color="auto"/>
                                    <w:right w:val="none" w:sz="0" w:space="0" w:color="auto"/>
                                  </w:divBdr>
                                  <w:divsChild>
                                    <w:div w:id="777721627">
                                      <w:marLeft w:val="0"/>
                                      <w:marRight w:val="0"/>
                                      <w:marTop w:val="0"/>
                                      <w:marBottom w:val="0"/>
                                      <w:divBdr>
                                        <w:top w:val="none" w:sz="0" w:space="0" w:color="auto"/>
                                        <w:left w:val="none" w:sz="0" w:space="0" w:color="auto"/>
                                        <w:bottom w:val="none" w:sz="0" w:space="0" w:color="auto"/>
                                        <w:right w:val="none" w:sz="0" w:space="0" w:color="auto"/>
                                      </w:divBdr>
                                      <w:divsChild>
                                        <w:div w:id="557477333">
                                          <w:marLeft w:val="0"/>
                                          <w:marRight w:val="0"/>
                                          <w:marTop w:val="0"/>
                                          <w:marBottom w:val="0"/>
                                          <w:divBdr>
                                            <w:top w:val="none" w:sz="0" w:space="0" w:color="auto"/>
                                            <w:left w:val="none" w:sz="0" w:space="0" w:color="auto"/>
                                            <w:bottom w:val="none" w:sz="0" w:space="0" w:color="auto"/>
                                            <w:right w:val="none" w:sz="0" w:space="0" w:color="auto"/>
                                          </w:divBdr>
                                          <w:divsChild>
                                            <w:div w:id="808865998">
                                              <w:marLeft w:val="0"/>
                                              <w:marRight w:val="0"/>
                                              <w:marTop w:val="0"/>
                                              <w:marBottom w:val="0"/>
                                              <w:divBdr>
                                                <w:top w:val="none" w:sz="0" w:space="0" w:color="auto"/>
                                                <w:left w:val="none" w:sz="0" w:space="0" w:color="auto"/>
                                                <w:bottom w:val="none" w:sz="0" w:space="0" w:color="auto"/>
                                                <w:right w:val="none" w:sz="0" w:space="0" w:color="auto"/>
                                              </w:divBdr>
                                              <w:divsChild>
                                                <w:div w:id="2095197895">
                                                  <w:marLeft w:val="0"/>
                                                  <w:marRight w:val="0"/>
                                                  <w:marTop w:val="0"/>
                                                  <w:marBottom w:val="0"/>
                                                  <w:divBdr>
                                                    <w:top w:val="none" w:sz="0" w:space="0" w:color="auto"/>
                                                    <w:left w:val="none" w:sz="0" w:space="0" w:color="auto"/>
                                                    <w:bottom w:val="none" w:sz="0" w:space="0" w:color="auto"/>
                                                    <w:right w:val="none" w:sz="0" w:space="0" w:color="auto"/>
                                                  </w:divBdr>
                                                  <w:divsChild>
                                                    <w:div w:id="1045372093">
                                                      <w:marLeft w:val="0"/>
                                                      <w:marRight w:val="0"/>
                                                      <w:marTop w:val="0"/>
                                                      <w:marBottom w:val="0"/>
                                                      <w:divBdr>
                                                        <w:top w:val="none" w:sz="0" w:space="0" w:color="auto"/>
                                                        <w:left w:val="none" w:sz="0" w:space="0" w:color="auto"/>
                                                        <w:bottom w:val="none" w:sz="0" w:space="0" w:color="auto"/>
                                                        <w:right w:val="none" w:sz="0" w:space="0" w:color="auto"/>
                                                      </w:divBdr>
                                                      <w:divsChild>
                                                        <w:div w:id="5679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441876">
      <w:bodyDiv w:val="1"/>
      <w:marLeft w:val="0"/>
      <w:marRight w:val="0"/>
      <w:marTop w:val="0"/>
      <w:marBottom w:val="0"/>
      <w:divBdr>
        <w:top w:val="none" w:sz="0" w:space="0" w:color="auto"/>
        <w:left w:val="none" w:sz="0" w:space="0" w:color="auto"/>
        <w:bottom w:val="none" w:sz="0" w:space="0" w:color="auto"/>
        <w:right w:val="none" w:sz="0" w:space="0" w:color="auto"/>
      </w:divBdr>
    </w:div>
    <w:div w:id="606086745">
      <w:bodyDiv w:val="1"/>
      <w:marLeft w:val="0"/>
      <w:marRight w:val="0"/>
      <w:marTop w:val="0"/>
      <w:marBottom w:val="0"/>
      <w:divBdr>
        <w:top w:val="none" w:sz="0" w:space="0" w:color="auto"/>
        <w:left w:val="none" w:sz="0" w:space="0" w:color="auto"/>
        <w:bottom w:val="none" w:sz="0" w:space="0" w:color="auto"/>
        <w:right w:val="none" w:sz="0" w:space="0" w:color="auto"/>
      </w:divBdr>
    </w:div>
    <w:div w:id="606543762">
      <w:bodyDiv w:val="1"/>
      <w:marLeft w:val="0"/>
      <w:marRight w:val="0"/>
      <w:marTop w:val="0"/>
      <w:marBottom w:val="0"/>
      <w:divBdr>
        <w:top w:val="none" w:sz="0" w:space="0" w:color="auto"/>
        <w:left w:val="none" w:sz="0" w:space="0" w:color="auto"/>
        <w:bottom w:val="none" w:sz="0" w:space="0" w:color="auto"/>
        <w:right w:val="none" w:sz="0" w:space="0" w:color="auto"/>
      </w:divBdr>
    </w:div>
    <w:div w:id="608196161">
      <w:bodyDiv w:val="1"/>
      <w:marLeft w:val="0"/>
      <w:marRight w:val="0"/>
      <w:marTop w:val="0"/>
      <w:marBottom w:val="0"/>
      <w:divBdr>
        <w:top w:val="none" w:sz="0" w:space="0" w:color="auto"/>
        <w:left w:val="none" w:sz="0" w:space="0" w:color="auto"/>
        <w:bottom w:val="none" w:sz="0" w:space="0" w:color="auto"/>
        <w:right w:val="none" w:sz="0" w:space="0" w:color="auto"/>
      </w:divBdr>
    </w:div>
    <w:div w:id="612589101">
      <w:bodyDiv w:val="1"/>
      <w:marLeft w:val="0"/>
      <w:marRight w:val="0"/>
      <w:marTop w:val="0"/>
      <w:marBottom w:val="0"/>
      <w:divBdr>
        <w:top w:val="none" w:sz="0" w:space="0" w:color="auto"/>
        <w:left w:val="none" w:sz="0" w:space="0" w:color="auto"/>
        <w:bottom w:val="none" w:sz="0" w:space="0" w:color="auto"/>
        <w:right w:val="none" w:sz="0" w:space="0" w:color="auto"/>
      </w:divBdr>
    </w:div>
    <w:div w:id="627668839">
      <w:bodyDiv w:val="1"/>
      <w:marLeft w:val="0"/>
      <w:marRight w:val="0"/>
      <w:marTop w:val="0"/>
      <w:marBottom w:val="0"/>
      <w:divBdr>
        <w:top w:val="none" w:sz="0" w:space="0" w:color="auto"/>
        <w:left w:val="none" w:sz="0" w:space="0" w:color="auto"/>
        <w:bottom w:val="none" w:sz="0" w:space="0" w:color="auto"/>
        <w:right w:val="none" w:sz="0" w:space="0" w:color="auto"/>
      </w:divBdr>
    </w:div>
    <w:div w:id="673342127">
      <w:bodyDiv w:val="1"/>
      <w:marLeft w:val="0"/>
      <w:marRight w:val="0"/>
      <w:marTop w:val="0"/>
      <w:marBottom w:val="0"/>
      <w:divBdr>
        <w:top w:val="none" w:sz="0" w:space="0" w:color="auto"/>
        <w:left w:val="none" w:sz="0" w:space="0" w:color="auto"/>
        <w:bottom w:val="none" w:sz="0" w:space="0" w:color="auto"/>
        <w:right w:val="none" w:sz="0" w:space="0" w:color="auto"/>
      </w:divBdr>
      <w:divsChild>
        <w:div w:id="779376912">
          <w:marLeft w:val="360"/>
          <w:marRight w:val="0"/>
          <w:marTop w:val="200"/>
          <w:marBottom w:val="0"/>
          <w:divBdr>
            <w:top w:val="none" w:sz="0" w:space="0" w:color="auto"/>
            <w:left w:val="none" w:sz="0" w:space="0" w:color="auto"/>
            <w:bottom w:val="none" w:sz="0" w:space="0" w:color="auto"/>
            <w:right w:val="none" w:sz="0" w:space="0" w:color="auto"/>
          </w:divBdr>
        </w:div>
        <w:div w:id="1636327582">
          <w:marLeft w:val="360"/>
          <w:marRight w:val="0"/>
          <w:marTop w:val="200"/>
          <w:marBottom w:val="0"/>
          <w:divBdr>
            <w:top w:val="none" w:sz="0" w:space="0" w:color="auto"/>
            <w:left w:val="none" w:sz="0" w:space="0" w:color="auto"/>
            <w:bottom w:val="none" w:sz="0" w:space="0" w:color="auto"/>
            <w:right w:val="none" w:sz="0" w:space="0" w:color="auto"/>
          </w:divBdr>
        </w:div>
      </w:divsChild>
    </w:div>
    <w:div w:id="681515297">
      <w:bodyDiv w:val="1"/>
      <w:marLeft w:val="0"/>
      <w:marRight w:val="0"/>
      <w:marTop w:val="0"/>
      <w:marBottom w:val="0"/>
      <w:divBdr>
        <w:top w:val="none" w:sz="0" w:space="0" w:color="auto"/>
        <w:left w:val="none" w:sz="0" w:space="0" w:color="auto"/>
        <w:bottom w:val="none" w:sz="0" w:space="0" w:color="auto"/>
        <w:right w:val="none" w:sz="0" w:space="0" w:color="auto"/>
      </w:divBdr>
    </w:div>
    <w:div w:id="695738098">
      <w:bodyDiv w:val="1"/>
      <w:marLeft w:val="0"/>
      <w:marRight w:val="0"/>
      <w:marTop w:val="0"/>
      <w:marBottom w:val="0"/>
      <w:divBdr>
        <w:top w:val="none" w:sz="0" w:space="0" w:color="auto"/>
        <w:left w:val="none" w:sz="0" w:space="0" w:color="auto"/>
        <w:bottom w:val="none" w:sz="0" w:space="0" w:color="auto"/>
        <w:right w:val="none" w:sz="0" w:space="0" w:color="auto"/>
      </w:divBdr>
    </w:div>
    <w:div w:id="718629155">
      <w:bodyDiv w:val="1"/>
      <w:marLeft w:val="0"/>
      <w:marRight w:val="0"/>
      <w:marTop w:val="0"/>
      <w:marBottom w:val="0"/>
      <w:divBdr>
        <w:top w:val="none" w:sz="0" w:space="0" w:color="auto"/>
        <w:left w:val="none" w:sz="0" w:space="0" w:color="auto"/>
        <w:bottom w:val="none" w:sz="0" w:space="0" w:color="auto"/>
        <w:right w:val="none" w:sz="0" w:space="0" w:color="auto"/>
      </w:divBdr>
    </w:div>
    <w:div w:id="728843407">
      <w:bodyDiv w:val="1"/>
      <w:marLeft w:val="0"/>
      <w:marRight w:val="0"/>
      <w:marTop w:val="0"/>
      <w:marBottom w:val="0"/>
      <w:divBdr>
        <w:top w:val="none" w:sz="0" w:space="0" w:color="auto"/>
        <w:left w:val="none" w:sz="0" w:space="0" w:color="auto"/>
        <w:bottom w:val="none" w:sz="0" w:space="0" w:color="auto"/>
        <w:right w:val="none" w:sz="0" w:space="0" w:color="auto"/>
      </w:divBdr>
    </w:div>
    <w:div w:id="733744018">
      <w:bodyDiv w:val="1"/>
      <w:marLeft w:val="0"/>
      <w:marRight w:val="0"/>
      <w:marTop w:val="0"/>
      <w:marBottom w:val="0"/>
      <w:divBdr>
        <w:top w:val="none" w:sz="0" w:space="0" w:color="auto"/>
        <w:left w:val="none" w:sz="0" w:space="0" w:color="auto"/>
        <w:bottom w:val="none" w:sz="0" w:space="0" w:color="auto"/>
        <w:right w:val="none" w:sz="0" w:space="0" w:color="auto"/>
      </w:divBdr>
    </w:div>
    <w:div w:id="733939003">
      <w:bodyDiv w:val="1"/>
      <w:marLeft w:val="0"/>
      <w:marRight w:val="0"/>
      <w:marTop w:val="0"/>
      <w:marBottom w:val="0"/>
      <w:divBdr>
        <w:top w:val="none" w:sz="0" w:space="0" w:color="auto"/>
        <w:left w:val="none" w:sz="0" w:space="0" w:color="auto"/>
        <w:bottom w:val="none" w:sz="0" w:space="0" w:color="auto"/>
        <w:right w:val="none" w:sz="0" w:space="0" w:color="auto"/>
      </w:divBdr>
    </w:div>
    <w:div w:id="740298945">
      <w:bodyDiv w:val="1"/>
      <w:marLeft w:val="0"/>
      <w:marRight w:val="0"/>
      <w:marTop w:val="0"/>
      <w:marBottom w:val="0"/>
      <w:divBdr>
        <w:top w:val="none" w:sz="0" w:space="0" w:color="auto"/>
        <w:left w:val="none" w:sz="0" w:space="0" w:color="auto"/>
        <w:bottom w:val="none" w:sz="0" w:space="0" w:color="auto"/>
        <w:right w:val="none" w:sz="0" w:space="0" w:color="auto"/>
      </w:divBdr>
    </w:div>
    <w:div w:id="768310469">
      <w:bodyDiv w:val="1"/>
      <w:marLeft w:val="0"/>
      <w:marRight w:val="0"/>
      <w:marTop w:val="0"/>
      <w:marBottom w:val="0"/>
      <w:divBdr>
        <w:top w:val="none" w:sz="0" w:space="0" w:color="auto"/>
        <w:left w:val="none" w:sz="0" w:space="0" w:color="auto"/>
        <w:bottom w:val="none" w:sz="0" w:space="0" w:color="auto"/>
        <w:right w:val="none" w:sz="0" w:space="0" w:color="auto"/>
      </w:divBdr>
    </w:div>
    <w:div w:id="791051779">
      <w:bodyDiv w:val="1"/>
      <w:marLeft w:val="0"/>
      <w:marRight w:val="0"/>
      <w:marTop w:val="0"/>
      <w:marBottom w:val="0"/>
      <w:divBdr>
        <w:top w:val="none" w:sz="0" w:space="0" w:color="auto"/>
        <w:left w:val="none" w:sz="0" w:space="0" w:color="auto"/>
        <w:bottom w:val="none" w:sz="0" w:space="0" w:color="auto"/>
        <w:right w:val="none" w:sz="0" w:space="0" w:color="auto"/>
      </w:divBdr>
    </w:div>
    <w:div w:id="801919962">
      <w:bodyDiv w:val="1"/>
      <w:marLeft w:val="0"/>
      <w:marRight w:val="0"/>
      <w:marTop w:val="0"/>
      <w:marBottom w:val="0"/>
      <w:divBdr>
        <w:top w:val="none" w:sz="0" w:space="0" w:color="auto"/>
        <w:left w:val="none" w:sz="0" w:space="0" w:color="auto"/>
        <w:bottom w:val="none" w:sz="0" w:space="0" w:color="auto"/>
        <w:right w:val="none" w:sz="0" w:space="0" w:color="auto"/>
      </w:divBdr>
    </w:div>
    <w:div w:id="805392757">
      <w:bodyDiv w:val="1"/>
      <w:marLeft w:val="0"/>
      <w:marRight w:val="0"/>
      <w:marTop w:val="0"/>
      <w:marBottom w:val="0"/>
      <w:divBdr>
        <w:top w:val="none" w:sz="0" w:space="0" w:color="auto"/>
        <w:left w:val="none" w:sz="0" w:space="0" w:color="auto"/>
        <w:bottom w:val="none" w:sz="0" w:space="0" w:color="auto"/>
        <w:right w:val="none" w:sz="0" w:space="0" w:color="auto"/>
      </w:divBdr>
    </w:div>
    <w:div w:id="820653077">
      <w:bodyDiv w:val="1"/>
      <w:marLeft w:val="0"/>
      <w:marRight w:val="0"/>
      <w:marTop w:val="0"/>
      <w:marBottom w:val="0"/>
      <w:divBdr>
        <w:top w:val="none" w:sz="0" w:space="0" w:color="auto"/>
        <w:left w:val="none" w:sz="0" w:space="0" w:color="auto"/>
        <w:bottom w:val="none" w:sz="0" w:space="0" w:color="auto"/>
        <w:right w:val="none" w:sz="0" w:space="0" w:color="auto"/>
      </w:divBdr>
    </w:div>
    <w:div w:id="837889661">
      <w:bodyDiv w:val="1"/>
      <w:marLeft w:val="0"/>
      <w:marRight w:val="0"/>
      <w:marTop w:val="0"/>
      <w:marBottom w:val="0"/>
      <w:divBdr>
        <w:top w:val="none" w:sz="0" w:space="0" w:color="auto"/>
        <w:left w:val="none" w:sz="0" w:space="0" w:color="auto"/>
        <w:bottom w:val="none" w:sz="0" w:space="0" w:color="auto"/>
        <w:right w:val="none" w:sz="0" w:space="0" w:color="auto"/>
      </w:divBdr>
    </w:div>
    <w:div w:id="838616709">
      <w:bodyDiv w:val="1"/>
      <w:marLeft w:val="0"/>
      <w:marRight w:val="0"/>
      <w:marTop w:val="0"/>
      <w:marBottom w:val="0"/>
      <w:divBdr>
        <w:top w:val="none" w:sz="0" w:space="0" w:color="auto"/>
        <w:left w:val="none" w:sz="0" w:space="0" w:color="auto"/>
        <w:bottom w:val="none" w:sz="0" w:space="0" w:color="auto"/>
        <w:right w:val="none" w:sz="0" w:space="0" w:color="auto"/>
      </w:divBdr>
    </w:div>
    <w:div w:id="872769674">
      <w:bodyDiv w:val="1"/>
      <w:marLeft w:val="0"/>
      <w:marRight w:val="0"/>
      <w:marTop w:val="0"/>
      <w:marBottom w:val="0"/>
      <w:divBdr>
        <w:top w:val="none" w:sz="0" w:space="0" w:color="auto"/>
        <w:left w:val="none" w:sz="0" w:space="0" w:color="auto"/>
        <w:bottom w:val="none" w:sz="0" w:space="0" w:color="auto"/>
        <w:right w:val="none" w:sz="0" w:space="0" w:color="auto"/>
      </w:divBdr>
    </w:div>
    <w:div w:id="875310897">
      <w:bodyDiv w:val="1"/>
      <w:marLeft w:val="0"/>
      <w:marRight w:val="0"/>
      <w:marTop w:val="0"/>
      <w:marBottom w:val="0"/>
      <w:divBdr>
        <w:top w:val="none" w:sz="0" w:space="0" w:color="auto"/>
        <w:left w:val="none" w:sz="0" w:space="0" w:color="auto"/>
        <w:bottom w:val="none" w:sz="0" w:space="0" w:color="auto"/>
        <w:right w:val="none" w:sz="0" w:space="0" w:color="auto"/>
      </w:divBdr>
      <w:divsChild>
        <w:div w:id="1355880754">
          <w:marLeft w:val="0"/>
          <w:marRight w:val="0"/>
          <w:marTop w:val="0"/>
          <w:marBottom w:val="0"/>
          <w:divBdr>
            <w:top w:val="none" w:sz="0" w:space="0" w:color="auto"/>
            <w:left w:val="none" w:sz="0" w:space="0" w:color="auto"/>
            <w:bottom w:val="none" w:sz="0" w:space="0" w:color="auto"/>
            <w:right w:val="none" w:sz="0" w:space="0" w:color="auto"/>
          </w:divBdr>
          <w:divsChild>
            <w:div w:id="1616059082">
              <w:marLeft w:val="0"/>
              <w:marRight w:val="0"/>
              <w:marTop w:val="0"/>
              <w:marBottom w:val="0"/>
              <w:divBdr>
                <w:top w:val="none" w:sz="0" w:space="0" w:color="auto"/>
                <w:left w:val="none" w:sz="0" w:space="0" w:color="auto"/>
                <w:bottom w:val="none" w:sz="0" w:space="0" w:color="auto"/>
                <w:right w:val="none" w:sz="0" w:space="0" w:color="auto"/>
              </w:divBdr>
              <w:divsChild>
                <w:div w:id="13928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217">
      <w:bodyDiv w:val="1"/>
      <w:marLeft w:val="0"/>
      <w:marRight w:val="0"/>
      <w:marTop w:val="0"/>
      <w:marBottom w:val="0"/>
      <w:divBdr>
        <w:top w:val="none" w:sz="0" w:space="0" w:color="auto"/>
        <w:left w:val="none" w:sz="0" w:space="0" w:color="auto"/>
        <w:bottom w:val="none" w:sz="0" w:space="0" w:color="auto"/>
        <w:right w:val="none" w:sz="0" w:space="0" w:color="auto"/>
      </w:divBdr>
      <w:divsChild>
        <w:div w:id="187646335">
          <w:marLeft w:val="0"/>
          <w:marRight w:val="0"/>
          <w:marTop w:val="0"/>
          <w:marBottom w:val="0"/>
          <w:divBdr>
            <w:top w:val="none" w:sz="0" w:space="0" w:color="auto"/>
            <w:left w:val="none" w:sz="0" w:space="0" w:color="auto"/>
            <w:bottom w:val="none" w:sz="0" w:space="0" w:color="auto"/>
            <w:right w:val="none" w:sz="0" w:space="0" w:color="auto"/>
          </w:divBdr>
        </w:div>
        <w:div w:id="250509082">
          <w:marLeft w:val="0"/>
          <w:marRight w:val="0"/>
          <w:marTop w:val="0"/>
          <w:marBottom w:val="0"/>
          <w:divBdr>
            <w:top w:val="none" w:sz="0" w:space="0" w:color="auto"/>
            <w:left w:val="none" w:sz="0" w:space="0" w:color="auto"/>
            <w:bottom w:val="none" w:sz="0" w:space="0" w:color="auto"/>
            <w:right w:val="none" w:sz="0" w:space="0" w:color="auto"/>
          </w:divBdr>
        </w:div>
        <w:div w:id="543060069">
          <w:marLeft w:val="0"/>
          <w:marRight w:val="0"/>
          <w:marTop w:val="0"/>
          <w:marBottom w:val="0"/>
          <w:divBdr>
            <w:top w:val="none" w:sz="0" w:space="0" w:color="auto"/>
            <w:left w:val="none" w:sz="0" w:space="0" w:color="auto"/>
            <w:bottom w:val="none" w:sz="0" w:space="0" w:color="auto"/>
            <w:right w:val="none" w:sz="0" w:space="0" w:color="auto"/>
          </w:divBdr>
        </w:div>
        <w:div w:id="644506208">
          <w:marLeft w:val="0"/>
          <w:marRight w:val="0"/>
          <w:marTop w:val="0"/>
          <w:marBottom w:val="0"/>
          <w:divBdr>
            <w:top w:val="none" w:sz="0" w:space="0" w:color="auto"/>
            <w:left w:val="none" w:sz="0" w:space="0" w:color="auto"/>
            <w:bottom w:val="none" w:sz="0" w:space="0" w:color="auto"/>
            <w:right w:val="none" w:sz="0" w:space="0" w:color="auto"/>
          </w:divBdr>
        </w:div>
        <w:div w:id="861750586">
          <w:marLeft w:val="0"/>
          <w:marRight w:val="0"/>
          <w:marTop w:val="0"/>
          <w:marBottom w:val="0"/>
          <w:divBdr>
            <w:top w:val="none" w:sz="0" w:space="0" w:color="auto"/>
            <w:left w:val="none" w:sz="0" w:space="0" w:color="auto"/>
            <w:bottom w:val="none" w:sz="0" w:space="0" w:color="auto"/>
            <w:right w:val="none" w:sz="0" w:space="0" w:color="auto"/>
          </w:divBdr>
        </w:div>
        <w:div w:id="1324431024">
          <w:marLeft w:val="0"/>
          <w:marRight w:val="0"/>
          <w:marTop w:val="0"/>
          <w:marBottom w:val="0"/>
          <w:divBdr>
            <w:top w:val="none" w:sz="0" w:space="0" w:color="auto"/>
            <w:left w:val="none" w:sz="0" w:space="0" w:color="auto"/>
            <w:bottom w:val="none" w:sz="0" w:space="0" w:color="auto"/>
            <w:right w:val="none" w:sz="0" w:space="0" w:color="auto"/>
          </w:divBdr>
        </w:div>
        <w:div w:id="1533348360">
          <w:marLeft w:val="0"/>
          <w:marRight w:val="0"/>
          <w:marTop w:val="0"/>
          <w:marBottom w:val="0"/>
          <w:divBdr>
            <w:top w:val="none" w:sz="0" w:space="0" w:color="auto"/>
            <w:left w:val="none" w:sz="0" w:space="0" w:color="auto"/>
            <w:bottom w:val="none" w:sz="0" w:space="0" w:color="auto"/>
            <w:right w:val="none" w:sz="0" w:space="0" w:color="auto"/>
          </w:divBdr>
        </w:div>
        <w:div w:id="1584534574">
          <w:marLeft w:val="0"/>
          <w:marRight w:val="0"/>
          <w:marTop w:val="0"/>
          <w:marBottom w:val="0"/>
          <w:divBdr>
            <w:top w:val="none" w:sz="0" w:space="0" w:color="auto"/>
            <w:left w:val="none" w:sz="0" w:space="0" w:color="auto"/>
            <w:bottom w:val="none" w:sz="0" w:space="0" w:color="auto"/>
            <w:right w:val="none" w:sz="0" w:space="0" w:color="auto"/>
          </w:divBdr>
        </w:div>
        <w:div w:id="1638874444">
          <w:marLeft w:val="0"/>
          <w:marRight w:val="0"/>
          <w:marTop w:val="0"/>
          <w:marBottom w:val="0"/>
          <w:divBdr>
            <w:top w:val="none" w:sz="0" w:space="0" w:color="auto"/>
            <w:left w:val="none" w:sz="0" w:space="0" w:color="auto"/>
            <w:bottom w:val="none" w:sz="0" w:space="0" w:color="auto"/>
            <w:right w:val="none" w:sz="0" w:space="0" w:color="auto"/>
          </w:divBdr>
        </w:div>
      </w:divsChild>
    </w:div>
    <w:div w:id="890191481">
      <w:bodyDiv w:val="1"/>
      <w:marLeft w:val="0"/>
      <w:marRight w:val="0"/>
      <w:marTop w:val="0"/>
      <w:marBottom w:val="0"/>
      <w:divBdr>
        <w:top w:val="none" w:sz="0" w:space="0" w:color="auto"/>
        <w:left w:val="none" w:sz="0" w:space="0" w:color="auto"/>
        <w:bottom w:val="none" w:sz="0" w:space="0" w:color="auto"/>
        <w:right w:val="none" w:sz="0" w:space="0" w:color="auto"/>
      </w:divBdr>
    </w:div>
    <w:div w:id="908229195">
      <w:bodyDiv w:val="1"/>
      <w:marLeft w:val="0"/>
      <w:marRight w:val="0"/>
      <w:marTop w:val="0"/>
      <w:marBottom w:val="0"/>
      <w:divBdr>
        <w:top w:val="none" w:sz="0" w:space="0" w:color="auto"/>
        <w:left w:val="none" w:sz="0" w:space="0" w:color="auto"/>
        <w:bottom w:val="none" w:sz="0" w:space="0" w:color="auto"/>
        <w:right w:val="none" w:sz="0" w:space="0" w:color="auto"/>
      </w:divBdr>
    </w:div>
    <w:div w:id="918054909">
      <w:bodyDiv w:val="1"/>
      <w:marLeft w:val="0"/>
      <w:marRight w:val="0"/>
      <w:marTop w:val="0"/>
      <w:marBottom w:val="0"/>
      <w:divBdr>
        <w:top w:val="none" w:sz="0" w:space="0" w:color="auto"/>
        <w:left w:val="none" w:sz="0" w:space="0" w:color="auto"/>
        <w:bottom w:val="none" w:sz="0" w:space="0" w:color="auto"/>
        <w:right w:val="none" w:sz="0" w:space="0" w:color="auto"/>
      </w:divBdr>
    </w:div>
    <w:div w:id="933586298">
      <w:bodyDiv w:val="1"/>
      <w:marLeft w:val="0"/>
      <w:marRight w:val="0"/>
      <w:marTop w:val="0"/>
      <w:marBottom w:val="0"/>
      <w:divBdr>
        <w:top w:val="none" w:sz="0" w:space="0" w:color="auto"/>
        <w:left w:val="none" w:sz="0" w:space="0" w:color="auto"/>
        <w:bottom w:val="none" w:sz="0" w:space="0" w:color="auto"/>
        <w:right w:val="none" w:sz="0" w:space="0" w:color="auto"/>
      </w:divBdr>
    </w:div>
    <w:div w:id="971328813">
      <w:bodyDiv w:val="1"/>
      <w:marLeft w:val="0"/>
      <w:marRight w:val="0"/>
      <w:marTop w:val="0"/>
      <w:marBottom w:val="0"/>
      <w:divBdr>
        <w:top w:val="none" w:sz="0" w:space="0" w:color="auto"/>
        <w:left w:val="none" w:sz="0" w:space="0" w:color="auto"/>
        <w:bottom w:val="none" w:sz="0" w:space="0" w:color="auto"/>
        <w:right w:val="none" w:sz="0" w:space="0" w:color="auto"/>
      </w:divBdr>
    </w:div>
    <w:div w:id="986593822">
      <w:bodyDiv w:val="1"/>
      <w:marLeft w:val="0"/>
      <w:marRight w:val="0"/>
      <w:marTop w:val="0"/>
      <w:marBottom w:val="0"/>
      <w:divBdr>
        <w:top w:val="none" w:sz="0" w:space="0" w:color="auto"/>
        <w:left w:val="none" w:sz="0" w:space="0" w:color="auto"/>
        <w:bottom w:val="none" w:sz="0" w:space="0" w:color="auto"/>
        <w:right w:val="none" w:sz="0" w:space="0" w:color="auto"/>
      </w:divBdr>
      <w:divsChild>
        <w:div w:id="409162463">
          <w:marLeft w:val="0"/>
          <w:marRight w:val="0"/>
          <w:marTop w:val="0"/>
          <w:marBottom w:val="0"/>
          <w:divBdr>
            <w:top w:val="none" w:sz="0" w:space="0" w:color="auto"/>
            <w:left w:val="none" w:sz="0" w:space="0" w:color="auto"/>
            <w:bottom w:val="none" w:sz="0" w:space="0" w:color="auto"/>
            <w:right w:val="none" w:sz="0" w:space="0" w:color="auto"/>
          </w:divBdr>
        </w:div>
        <w:div w:id="604922455">
          <w:marLeft w:val="0"/>
          <w:marRight w:val="0"/>
          <w:marTop w:val="0"/>
          <w:marBottom w:val="0"/>
          <w:divBdr>
            <w:top w:val="none" w:sz="0" w:space="0" w:color="auto"/>
            <w:left w:val="none" w:sz="0" w:space="0" w:color="auto"/>
            <w:bottom w:val="none" w:sz="0" w:space="0" w:color="auto"/>
            <w:right w:val="none" w:sz="0" w:space="0" w:color="auto"/>
          </w:divBdr>
        </w:div>
        <w:div w:id="808130599">
          <w:marLeft w:val="0"/>
          <w:marRight w:val="0"/>
          <w:marTop w:val="0"/>
          <w:marBottom w:val="0"/>
          <w:divBdr>
            <w:top w:val="none" w:sz="0" w:space="0" w:color="auto"/>
            <w:left w:val="none" w:sz="0" w:space="0" w:color="auto"/>
            <w:bottom w:val="none" w:sz="0" w:space="0" w:color="auto"/>
            <w:right w:val="none" w:sz="0" w:space="0" w:color="auto"/>
          </w:divBdr>
        </w:div>
        <w:div w:id="821848940">
          <w:marLeft w:val="0"/>
          <w:marRight w:val="0"/>
          <w:marTop w:val="0"/>
          <w:marBottom w:val="0"/>
          <w:divBdr>
            <w:top w:val="none" w:sz="0" w:space="0" w:color="auto"/>
            <w:left w:val="none" w:sz="0" w:space="0" w:color="auto"/>
            <w:bottom w:val="none" w:sz="0" w:space="0" w:color="auto"/>
            <w:right w:val="none" w:sz="0" w:space="0" w:color="auto"/>
          </w:divBdr>
        </w:div>
        <w:div w:id="1153719726">
          <w:marLeft w:val="0"/>
          <w:marRight w:val="0"/>
          <w:marTop w:val="0"/>
          <w:marBottom w:val="0"/>
          <w:divBdr>
            <w:top w:val="none" w:sz="0" w:space="0" w:color="auto"/>
            <w:left w:val="none" w:sz="0" w:space="0" w:color="auto"/>
            <w:bottom w:val="none" w:sz="0" w:space="0" w:color="auto"/>
            <w:right w:val="none" w:sz="0" w:space="0" w:color="auto"/>
          </w:divBdr>
        </w:div>
        <w:div w:id="1255169952">
          <w:marLeft w:val="0"/>
          <w:marRight w:val="0"/>
          <w:marTop w:val="0"/>
          <w:marBottom w:val="0"/>
          <w:divBdr>
            <w:top w:val="none" w:sz="0" w:space="0" w:color="auto"/>
            <w:left w:val="none" w:sz="0" w:space="0" w:color="auto"/>
            <w:bottom w:val="none" w:sz="0" w:space="0" w:color="auto"/>
            <w:right w:val="none" w:sz="0" w:space="0" w:color="auto"/>
          </w:divBdr>
        </w:div>
        <w:div w:id="1397977007">
          <w:marLeft w:val="0"/>
          <w:marRight w:val="0"/>
          <w:marTop w:val="0"/>
          <w:marBottom w:val="0"/>
          <w:divBdr>
            <w:top w:val="none" w:sz="0" w:space="0" w:color="auto"/>
            <w:left w:val="none" w:sz="0" w:space="0" w:color="auto"/>
            <w:bottom w:val="none" w:sz="0" w:space="0" w:color="auto"/>
            <w:right w:val="none" w:sz="0" w:space="0" w:color="auto"/>
          </w:divBdr>
        </w:div>
        <w:div w:id="2015263348">
          <w:marLeft w:val="0"/>
          <w:marRight w:val="0"/>
          <w:marTop w:val="0"/>
          <w:marBottom w:val="0"/>
          <w:divBdr>
            <w:top w:val="none" w:sz="0" w:space="0" w:color="auto"/>
            <w:left w:val="none" w:sz="0" w:space="0" w:color="auto"/>
            <w:bottom w:val="none" w:sz="0" w:space="0" w:color="auto"/>
            <w:right w:val="none" w:sz="0" w:space="0" w:color="auto"/>
          </w:divBdr>
        </w:div>
      </w:divsChild>
    </w:div>
    <w:div w:id="990720282">
      <w:bodyDiv w:val="1"/>
      <w:marLeft w:val="0"/>
      <w:marRight w:val="0"/>
      <w:marTop w:val="0"/>
      <w:marBottom w:val="0"/>
      <w:divBdr>
        <w:top w:val="none" w:sz="0" w:space="0" w:color="auto"/>
        <w:left w:val="none" w:sz="0" w:space="0" w:color="auto"/>
        <w:bottom w:val="none" w:sz="0" w:space="0" w:color="auto"/>
        <w:right w:val="none" w:sz="0" w:space="0" w:color="auto"/>
      </w:divBdr>
    </w:div>
    <w:div w:id="1008024851">
      <w:bodyDiv w:val="1"/>
      <w:marLeft w:val="0"/>
      <w:marRight w:val="0"/>
      <w:marTop w:val="0"/>
      <w:marBottom w:val="0"/>
      <w:divBdr>
        <w:top w:val="none" w:sz="0" w:space="0" w:color="auto"/>
        <w:left w:val="none" w:sz="0" w:space="0" w:color="auto"/>
        <w:bottom w:val="none" w:sz="0" w:space="0" w:color="auto"/>
        <w:right w:val="none" w:sz="0" w:space="0" w:color="auto"/>
      </w:divBdr>
    </w:div>
    <w:div w:id="1010911962">
      <w:bodyDiv w:val="1"/>
      <w:marLeft w:val="0"/>
      <w:marRight w:val="0"/>
      <w:marTop w:val="0"/>
      <w:marBottom w:val="0"/>
      <w:divBdr>
        <w:top w:val="none" w:sz="0" w:space="0" w:color="auto"/>
        <w:left w:val="none" w:sz="0" w:space="0" w:color="auto"/>
        <w:bottom w:val="none" w:sz="0" w:space="0" w:color="auto"/>
        <w:right w:val="none" w:sz="0" w:space="0" w:color="auto"/>
      </w:divBdr>
    </w:div>
    <w:div w:id="1024555204">
      <w:bodyDiv w:val="1"/>
      <w:marLeft w:val="0"/>
      <w:marRight w:val="0"/>
      <w:marTop w:val="0"/>
      <w:marBottom w:val="0"/>
      <w:divBdr>
        <w:top w:val="none" w:sz="0" w:space="0" w:color="auto"/>
        <w:left w:val="none" w:sz="0" w:space="0" w:color="auto"/>
        <w:bottom w:val="none" w:sz="0" w:space="0" w:color="auto"/>
        <w:right w:val="none" w:sz="0" w:space="0" w:color="auto"/>
      </w:divBdr>
    </w:div>
    <w:div w:id="1027560477">
      <w:bodyDiv w:val="1"/>
      <w:marLeft w:val="0"/>
      <w:marRight w:val="0"/>
      <w:marTop w:val="0"/>
      <w:marBottom w:val="0"/>
      <w:divBdr>
        <w:top w:val="none" w:sz="0" w:space="0" w:color="auto"/>
        <w:left w:val="none" w:sz="0" w:space="0" w:color="auto"/>
        <w:bottom w:val="none" w:sz="0" w:space="0" w:color="auto"/>
        <w:right w:val="none" w:sz="0" w:space="0" w:color="auto"/>
      </w:divBdr>
      <w:divsChild>
        <w:div w:id="968902059">
          <w:marLeft w:val="0"/>
          <w:marRight w:val="0"/>
          <w:marTop w:val="0"/>
          <w:marBottom w:val="0"/>
          <w:divBdr>
            <w:top w:val="none" w:sz="0" w:space="0" w:color="auto"/>
            <w:left w:val="none" w:sz="0" w:space="0" w:color="auto"/>
            <w:bottom w:val="none" w:sz="0" w:space="0" w:color="auto"/>
            <w:right w:val="none" w:sz="0" w:space="0" w:color="auto"/>
          </w:divBdr>
        </w:div>
      </w:divsChild>
    </w:div>
    <w:div w:id="1038508976">
      <w:bodyDiv w:val="1"/>
      <w:marLeft w:val="0"/>
      <w:marRight w:val="0"/>
      <w:marTop w:val="0"/>
      <w:marBottom w:val="0"/>
      <w:divBdr>
        <w:top w:val="none" w:sz="0" w:space="0" w:color="auto"/>
        <w:left w:val="none" w:sz="0" w:space="0" w:color="auto"/>
        <w:bottom w:val="none" w:sz="0" w:space="0" w:color="auto"/>
        <w:right w:val="none" w:sz="0" w:space="0" w:color="auto"/>
      </w:divBdr>
    </w:div>
    <w:div w:id="1059861502">
      <w:bodyDiv w:val="1"/>
      <w:marLeft w:val="0"/>
      <w:marRight w:val="0"/>
      <w:marTop w:val="0"/>
      <w:marBottom w:val="0"/>
      <w:divBdr>
        <w:top w:val="none" w:sz="0" w:space="0" w:color="auto"/>
        <w:left w:val="none" w:sz="0" w:space="0" w:color="auto"/>
        <w:bottom w:val="none" w:sz="0" w:space="0" w:color="auto"/>
        <w:right w:val="none" w:sz="0" w:space="0" w:color="auto"/>
      </w:divBdr>
    </w:div>
    <w:div w:id="1065567909">
      <w:bodyDiv w:val="1"/>
      <w:marLeft w:val="0"/>
      <w:marRight w:val="0"/>
      <w:marTop w:val="0"/>
      <w:marBottom w:val="0"/>
      <w:divBdr>
        <w:top w:val="none" w:sz="0" w:space="0" w:color="auto"/>
        <w:left w:val="none" w:sz="0" w:space="0" w:color="auto"/>
        <w:bottom w:val="none" w:sz="0" w:space="0" w:color="auto"/>
        <w:right w:val="none" w:sz="0" w:space="0" w:color="auto"/>
      </w:divBdr>
    </w:div>
    <w:div w:id="1084572917">
      <w:bodyDiv w:val="1"/>
      <w:marLeft w:val="0"/>
      <w:marRight w:val="0"/>
      <w:marTop w:val="0"/>
      <w:marBottom w:val="0"/>
      <w:divBdr>
        <w:top w:val="none" w:sz="0" w:space="0" w:color="auto"/>
        <w:left w:val="none" w:sz="0" w:space="0" w:color="auto"/>
        <w:bottom w:val="none" w:sz="0" w:space="0" w:color="auto"/>
        <w:right w:val="none" w:sz="0" w:space="0" w:color="auto"/>
      </w:divBdr>
    </w:div>
    <w:div w:id="1122960642">
      <w:bodyDiv w:val="1"/>
      <w:marLeft w:val="0"/>
      <w:marRight w:val="0"/>
      <w:marTop w:val="0"/>
      <w:marBottom w:val="0"/>
      <w:divBdr>
        <w:top w:val="none" w:sz="0" w:space="0" w:color="auto"/>
        <w:left w:val="none" w:sz="0" w:space="0" w:color="auto"/>
        <w:bottom w:val="none" w:sz="0" w:space="0" w:color="auto"/>
        <w:right w:val="none" w:sz="0" w:space="0" w:color="auto"/>
      </w:divBdr>
      <w:divsChild>
        <w:div w:id="2120680643">
          <w:marLeft w:val="0"/>
          <w:marRight w:val="0"/>
          <w:marTop w:val="0"/>
          <w:marBottom w:val="0"/>
          <w:divBdr>
            <w:top w:val="none" w:sz="0" w:space="0" w:color="auto"/>
            <w:left w:val="none" w:sz="0" w:space="0" w:color="auto"/>
            <w:bottom w:val="none" w:sz="0" w:space="0" w:color="auto"/>
            <w:right w:val="none" w:sz="0" w:space="0" w:color="auto"/>
          </w:divBdr>
          <w:divsChild>
            <w:div w:id="669989025">
              <w:marLeft w:val="0"/>
              <w:marRight w:val="0"/>
              <w:marTop w:val="0"/>
              <w:marBottom w:val="0"/>
              <w:divBdr>
                <w:top w:val="none" w:sz="0" w:space="0" w:color="auto"/>
                <w:left w:val="none" w:sz="0" w:space="0" w:color="auto"/>
                <w:bottom w:val="none" w:sz="0" w:space="0" w:color="auto"/>
                <w:right w:val="none" w:sz="0" w:space="0" w:color="auto"/>
              </w:divBdr>
              <w:divsChild>
                <w:div w:id="1887985081">
                  <w:marLeft w:val="0"/>
                  <w:marRight w:val="0"/>
                  <w:marTop w:val="0"/>
                  <w:marBottom w:val="0"/>
                  <w:divBdr>
                    <w:top w:val="none" w:sz="0" w:space="0" w:color="auto"/>
                    <w:left w:val="none" w:sz="0" w:space="0" w:color="auto"/>
                    <w:bottom w:val="none" w:sz="0" w:space="0" w:color="auto"/>
                    <w:right w:val="none" w:sz="0" w:space="0" w:color="auto"/>
                  </w:divBdr>
                  <w:divsChild>
                    <w:div w:id="206260646">
                      <w:marLeft w:val="0"/>
                      <w:marRight w:val="0"/>
                      <w:marTop w:val="0"/>
                      <w:marBottom w:val="0"/>
                      <w:divBdr>
                        <w:top w:val="none" w:sz="0" w:space="0" w:color="auto"/>
                        <w:left w:val="none" w:sz="0" w:space="0" w:color="auto"/>
                        <w:bottom w:val="none" w:sz="0" w:space="0" w:color="auto"/>
                        <w:right w:val="none" w:sz="0" w:space="0" w:color="auto"/>
                      </w:divBdr>
                      <w:divsChild>
                        <w:div w:id="950356057">
                          <w:marLeft w:val="0"/>
                          <w:marRight w:val="0"/>
                          <w:marTop w:val="0"/>
                          <w:marBottom w:val="0"/>
                          <w:divBdr>
                            <w:top w:val="none" w:sz="0" w:space="0" w:color="auto"/>
                            <w:left w:val="none" w:sz="0" w:space="0" w:color="auto"/>
                            <w:bottom w:val="none" w:sz="0" w:space="0" w:color="auto"/>
                            <w:right w:val="none" w:sz="0" w:space="0" w:color="auto"/>
                          </w:divBdr>
                          <w:divsChild>
                            <w:div w:id="449787622">
                              <w:marLeft w:val="0"/>
                              <w:marRight w:val="0"/>
                              <w:marTop w:val="0"/>
                              <w:marBottom w:val="0"/>
                              <w:divBdr>
                                <w:top w:val="none" w:sz="0" w:space="0" w:color="auto"/>
                                <w:left w:val="none" w:sz="0" w:space="0" w:color="auto"/>
                                <w:bottom w:val="none" w:sz="0" w:space="0" w:color="auto"/>
                                <w:right w:val="none" w:sz="0" w:space="0" w:color="auto"/>
                              </w:divBdr>
                              <w:divsChild>
                                <w:div w:id="585383911">
                                  <w:marLeft w:val="0"/>
                                  <w:marRight w:val="0"/>
                                  <w:marTop w:val="0"/>
                                  <w:marBottom w:val="0"/>
                                  <w:divBdr>
                                    <w:top w:val="none" w:sz="0" w:space="0" w:color="auto"/>
                                    <w:left w:val="none" w:sz="0" w:space="0" w:color="auto"/>
                                    <w:bottom w:val="none" w:sz="0" w:space="0" w:color="auto"/>
                                    <w:right w:val="none" w:sz="0" w:space="0" w:color="auto"/>
                                  </w:divBdr>
                                  <w:divsChild>
                                    <w:div w:id="19291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056180">
      <w:bodyDiv w:val="1"/>
      <w:marLeft w:val="0"/>
      <w:marRight w:val="0"/>
      <w:marTop w:val="0"/>
      <w:marBottom w:val="0"/>
      <w:divBdr>
        <w:top w:val="none" w:sz="0" w:space="0" w:color="auto"/>
        <w:left w:val="none" w:sz="0" w:space="0" w:color="auto"/>
        <w:bottom w:val="none" w:sz="0" w:space="0" w:color="auto"/>
        <w:right w:val="none" w:sz="0" w:space="0" w:color="auto"/>
      </w:divBdr>
      <w:divsChild>
        <w:div w:id="16784731">
          <w:marLeft w:val="0"/>
          <w:marRight w:val="0"/>
          <w:marTop w:val="0"/>
          <w:marBottom w:val="0"/>
          <w:divBdr>
            <w:top w:val="none" w:sz="0" w:space="0" w:color="auto"/>
            <w:left w:val="none" w:sz="0" w:space="0" w:color="auto"/>
            <w:bottom w:val="none" w:sz="0" w:space="0" w:color="auto"/>
            <w:right w:val="none" w:sz="0" w:space="0" w:color="auto"/>
          </w:divBdr>
        </w:div>
        <w:div w:id="37437624">
          <w:marLeft w:val="0"/>
          <w:marRight w:val="0"/>
          <w:marTop w:val="0"/>
          <w:marBottom w:val="0"/>
          <w:divBdr>
            <w:top w:val="none" w:sz="0" w:space="0" w:color="auto"/>
            <w:left w:val="none" w:sz="0" w:space="0" w:color="auto"/>
            <w:bottom w:val="none" w:sz="0" w:space="0" w:color="auto"/>
            <w:right w:val="none" w:sz="0" w:space="0" w:color="auto"/>
          </w:divBdr>
        </w:div>
        <w:div w:id="1309631019">
          <w:marLeft w:val="0"/>
          <w:marRight w:val="0"/>
          <w:marTop w:val="0"/>
          <w:marBottom w:val="0"/>
          <w:divBdr>
            <w:top w:val="none" w:sz="0" w:space="0" w:color="auto"/>
            <w:left w:val="none" w:sz="0" w:space="0" w:color="auto"/>
            <w:bottom w:val="none" w:sz="0" w:space="0" w:color="auto"/>
            <w:right w:val="none" w:sz="0" w:space="0" w:color="auto"/>
          </w:divBdr>
        </w:div>
        <w:div w:id="2131582212">
          <w:marLeft w:val="0"/>
          <w:marRight w:val="0"/>
          <w:marTop w:val="0"/>
          <w:marBottom w:val="0"/>
          <w:divBdr>
            <w:top w:val="none" w:sz="0" w:space="0" w:color="auto"/>
            <w:left w:val="none" w:sz="0" w:space="0" w:color="auto"/>
            <w:bottom w:val="none" w:sz="0" w:space="0" w:color="auto"/>
            <w:right w:val="none" w:sz="0" w:space="0" w:color="auto"/>
          </w:divBdr>
        </w:div>
      </w:divsChild>
    </w:div>
    <w:div w:id="1144854971">
      <w:bodyDiv w:val="1"/>
      <w:marLeft w:val="0"/>
      <w:marRight w:val="0"/>
      <w:marTop w:val="0"/>
      <w:marBottom w:val="0"/>
      <w:divBdr>
        <w:top w:val="none" w:sz="0" w:space="0" w:color="auto"/>
        <w:left w:val="none" w:sz="0" w:space="0" w:color="auto"/>
        <w:bottom w:val="none" w:sz="0" w:space="0" w:color="auto"/>
        <w:right w:val="none" w:sz="0" w:space="0" w:color="auto"/>
      </w:divBdr>
      <w:divsChild>
        <w:div w:id="342627444">
          <w:marLeft w:val="0"/>
          <w:marRight w:val="0"/>
          <w:marTop w:val="0"/>
          <w:marBottom w:val="0"/>
          <w:divBdr>
            <w:top w:val="none" w:sz="0" w:space="0" w:color="auto"/>
            <w:left w:val="none" w:sz="0" w:space="0" w:color="auto"/>
            <w:bottom w:val="none" w:sz="0" w:space="0" w:color="auto"/>
            <w:right w:val="none" w:sz="0" w:space="0" w:color="auto"/>
          </w:divBdr>
          <w:divsChild>
            <w:div w:id="1839422194">
              <w:marLeft w:val="0"/>
              <w:marRight w:val="0"/>
              <w:marTop w:val="0"/>
              <w:marBottom w:val="0"/>
              <w:divBdr>
                <w:top w:val="none" w:sz="0" w:space="0" w:color="auto"/>
                <w:left w:val="none" w:sz="0" w:space="0" w:color="auto"/>
                <w:bottom w:val="none" w:sz="0" w:space="0" w:color="auto"/>
                <w:right w:val="none" w:sz="0" w:space="0" w:color="auto"/>
              </w:divBdr>
              <w:divsChild>
                <w:div w:id="1187602114">
                  <w:marLeft w:val="0"/>
                  <w:marRight w:val="0"/>
                  <w:marTop w:val="0"/>
                  <w:marBottom w:val="0"/>
                  <w:divBdr>
                    <w:top w:val="none" w:sz="0" w:space="0" w:color="auto"/>
                    <w:left w:val="none" w:sz="0" w:space="0" w:color="auto"/>
                    <w:bottom w:val="none" w:sz="0" w:space="0" w:color="auto"/>
                    <w:right w:val="none" w:sz="0" w:space="0" w:color="auto"/>
                  </w:divBdr>
                  <w:divsChild>
                    <w:div w:id="160004560">
                      <w:marLeft w:val="0"/>
                      <w:marRight w:val="0"/>
                      <w:marTop w:val="0"/>
                      <w:marBottom w:val="0"/>
                      <w:divBdr>
                        <w:top w:val="none" w:sz="0" w:space="0" w:color="auto"/>
                        <w:left w:val="none" w:sz="0" w:space="0" w:color="auto"/>
                        <w:bottom w:val="none" w:sz="0" w:space="0" w:color="auto"/>
                        <w:right w:val="none" w:sz="0" w:space="0" w:color="auto"/>
                      </w:divBdr>
                      <w:divsChild>
                        <w:div w:id="1426262817">
                          <w:marLeft w:val="0"/>
                          <w:marRight w:val="0"/>
                          <w:marTop w:val="0"/>
                          <w:marBottom w:val="0"/>
                          <w:divBdr>
                            <w:top w:val="none" w:sz="0" w:space="0" w:color="auto"/>
                            <w:left w:val="none" w:sz="0" w:space="0" w:color="auto"/>
                            <w:bottom w:val="none" w:sz="0" w:space="0" w:color="auto"/>
                            <w:right w:val="none" w:sz="0" w:space="0" w:color="auto"/>
                          </w:divBdr>
                          <w:divsChild>
                            <w:div w:id="1222406588">
                              <w:marLeft w:val="0"/>
                              <w:marRight w:val="0"/>
                              <w:marTop w:val="0"/>
                              <w:marBottom w:val="0"/>
                              <w:divBdr>
                                <w:top w:val="none" w:sz="0" w:space="0" w:color="auto"/>
                                <w:left w:val="none" w:sz="0" w:space="0" w:color="auto"/>
                                <w:bottom w:val="none" w:sz="0" w:space="0" w:color="auto"/>
                                <w:right w:val="none" w:sz="0" w:space="0" w:color="auto"/>
                              </w:divBdr>
                              <w:divsChild>
                                <w:div w:id="189415410">
                                  <w:marLeft w:val="0"/>
                                  <w:marRight w:val="0"/>
                                  <w:marTop w:val="0"/>
                                  <w:marBottom w:val="0"/>
                                  <w:divBdr>
                                    <w:top w:val="none" w:sz="0" w:space="0" w:color="auto"/>
                                    <w:left w:val="none" w:sz="0" w:space="0" w:color="auto"/>
                                    <w:bottom w:val="none" w:sz="0" w:space="0" w:color="auto"/>
                                    <w:right w:val="none" w:sz="0" w:space="0" w:color="auto"/>
                                  </w:divBdr>
                                  <w:divsChild>
                                    <w:div w:id="2129541318">
                                      <w:marLeft w:val="0"/>
                                      <w:marRight w:val="0"/>
                                      <w:marTop w:val="0"/>
                                      <w:marBottom w:val="0"/>
                                      <w:divBdr>
                                        <w:top w:val="none" w:sz="0" w:space="0" w:color="auto"/>
                                        <w:left w:val="none" w:sz="0" w:space="0" w:color="auto"/>
                                        <w:bottom w:val="none" w:sz="0" w:space="0" w:color="auto"/>
                                        <w:right w:val="none" w:sz="0" w:space="0" w:color="auto"/>
                                      </w:divBdr>
                                      <w:divsChild>
                                        <w:div w:id="1471708552">
                                          <w:marLeft w:val="0"/>
                                          <w:marRight w:val="0"/>
                                          <w:marTop w:val="0"/>
                                          <w:marBottom w:val="0"/>
                                          <w:divBdr>
                                            <w:top w:val="none" w:sz="0" w:space="0" w:color="auto"/>
                                            <w:left w:val="none" w:sz="0" w:space="0" w:color="auto"/>
                                            <w:bottom w:val="none" w:sz="0" w:space="0" w:color="auto"/>
                                            <w:right w:val="none" w:sz="0" w:space="0" w:color="auto"/>
                                          </w:divBdr>
                                          <w:divsChild>
                                            <w:div w:id="1766803253">
                                              <w:marLeft w:val="0"/>
                                              <w:marRight w:val="0"/>
                                              <w:marTop w:val="0"/>
                                              <w:marBottom w:val="0"/>
                                              <w:divBdr>
                                                <w:top w:val="none" w:sz="0" w:space="0" w:color="auto"/>
                                                <w:left w:val="none" w:sz="0" w:space="0" w:color="auto"/>
                                                <w:bottom w:val="none" w:sz="0" w:space="0" w:color="auto"/>
                                                <w:right w:val="none" w:sz="0" w:space="0" w:color="auto"/>
                                              </w:divBdr>
                                              <w:divsChild>
                                                <w:div w:id="914584543">
                                                  <w:marLeft w:val="0"/>
                                                  <w:marRight w:val="0"/>
                                                  <w:marTop w:val="0"/>
                                                  <w:marBottom w:val="0"/>
                                                  <w:divBdr>
                                                    <w:top w:val="none" w:sz="0" w:space="0" w:color="auto"/>
                                                    <w:left w:val="none" w:sz="0" w:space="0" w:color="auto"/>
                                                    <w:bottom w:val="none" w:sz="0" w:space="0" w:color="auto"/>
                                                    <w:right w:val="none" w:sz="0" w:space="0" w:color="auto"/>
                                                  </w:divBdr>
                                                  <w:divsChild>
                                                    <w:div w:id="87385660">
                                                      <w:marLeft w:val="0"/>
                                                      <w:marRight w:val="0"/>
                                                      <w:marTop w:val="0"/>
                                                      <w:marBottom w:val="0"/>
                                                      <w:divBdr>
                                                        <w:top w:val="none" w:sz="0" w:space="0" w:color="auto"/>
                                                        <w:left w:val="none" w:sz="0" w:space="0" w:color="auto"/>
                                                        <w:bottom w:val="none" w:sz="0" w:space="0" w:color="auto"/>
                                                        <w:right w:val="none" w:sz="0" w:space="0" w:color="auto"/>
                                                      </w:divBdr>
                                                      <w:divsChild>
                                                        <w:div w:id="18928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7933720">
      <w:bodyDiv w:val="1"/>
      <w:marLeft w:val="0"/>
      <w:marRight w:val="0"/>
      <w:marTop w:val="0"/>
      <w:marBottom w:val="0"/>
      <w:divBdr>
        <w:top w:val="none" w:sz="0" w:space="0" w:color="auto"/>
        <w:left w:val="none" w:sz="0" w:space="0" w:color="auto"/>
        <w:bottom w:val="none" w:sz="0" w:space="0" w:color="auto"/>
        <w:right w:val="none" w:sz="0" w:space="0" w:color="auto"/>
      </w:divBdr>
    </w:div>
    <w:div w:id="1156384129">
      <w:bodyDiv w:val="1"/>
      <w:marLeft w:val="0"/>
      <w:marRight w:val="0"/>
      <w:marTop w:val="0"/>
      <w:marBottom w:val="0"/>
      <w:divBdr>
        <w:top w:val="none" w:sz="0" w:space="0" w:color="auto"/>
        <w:left w:val="none" w:sz="0" w:space="0" w:color="auto"/>
        <w:bottom w:val="none" w:sz="0" w:space="0" w:color="auto"/>
        <w:right w:val="none" w:sz="0" w:space="0" w:color="auto"/>
      </w:divBdr>
    </w:div>
    <w:div w:id="1172447051">
      <w:bodyDiv w:val="1"/>
      <w:marLeft w:val="0"/>
      <w:marRight w:val="0"/>
      <w:marTop w:val="0"/>
      <w:marBottom w:val="0"/>
      <w:divBdr>
        <w:top w:val="none" w:sz="0" w:space="0" w:color="auto"/>
        <w:left w:val="none" w:sz="0" w:space="0" w:color="auto"/>
        <w:bottom w:val="none" w:sz="0" w:space="0" w:color="auto"/>
        <w:right w:val="none" w:sz="0" w:space="0" w:color="auto"/>
      </w:divBdr>
    </w:div>
    <w:div w:id="1196767826">
      <w:bodyDiv w:val="1"/>
      <w:marLeft w:val="0"/>
      <w:marRight w:val="0"/>
      <w:marTop w:val="0"/>
      <w:marBottom w:val="0"/>
      <w:divBdr>
        <w:top w:val="none" w:sz="0" w:space="0" w:color="auto"/>
        <w:left w:val="none" w:sz="0" w:space="0" w:color="auto"/>
        <w:bottom w:val="none" w:sz="0" w:space="0" w:color="auto"/>
        <w:right w:val="none" w:sz="0" w:space="0" w:color="auto"/>
      </w:divBdr>
    </w:div>
    <w:div w:id="1202747985">
      <w:bodyDiv w:val="1"/>
      <w:marLeft w:val="0"/>
      <w:marRight w:val="0"/>
      <w:marTop w:val="0"/>
      <w:marBottom w:val="0"/>
      <w:divBdr>
        <w:top w:val="none" w:sz="0" w:space="0" w:color="auto"/>
        <w:left w:val="none" w:sz="0" w:space="0" w:color="auto"/>
        <w:bottom w:val="none" w:sz="0" w:space="0" w:color="auto"/>
        <w:right w:val="none" w:sz="0" w:space="0" w:color="auto"/>
      </w:divBdr>
    </w:div>
    <w:div w:id="1206454555">
      <w:bodyDiv w:val="1"/>
      <w:marLeft w:val="0"/>
      <w:marRight w:val="0"/>
      <w:marTop w:val="0"/>
      <w:marBottom w:val="0"/>
      <w:divBdr>
        <w:top w:val="none" w:sz="0" w:space="0" w:color="auto"/>
        <w:left w:val="none" w:sz="0" w:space="0" w:color="auto"/>
        <w:bottom w:val="none" w:sz="0" w:space="0" w:color="auto"/>
        <w:right w:val="none" w:sz="0" w:space="0" w:color="auto"/>
      </w:divBdr>
    </w:div>
    <w:div w:id="1212159237">
      <w:bodyDiv w:val="1"/>
      <w:marLeft w:val="0"/>
      <w:marRight w:val="0"/>
      <w:marTop w:val="0"/>
      <w:marBottom w:val="0"/>
      <w:divBdr>
        <w:top w:val="none" w:sz="0" w:space="0" w:color="auto"/>
        <w:left w:val="none" w:sz="0" w:space="0" w:color="auto"/>
        <w:bottom w:val="none" w:sz="0" w:space="0" w:color="auto"/>
        <w:right w:val="none" w:sz="0" w:space="0" w:color="auto"/>
      </w:divBdr>
      <w:divsChild>
        <w:div w:id="1136021113">
          <w:marLeft w:val="360"/>
          <w:marRight w:val="0"/>
          <w:marTop w:val="200"/>
          <w:marBottom w:val="0"/>
          <w:divBdr>
            <w:top w:val="none" w:sz="0" w:space="0" w:color="auto"/>
            <w:left w:val="none" w:sz="0" w:space="0" w:color="auto"/>
            <w:bottom w:val="none" w:sz="0" w:space="0" w:color="auto"/>
            <w:right w:val="none" w:sz="0" w:space="0" w:color="auto"/>
          </w:divBdr>
        </w:div>
        <w:div w:id="614140570">
          <w:marLeft w:val="360"/>
          <w:marRight w:val="0"/>
          <w:marTop w:val="200"/>
          <w:marBottom w:val="0"/>
          <w:divBdr>
            <w:top w:val="none" w:sz="0" w:space="0" w:color="auto"/>
            <w:left w:val="none" w:sz="0" w:space="0" w:color="auto"/>
            <w:bottom w:val="none" w:sz="0" w:space="0" w:color="auto"/>
            <w:right w:val="none" w:sz="0" w:space="0" w:color="auto"/>
          </w:divBdr>
        </w:div>
        <w:div w:id="865290454">
          <w:marLeft w:val="360"/>
          <w:marRight w:val="0"/>
          <w:marTop w:val="200"/>
          <w:marBottom w:val="0"/>
          <w:divBdr>
            <w:top w:val="none" w:sz="0" w:space="0" w:color="auto"/>
            <w:left w:val="none" w:sz="0" w:space="0" w:color="auto"/>
            <w:bottom w:val="none" w:sz="0" w:space="0" w:color="auto"/>
            <w:right w:val="none" w:sz="0" w:space="0" w:color="auto"/>
          </w:divBdr>
        </w:div>
      </w:divsChild>
    </w:div>
    <w:div w:id="1230115889">
      <w:bodyDiv w:val="1"/>
      <w:marLeft w:val="0"/>
      <w:marRight w:val="0"/>
      <w:marTop w:val="0"/>
      <w:marBottom w:val="0"/>
      <w:divBdr>
        <w:top w:val="none" w:sz="0" w:space="0" w:color="auto"/>
        <w:left w:val="none" w:sz="0" w:space="0" w:color="auto"/>
        <w:bottom w:val="none" w:sz="0" w:space="0" w:color="auto"/>
        <w:right w:val="none" w:sz="0" w:space="0" w:color="auto"/>
      </w:divBdr>
    </w:div>
    <w:div w:id="1230732497">
      <w:bodyDiv w:val="1"/>
      <w:marLeft w:val="0"/>
      <w:marRight w:val="0"/>
      <w:marTop w:val="0"/>
      <w:marBottom w:val="0"/>
      <w:divBdr>
        <w:top w:val="none" w:sz="0" w:space="0" w:color="auto"/>
        <w:left w:val="none" w:sz="0" w:space="0" w:color="auto"/>
        <w:bottom w:val="none" w:sz="0" w:space="0" w:color="auto"/>
        <w:right w:val="none" w:sz="0" w:space="0" w:color="auto"/>
      </w:divBdr>
    </w:div>
    <w:div w:id="1308169175">
      <w:bodyDiv w:val="1"/>
      <w:marLeft w:val="0"/>
      <w:marRight w:val="0"/>
      <w:marTop w:val="0"/>
      <w:marBottom w:val="0"/>
      <w:divBdr>
        <w:top w:val="none" w:sz="0" w:space="0" w:color="auto"/>
        <w:left w:val="none" w:sz="0" w:space="0" w:color="auto"/>
        <w:bottom w:val="none" w:sz="0" w:space="0" w:color="auto"/>
        <w:right w:val="none" w:sz="0" w:space="0" w:color="auto"/>
      </w:divBdr>
    </w:div>
    <w:div w:id="1322661516">
      <w:bodyDiv w:val="1"/>
      <w:marLeft w:val="0"/>
      <w:marRight w:val="0"/>
      <w:marTop w:val="0"/>
      <w:marBottom w:val="0"/>
      <w:divBdr>
        <w:top w:val="none" w:sz="0" w:space="0" w:color="auto"/>
        <w:left w:val="none" w:sz="0" w:space="0" w:color="auto"/>
        <w:bottom w:val="none" w:sz="0" w:space="0" w:color="auto"/>
        <w:right w:val="none" w:sz="0" w:space="0" w:color="auto"/>
      </w:divBdr>
      <w:divsChild>
        <w:div w:id="887961099">
          <w:marLeft w:val="0"/>
          <w:marRight w:val="0"/>
          <w:marTop w:val="0"/>
          <w:marBottom w:val="0"/>
          <w:divBdr>
            <w:top w:val="none" w:sz="0" w:space="0" w:color="auto"/>
            <w:left w:val="none" w:sz="0" w:space="0" w:color="auto"/>
            <w:bottom w:val="none" w:sz="0" w:space="0" w:color="auto"/>
            <w:right w:val="none" w:sz="0" w:space="0" w:color="auto"/>
          </w:divBdr>
          <w:divsChild>
            <w:div w:id="1393891074">
              <w:marLeft w:val="0"/>
              <w:marRight w:val="0"/>
              <w:marTop w:val="0"/>
              <w:marBottom w:val="0"/>
              <w:divBdr>
                <w:top w:val="none" w:sz="0" w:space="0" w:color="auto"/>
                <w:left w:val="none" w:sz="0" w:space="0" w:color="auto"/>
                <w:bottom w:val="none" w:sz="0" w:space="0" w:color="auto"/>
                <w:right w:val="none" w:sz="0" w:space="0" w:color="auto"/>
              </w:divBdr>
              <w:divsChild>
                <w:div w:id="20832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03909">
      <w:bodyDiv w:val="1"/>
      <w:marLeft w:val="0"/>
      <w:marRight w:val="0"/>
      <w:marTop w:val="0"/>
      <w:marBottom w:val="0"/>
      <w:divBdr>
        <w:top w:val="none" w:sz="0" w:space="0" w:color="auto"/>
        <w:left w:val="none" w:sz="0" w:space="0" w:color="auto"/>
        <w:bottom w:val="none" w:sz="0" w:space="0" w:color="auto"/>
        <w:right w:val="none" w:sz="0" w:space="0" w:color="auto"/>
      </w:divBdr>
    </w:div>
    <w:div w:id="1340808658">
      <w:bodyDiv w:val="1"/>
      <w:marLeft w:val="0"/>
      <w:marRight w:val="0"/>
      <w:marTop w:val="0"/>
      <w:marBottom w:val="0"/>
      <w:divBdr>
        <w:top w:val="none" w:sz="0" w:space="0" w:color="auto"/>
        <w:left w:val="none" w:sz="0" w:space="0" w:color="auto"/>
        <w:bottom w:val="none" w:sz="0" w:space="0" w:color="auto"/>
        <w:right w:val="none" w:sz="0" w:space="0" w:color="auto"/>
      </w:divBdr>
    </w:div>
    <w:div w:id="1371028662">
      <w:bodyDiv w:val="1"/>
      <w:marLeft w:val="0"/>
      <w:marRight w:val="0"/>
      <w:marTop w:val="0"/>
      <w:marBottom w:val="0"/>
      <w:divBdr>
        <w:top w:val="none" w:sz="0" w:space="0" w:color="auto"/>
        <w:left w:val="none" w:sz="0" w:space="0" w:color="auto"/>
        <w:bottom w:val="none" w:sz="0" w:space="0" w:color="auto"/>
        <w:right w:val="none" w:sz="0" w:space="0" w:color="auto"/>
      </w:divBdr>
    </w:div>
    <w:div w:id="1371144810">
      <w:bodyDiv w:val="1"/>
      <w:marLeft w:val="0"/>
      <w:marRight w:val="0"/>
      <w:marTop w:val="0"/>
      <w:marBottom w:val="0"/>
      <w:divBdr>
        <w:top w:val="none" w:sz="0" w:space="0" w:color="auto"/>
        <w:left w:val="none" w:sz="0" w:space="0" w:color="auto"/>
        <w:bottom w:val="none" w:sz="0" w:space="0" w:color="auto"/>
        <w:right w:val="none" w:sz="0" w:space="0" w:color="auto"/>
      </w:divBdr>
    </w:div>
    <w:div w:id="1382095765">
      <w:bodyDiv w:val="1"/>
      <w:marLeft w:val="0"/>
      <w:marRight w:val="0"/>
      <w:marTop w:val="0"/>
      <w:marBottom w:val="0"/>
      <w:divBdr>
        <w:top w:val="none" w:sz="0" w:space="0" w:color="auto"/>
        <w:left w:val="none" w:sz="0" w:space="0" w:color="auto"/>
        <w:bottom w:val="none" w:sz="0" w:space="0" w:color="auto"/>
        <w:right w:val="none" w:sz="0" w:space="0" w:color="auto"/>
      </w:divBdr>
    </w:div>
    <w:div w:id="1442644139">
      <w:bodyDiv w:val="1"/>
      <w:marLeft w:val="0"/>
      <w:marRight w:val="0"/>
      <w:marTop w:val="0"/>
      <w:marBottom w:val="0"/>
      <w:divBdr>
        <w:top w:val="none" w:sz="0" w:space="0" w:color="auto"/>
        <w:left w:val="none" w:sz="0" w:space="0" w:color="auto"/>
        <w:bottom w:val="none" w:sz="0" w:space="0" w:color="auto"/>
        <w:right w:val="none" w:sz="0" w:space="0" w:color="auto"/>
      </w:divBdr>
    </w:div>
    <w:div w:id="1461530794">
      <w:bodyDiv w:val="1"/>
      <w:marLeft w:val="0"/>
      <w:marRight w:val="0"/>
      <w:marTop w:val="0"/>
      <w:marBottom w:val="0"/>
      <w:divBdr>
        <w:top w:val="none" w:sz="0" w:space="0" w:color="auto"/>
        <w:left w:val="none" w:sz="0" w:space="0" w:color="auto"/>
        <w:bottom w:val="none" w:sz="0" w:space="0" w:color="auto"/>
        <w:right w:val="none" w:sz="0" w:space="0" w:color="auto"/>
      </w:divBdr>
    </w:div>
    <w:div w:id="1480414955">
      <w:bodyDiv w:val="1"/>
      <w:marLeft w:val="0"/>
      <w:marRight w:val="0"/>
      <w:marTop w:val="0"/>
      <w:marBottom w:val="0"/>
      <w:divBdr>
        <w:top w:val="none" w:sz="0" w:space="0" w:color="auto"/>
        <w:left w:val="none" w:sz="0" w:space="0" w:color="auto"/>
        <w:bottom w:val="none" w:sz="0" w:space="0" w:color="auto"/>
        <w:right w:val="none" w:sz="0" w:space="0" w:color="auto"/>
      </w:divBdr>
    </w:div>
    <w:div w:id="1484078181">
      <w:bodyDiv w:val="1"/>
      <w:marLeft w:val="0"/>
      <w:marRight w:val="0"/>
      <w:marTop w:val="0"/>
      <w:marBottom w:val="0"/>
      <w:divBdr>
        <w:top w:val="none" w:sz="0" w:space="0" w:color="auto"/>
        <w:left w:val="none" w:sz="0" w:space="0" w:color="auto"/>
        <w:bottom w:val="none" w:sz="0" w:space="0" w:color="auto"/>
        <w:right w:val="none" w:sz="0" w:space="0" w:color="auto"/>
      </w:divBdr>
    </w:div>
    <w:div w:id="1511024625">
      <w:bodyDiv w:val="1"/>
      <w:marLeft w:val="0"/>
      <w:marRight w:val="0"/>
      <w:marTop w:val="0"/>
      <w:marBottom w:val="0"/>
      <w:divBdr>
        <w:top w:val="none" w:sz="0" w:space="0" w:color="auto"/>
        <w:left w:val="none" w:sz="0" w:space="0" w:color="auto"/>
        <w:bottom w:val="none" w:sz="0" w:space="0" w:color="auto"/>
        <w:right w:val="none" w:sz="0" w:space="0" w:color="auto"/>
      </w:divBdr>
      <w:divsChild>
        <w:div w:id="607394503">
          <w:marLeft w:val="0"/>
          <w:marRight w:val="0"/>
          <w:marTop w:val="0"/>
          <w:marBottom w:val="0"/>
          <w:divBdr>
            <w:top w:val="none" w:sz="0" w:space="0" w:color="auto"/>
            <w:left w:val="none" w:sz="0" w:space="0" w:color="auto"/>
            <w:bottom w:val="none" w:sz="0" w:space="0" w:color="auto"/>
            <w:right w:val="none" w:sz="0" w:space="0" w:color="auto"/>
          </w:divBdr>
        </w:div>
        <w:div w:id="1694915514">
          <w:marLeft w:val="0"/>
          <w:marRight w:val="0"/>
          <w:marTop w:val="0"/>
          <w:marBottom w:val="0"/>
          <w:divBdr>
            <w:top w:val="none" w:sz="0" w:space="0" w:color="auto"/>
            <w:left w:val="none" w:sz="0" w:space="0" w:color="auto"/>
            <w:bottom w:val="none" w:sz="0" w:space="0" w:color="auto"/>
            <w:right w:val="none" w:sz="0" w:space="0" w:color="auto"/>
          </w:divBdr>
        </w:div>
      </w:divsChild>
    </w:div>
    <w:div w:id="1518931799">
      <w:bodyDiv w:val="1"/>
      <w:marLeft w:val="0"/>
      <w:marRight w:val="0"/>
      <w:marTop w:val="0"/>
      <w:marBottom w:val="0"/>
      <w:divBdr>
        <w:top w:val="none" w:sz="0" w:space="0" w:color="auto"/>
        <w:left w:val="none" w:sz="0" w:space="0" w:color="auto"/>
        <w:bottom w:val="none" w:sz="0" w:space="0" w:color="auto"/>
        <w:right w:val="none" w:sz="0" w:space="0" w:color="auto"/>
      </w:divBdr>
    </w:div>
    <w:div w:id="1523471972">
      <w:bodyDiv w:val="1"/>
      <w:marLeft w:val="0"/>
      <w:marRight w:val="0"/>
      <w:marTop w:val="0"/>
      <w:marBottom w:val="0"/>
      <w:divBdr>
        <w:top w:val="none" w:sz="0" w:space="0" w:color="auto"/>
        <w:left w:val="none" w:sz="0" w:space="0" w:color="auto"/>
        <w:bottom w:val="none" w:sz="0" w:space="0" w:color="auto"/>
        <w:right w:val="none" w:sz="0" w:space="0" w:color="auto"/>
      </w:divBdr>
    </w:div>
    <w:div w:id="1563714957">
      <w:bodyDiv w:val="1"/>
      <w:marLeft w:val="0"/>
      <w:marRight w:val="0"/>
      <w:marTop w:val="0"/>
      <w:marBottom w:val="0"/>
      <w:divBdr>
        <w:top w:val="none" w:sz="0" w:space="0" w:color="auto"/>
        <w:left w:val="none" w:sz="0" w:space="0" w:color="auto"/>
        <w:bottom w:val="none" w:sz="0" w:space="0" w:color="auto"/>
        <w:right w:val="none" w:sz="0" w:space="0" w:color="auto"/>
      </w:divBdr>
    </w:div>
    <w:div w:id="1584489513">
      <w:bodyDiv w:val="1"/>
      <w:marLeft w:val="0"/>
      <w:marRight w:val="0"/>
      <w:marTop w:val="0"/>
      <w:marBottom w:val="0"/>
      <w:divBdr>
        <w:top w:val="none" w:sz="0" w:space="0" w:color="auto"/>
        <w:left w:val="none" w:sz="0" w:space="0" w:color="auto"/>
        <w:bottom w:val="none" w:sz="0" w:space="0" w:color="auto"/>
        <w:right w:val="none" w:sz="0" w:space="0" w:color="auto"/>
      </w:divBdr>
    </w:div>
    <w:div w:id="1585603177">
      <w:bodyDiv w:val="1"/>
      <w:marLeft w:val="0"/>
      <w:marRight w:val="0"/>
      <w:marTop w:val="0"/>
      <w:marBottom w:val="0"/>
      <w:divBdr>
        <w:top w:val="none" w:sz="0" w:space="0" w:color="auto"/>
        <w:left w:val="none" w:sz="0" w:space="0" w:color="auto"/>
        <w:bottom w:val="none" w:sz="0" w:space="0" w:color="auto"/>
        <w:right w:val="none" w:sz="0" w:space="0" w:color="auto"/>
      </w:divBdr>
      <w:divsChild>
        <w:div w:id="748236736">
          <w:marLeft w:val="0"/>
          <w:marRight w:val="0"/>
          <w:marTop w:val="0"/>
          <w:marBottom w:val="0"/>
          <w:divBdr>
            <w:top w:val="none" w:sz="0" w:space="0" w:color="auto"/>
            <w:left w:val="none" w:sz="0" w:space="0" w:color="auto"/>
            <w:bottom w:val="none" w:sz="0" w:space="0" w:color="auto"/>
            <w:right w:val="none" w:sz="0" w:space="0" w:color="auto"/>
          </w:divBdr>
        </w:div>
        <w:div w:id="1053653283">
          <w:marLeft w:val="0"/>
          <w:marRight w:val="0"/>
          <w:marTop w:val="0"/>
          <w:marBottom w:val="0"/>
          <w:divBdr>
            <w:top w:val="none" w:sz="0" w:space="0" w:color="auto"/>
            <w:left w:val="none" w:sz="0" w:space="0" w:color="auto"/>
            <w:bottom w:val="none" w:sz="0" w:space="0" w:color="auto"/>
            <w:right w:val="none" w:sz="0" w:space="0" w:color="auto"/>
          </w:divBdr>
        </w:div>
        <w:div w:id="1230505231">
          <w:marLeft w:val="0"/>
          <w:marRight w:val="0"/>
          <w:marTop w:val="0"/>
          <w:marBottom w:val="0"/>
          <w:divBdr>
            <w:top w:val="none" w:sz="0" w:space="0" w:color="auto"/>
            <w:left w:val="none" w:sz="0" w:space="0" w:color="auto"/>
            <w:bottom w:val="none" w:sz="0" w:space="0" w:color="auto"/>
            <w:right w:val="none" w:sz="0" w:space="0" w:color="auto"/>
          </w:divBdr>
        </w:div>
        <w:div w:id="1344013915">
          <w:marLeft w:val="0"/>
          <w:marRight w:val="0"/>
          <w:marTop w:val="0"/>
          <w:marBottom w:val="0"/>
          <w:divBdr>
            <w:top w:val="none" w:sz="0" w:space="0" w:color="auto"/>
            <w:left w:val="none" w:sz="0" w:space="0" w:color="auto"/>
            <w:bottom w:val="none" w:sz="0" w:space="0" w:color="auto"/>
            <w:right w:val="none" w:sz="0" w:space="0" w:color="auto"/>
          </w:divBdr>
        </w:div>
        <w:div w:id="1803376891">
          <w:marLeft w:val="0"/>
          <w:marRight w:val="0"/>
          <w:marTop w:val="0"/>
          <w:marBottom w:val="0"/>
          <w:divBdr>
            <w:top w:val="none" w:sz="0" w:space="0" w:color="auto"/>
            <w:left w:val="none" w:sz="0" w:space="0" w:color="auto"/>
            <w:bottom w:val="none" w:sz="0" w:space="0" w:color="auto"/>
            <w:right w:val="none" w:sz="0" w:space="0" w:color="auto"/>
          </w:divBdr>
        </w:div>
        <w:div w:id="1890217656">
          <w:marLeft w:val="0"/>
          <w:marRight w:val="0"/>
          <w:marTop w:val="0"/>
          <w:marBottom w:val="0"/>
          <w:divBdr>
            <w:top w:val="none" w:sz="0" w:space="0" w:color="auto"/>
            <w:left w:val="none" w:sz="0" w:space="0" w:color="auto"/>
            <w:bottom w:val="none" w:sz="0" w:space="0" w:color="auto"/>
            <w:right w:val="none" w:sz="0" w:space="0" w:color="auto"/>
          </w:divBdr>
        </w:div>
      </w:divsChild>
    </w:div>
    <w:div w:id="1611621390">
      <w:bodyDiv w:val="1"/>
      <w:marLeft w:val="0"/>
      <w:marRight w:val="0"/>
      <w:marTop w:val="0"/>
      <w:marBottom w:val="0"/>
      <w:divBdr>
        <w:top w:val="none" w:sz="0" w:space="0" w:color="auto"/>
        <w:left w:val="none" w:sz="0" w:space="0" w:color="auto"/>
        <w:bottom w:val="none" w:sz="0" w:space="0" w:color="auto"/>
        <w:right w:val="none" w:sz="0" w:space="0" w:color="auto"/>
      </w:divBdr>
      <w:divsChild>
        <w:div w:id="422840500">
          <w:marLeft w:val="0"/>
          <w:marRight w:val="0"/>
          <w:marTop w:val="0"/>
          <w:marBottom w:val="0"/>
          <w:divBdr>
            <w:top w:val="none" w:sz="0" w:space="0" w:color="auto"/>
            <w:left w:val="none" w:sz="0" w:space="0" w:color="auto"/>
            <w:bottom w:val="none" w:sz="0" w:space="0" w:color="auto"/>
            <w:right w:val="none" w:sz="0" w:space="0" w:color="auto"/>
          </w:divBdr>
          <w:divsChild>
            <w:div w:id="1269040846">
              <w:marLeft w:val="0"/>
              <w:marRight w:val="0"/>
              <w:marTop w:val="0"/>
              <w:marBottom w:val="0"/>
              <w:divBdr>
                <w:top w:val="none" w:sz="0" w:space="0" w:color="auto"/>
                <w:left w:val="none" w:sz="0" w:space="0" w:color="auto"/>
                <w:bottom w:val="none" w:sz="0" w:space="0" w:color="auto"/>
                <w:right w:val="none" w:sz="0" w:space="0" w:color="auto"/>
              </w:divBdr>
              <w:divsChild>
                <w:div w:id="187283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99492">
      <w:bodyDiv w:val="1"/>
      <w:marLeft w:val="0"/>
      <w:marRight w:val="0"/>
      <w:marTop w:val="0"/>
      <w:marBottom w:val="0"/>
      <w:divBdr>
        <w:top w:val="none" w:sz="0" w:space="0" w:color="auto"/>
        <w:left w:val="none" w:sz="0" w:space="0" w:color="auto"/>
        <w:bottom w:val="none" w:sz="0" w:space="0" w:color="auto"/>
        <w:right w:val="none" w:sz="0" w:space="0" w:color="auto"/>
      </w:divBdr>
    </w:div>
    <w:div w:id="1613783635">
      <w:bodyDiv w:val="1"/>
      <w:marLeft w:val="0"/>
      <w:marRight w:val="0"/>
      <w:marTop w:val="0"/>
      <w:marBottom w:val="0"/>
      <w:divBdr>
        <w:top w:val="none" w:sz="0" w:space="0" w:color="auto"/>
        <w:left w:val="none" w:sz="0" w:space="0" w:color="auto"/>
        <w:bottom w:val="none" w:sz="0" w:space="0" w:color="auto"/>
        <w:right w:val="none" w:sz="0" w:space="0" w:color="auto"/>
      </w:divBdr>
    </w:div>
    <w:div w:id="1618024965">
      <w:bodyDiv w:val="1"/>
      <w:marLeft w:val="0"/>
      <w:marRight w:val="0"/>
      <w:marTop w:val="0"/>
      <w:marBottom w:val="0"/>
      <w:divBdr>
        <w:top w:val="none" w:sz="0" w:space="0" w:color="auto"/>
        <w:left w:val="none" w:sz="0" w:space="0" w:color="auto"/>
        <w:bottom w:val="none" w:sz="0" w:space="0" w:color="auto"/>
        <w:right w:val="none" w:sz="0" w:space="0" w:color="auto"/>
      </w:divBdr>
    </w:div>
    <w:div w:id="1640649763">
      <w:bodyDiv w:val="1"/>
      <w:marLeft w:val="0"/>
      <w:marRight w:val="0"/>
      <w:marTop w:val="0"/>
      <w:marBottom w:val="0"/>
      <w:divBdr>
        <w:top w:val="none" w:sz="0" w:space="0" w:color="auto"/>
        <w:left w:val="none" w:sz="0" w:space="0" w:color="auto"/>
        <w:bottom w:val="none" w:sz="0" w:space="0" w:color="auto"/>
        <w:right w:val="none" w:sz="0" w:space="0" w:color="auto"/>
      </w:divBdr>
    </w:div>
    <w:div w:id="1648389918">
      <w:bodyDiv w:val="1"/>
      <w:marLeft w:val="0"/>
      <w:marRight w:val="0"/>
      <w:marTop w:val="0"/>
      <w:marBottom w:val="0"/>
      <w:divBdr>
        <w:top w:val="none" w:sz="0" w:space="0" w:color="auto"/>
        <w:left w:val="none" w:sz="0" w:space="0" w:color="auto"/>
        <w:bottom w:val="none" w:sz="0" w:space="0" w:color="auto"/>
        <w:right w:val="none" w:sz="0" w:space="0" w:color="auto"/>
      </w:divBdr>
    </w:div>
    <w:div w:id="1654021876">
      <w:bodyDiv w:val="1"/>
      <w:marLeft w:val="0"/>
      <w:marRight w:val="0"/>
      <w:marTop w:val="0"/>
      <w:marBottom w:val="0"/>
      <w:divBdr>
        <w:top w:val="none" w:sz="0" w:space="0" w:color="auto"/>
        <w:left w:val="none" w:sz="0" w:space="0" w:color="auto"/>
        <w:bottom w:val="none" w:sz="0" w:space="0" w:color="auto"/>
        <w:right w:val="none" w:sz="0" w:space="0" w:color="auto"/>
      </w:divBdr>
      <w:divsChild>
        <w:div w:id="1174492272">
          <w:marLeft w:val="0"/>
          <w:marRight w:val="0"/>
          <w:marTop w:val="0"/>
          <w:marBottom w:val="0"/>
          <w:divBdr>
            <w:top w:val="none" w:sz="0" w:space="0" w:color="auto"/>
            <w:left w:val="none" w:sz="0" w:space="0" w:color="auto"/>
            <w:bottom w:val="none" w:sz="0" w:space="0" w:color="auto"/>
            <w:right w:val="none" w:sz="0" w:space="0" w:color="auto"/>
          </w:divBdr>
          <w:divsChild>
            <w:div w:id="1644310877">
              <w:marLeft w:val="0"/>
              <w:marRight w:val="0"/>
              <w:marTop w:val="0"/>
              <w:marBottom w:val="0"/>
              <w:divBdr>
                <w:top w:val="none" w:sz="0" w:space="0" w:color="auto"/>
                <w:left w:val="none" w:sz="0" w:space="0" w:color="auto"/>
                <w:bottom w:val="none" w:sz="0" w:space="0" w:color="auto"/>
                <w:right w:val="none" w:sz="0" w:space="0" w:color="auto"/>
              </w:divBdr>
              <w:divsChild>
                <w:div w:id="16306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20851">
      <w:bodyDiv w:val="1"/>
      <w:marLeft w:val="0"/>
      <w:marRight w:val="0"/>
      <w:marTop w:val="0"/>
      <w:marBottom w:val="0"/>
      <w:divBdr>
        <w:top w:val="none" w:sz="0" w:space="0" w:color="auto"/>
        <w:left w:val="none" w:sz="0" w:space="0" w:color="auto"/>
        <w:bottom w:val="none" w:sz="0" w:space="0" w:color="auto"/>
        <w:right w:val="none" w:sz="0" w:space="0" w:color="auto"/>
      </w:divBdr>
    </w:div>
    <w:div w:id="1658219462">
      <w:bodyDiv w:val="1"/>
      <w:marLeft w:val="0"/>
      <w:marRight w:val="0"/>
      <w:marTop w:val="0"/>
      <w:marBottom w:val="0"/>
      <w:divBdr>
        <w:top w:val="none" w:sz="0" w:space="0" w:color="auto"/>
        <w:left w:val="none" w:sz="0" w:space="0" w:color="auto"/>
        <w:bottom w:val="none" w:sz="0" w:space="0" w:color="auto"/>
        <w:right w:val="none" w:sz="0" w:space="0" w:color="auto"/>
      </w:divBdr>
    </w:div>
    <w:div w:id="1664699960">
      <w:bodyDiv w:val="1"/>
      <w:marLeft w:val="0"/>
      <w:marRight w:val="0"/>
      <w:marTop w:val="0"/>
      <w:marBottom w:val="0"/>
      <w:divBdr>
        <w:top w:val="none" w:sz="0" w:space="0" w:color="auto"/>
        <w:left w:val="none" w:sz="0" w:space="0" w:color="auto"/>
        <w:bottom w:val="none" w:sz="0" w:space="0" w:color="auto"/>
        <w:right w:val="none" w:sz="0" w:space="0" w:color="auto"/>
      </w:divBdr>
    </w:div>
    <w:div w:id="1668750269">
      <w:bodyDiv w:val="1"/>
      <w:marLeft w:val="0"/>
      <w:marRight w:val="0"/>
      <w:marTop w:val="0"/>
      <w:marBottom w:val="0"/>
      <w:divBdr>
        <w:top w:val="none" w:sz="0" w:space="0" w:color="auto"/>
        <w:left w:val="none" w:sz="0" w:space="0" w:color="auto"/>
        <w:bottom w:val="none" w:sz="0" w:space="0" w:color="auto"/>
        <w:right w:val="none" w:sz="0" w:space="0" w:color="auto"/>
      </w:divBdr>
    </w:div>
    <w:div w:id="1678380389">
      <w:bodyDiv w:val="1"/>
      <w:marLeft w:val="0"/>
      <w:marRight w:val="0"/>
      <w:marTop w:val="0"/>
      <w:marBottom w:val="0"/>
      <w:divBdr>
        <w:top w:val="none" w:sz="0" w:space="0" w:color="auto"/>
        <w:left w:val="none" w:sz="0" w:space="0" w:color="auto"/>
        <w:bottom w:val="none" w:sz="0" w:space="0" w:color="auto"/>
        <w:right w:val="none" w:sz="0" w:space="0" w:color="auto"/>
      </w:divBdr>
      <w:divsChild>
        <w:div w:id="16085214">
          <w:marLeft w:val="0"/>
          <w:marRight w:val="0"/>
          <w:marTop w:val="0"/>
          <w:marBottom w:val="0"/>
          <w:divBdr>
            <w:top w:val="none" w:sz="0" w:space="0" w:color="auto"/>
            <w:left w:val="none" w:sz="0" w:space="0" w:color="auto"/>
            <w:bottom w:val="none" w:sz="0" w:space="0" w:color="auto"/>
            <w:right w:val="none" w:sz="0" w:space="0" w:color="auto"/>
          </w:divBdr>
        </w:div>
        <w:div w:id="349456819">
          <w:marLeft w:val="0"/>
          <w:marRight w:val="0"/>
          <w:marTop w:val="0"/>
          <w:marBottom w:val="0"/>
          <w:divBdr>
            <w:top w:val="none" w:sz="0" w:space="0" w:color="auto"/>
            <w:left w:val="none" w:sz="0" w:space="0" w:color="auto"/>
            <w:bottom w:val="none" w:sz="0" w:space="0" w:color="auto"/>
            <w:right w:val="none" w:sz="0" w:space="0" w:color="auto"/>
          </w:divBdr>
        </w:div>
      </w:divsChild>
    </w:div>
    <w:div w:id="1700814449">
      <w:bodyDiv w:val="1"/>
      <w:marLeft w:val="0"/>
      <w:marRight w:val="0"/>
      <w:marTop w:val="0"/>
      <w:marBottom w:val="0"/>
      <w:divBdr>
        <w:top w:val="none" w:sz="0" w:space="0" w:color="auto"/>
        <w:left w:val="none" w:sz="0" w:space="0" w:color="auto"/>
        <w:bottom w:val="none" w:sz="0" w:space="0" w:color="auto"/>
        <w:right w:val="none" w:sz="0" w:space="0" w:color="auto"/>
      </w:divBdr>
      <w:divsChild>
        <w:div w:id="1758207237">
          <w:marLeft w:val="0"/>
          <w:marRight w:val="0"/>
          <w:marTop w:val="0"/>
          <w:marBottom w:val="0"/>
          <w:divBdr>
            <w:top w:val="none" w:sz="0" w:space="0" w:color="auto"/>
            <w:left w:val="none" w:sz="0" w:space="0" w:color="auto"/>
            <w:bottom w:val="none" w:sz="0" w:space="0" w:color="auto"/>
            <w:right w:val="none" w:sz="0" w:space="0" w:color="auto"/>
          </w:divBdr>
          <w:divsChild>
            <w:div w:id="1106274227">
              <w:marLeft w:val="0"/>
              <w:marRight w:val="0"/>
              <w:marTop w:val="0"/>
              <w:marBottom w:val="0"/>
              <w:divBdr>
                <w:top w:val="none" w:sz="0" w:space="0" w:color="auto"/>
                <w:left w:val="none" w:sz="0" w:space="0" w:color="auto"/>
                <w:bottom w:val="none" w:sz="0" w:space="0" w:color="auto"/>
                <w:right w:val="none" w:sz="0" w:space="0" w:color="auto"/>
              </w:divBdr>
              <w:divsChild>
                <w:div w:id="1422917950">
                  <w:marLeft w:val="0"/>
                  <w:marRight w:val="0"/>
                  <w:marTop w:val="0"/>
                  <w:marBottom w:val="0"/>
                  <w:divBdr>
                    <w:top w:val="none" w:sz="0" w:space="0" w:color="auto"/>
                    <w:left w:val="none" w:sz="0" w:space="0" w:color="auto"/>
                    <w:bottom w:val="none" w:sz="0" w:space="0" w:color="auto"/>
                    <w:right w:val="none" w:sz="0" w:space="0" w:color="auto"/>
                  </w:divBdr>
                  <w:divsChild>
                    <w:div w:id="1056391682">
                      <w:marLeft w:val="150"/>
                      <w:marRight w:val="150"/>
                      <w:marTop w:val="0"/>
                      <w:marBottom w:val="0"/>
                      <w:divBdr>
                        <w:top w:val="none" w:sz="0" w:space="0" w:color="auto"/>
                        <w:left w:val="none" w:sz="0" w:space="0" w:color="auto"/>
                        <w:bottom w:val="none" w:sz="0" w:space="0" w:color="auto"/>
                        <w:right w:val="none" w:sz="0" w:space="0" w:color="auto"/>
                      </w:divBdr>
                      <w:divsChild>
                        <w:div w:id="2109620417">
                          <w:marLeft w:val="0"/>
                          <w:marRight w:val="0"/>
                          <w:marTop w:val="0"/>
                          <w:marBottom w:val="0"/>
                          <w:divBdr>
                            <w:top w:val="none" w:sz="0" w:space="0" w:color="auto"/>
                            <w:left w:val="none" w:sz="0" w:space="0" w:color="auto"/>
                            <w:bottom w:val="none" w:sz="0" w:space="0" w:color="auto"/>
                            <w:right w:val="none" w:sz="0" w:space="0" w:color="auto"/>
                          </w:divBdr>
                          <w:divsChild>
                            <w:div w:id="1575626731">
                              <w:marLeft w:val="0"/>
                              <w:marRight w:val="0"/>
                              <w:marTop w:val="0"/>
                              <w:marBottom w:val="240"/>
                              <w:divBdr>
                                <w:top w:val="none" w:sz="0" w:space="0" w:color="auto"/>
                                <w:left w:val="none" w:sz="0" w:space="0" w:color="auto"/>
                                <w:bottom w:val="none" w:sz="0" w:space="0" w:color="auto"/>
                                <w:right w:val="none" w:sz="0" w:space="0" w:color="auto"/>
                              </w:divBdr>
                              <w:divsChild>
                                <w:div w:id="1031882396">
                                  <w:marLeft w:val="0"/>
                                  <w:marRight w:val="0"/>
                                  <w:marTop w:val="0"/>
                                  <w:marBottom w:val="0"/>
                                  <w:divBdr>
                                    <w:top w:val="none" w:sz="0" w:space="0" w:color="auto"/>
                                    <w:left w:val="none" w:sz="0" w:space="0" w:color="auto"/>
                                    <w:bottom w:val="none" w:sz="0" w:space="0" w:color="auto"/>
                                    <w:right w:val="none" w:sz="0" w:space="0" w:color="auto"/>
                                  </w:divBdr>
                                  <w:divsChild>
                                    <w:div w:id="2093699052">
                                      <w:marLeft w:val="0"/>
                                      <w:marRight w:val="0"/>
                                      <w:marTop w:val="0"/>
                                      <w:marBottom w:val="0"/>
                                      <w:divBdr>
                                        <w:top w:val="none" w:sz="0" w:space="0" w:color="auto"/>
                                        <w:left w:val="none" w:sz="0" w:space="0" w:color="auto"/>
                                        <w:bottom w:val="none" w:sz="0" w:space="0" w:color="auto"/>
                                        <w:right w:val="none" w:sz="0" w:space="0" w:color="auto"/>
                                      </w:divBdr>
                                      <w:divsChild>
                                        <w:div w:id="297296936">
                                          <w:marLeft w:val="0"/>
                                          <w:marRight w:val="0"/>
                                          <w:marTop w:val="0"/>
                                          <w:marBottom w:val="0"/>
                                          <w:divBdr>
                                            <w:top w:val="none" w:sz="0" w:space="0" w:color="auto"/>
                                            <w:left w:val="none" w:sz="0" w:space="0" w:color="auto"/>
                                            <w:bottom w:val="none" w:sz="0" w:space="0" w:color="auto"/>
                                            <w:right w:val="none" w:sz="0" w:space="0" w:color="auto"/>
                                          </w:divBdr>
                                          <w:divsChild>
                                            <w:div w:id="546845086">
                                              <w:marLeft w:val="0"/>
                                              <w:marRight w:val="0"/>
                                              <w:marTop w:val="0"/>
                                              <w:marBottom w:val="0"/>
                                              <w:divBdr>
                                                <w:top w:val="none" w:sz="0" w:space="0" w:color="auto"/>
                                                <w:left w:val="none" w:sz="0" w:space="0" w:color="auto"/>
                                                <w:bottom w:val="none" w:sz="0" w:space="0" w:color="auto"/>
                                                <w:right w:val="none" w:sz="0" w:space="0" w:color="auto"/>
                                              </w:divBdr>
                                              <w:divsChild>
                                                <w:div w:id="393354039">
                                                  <w:marLeft w:val="0"/>
                                                  <w:marRight w:val="0"/>
                                                  <w:marTop w:val="0"/>
                                                  <w:marBottom w:val="0"/>
                                                  <w:divBdr>
                                                    <w:top w:val="none" w:sz="0" w:space="0" w:color="auto"/>
                                                    <w:left w:val="none" w:sz="0" w:space="0" w:color="auto"/>
                                                    <w:bottom w:val="none" w:sz="0" w:space="0" w:color="auto"/>
                                                    <w:right w:val="none" w:sz="0" w:space="0" w:color="auto"/>
                                                  </w:divBdr>
                                                  <w:divsChild>
                                                    <w:div w:id="1081635698">
                                                      <w:marLeft w:val="0"/>
                                                      <w:marRight w:val="0"/>
                                                      <w:marTop w:val="0"/>
                                                      <w:marBottom w:val="0"/>
                                                      <w:divBdr>
                                                        <w:top w:val="none" w:sz="0" w:space="0" w:color="auto"/>
                                                        <w:left w:val="none" w:sz="0" w:space="0" w:color="auto"/>
                                                        <w:bottom w:val="none" w:sz="0" w:space="0" w:color="auto"/>
                                                        <w:right w:val="none" w:sz="0" w:space="0" w:color="auto"/>
                                                      </w:divBdr>
                                                      <w:divsChild>
                                                        <w:div w:id="1452942370">
                                                          <w:marLeft w:val="0"/>
                                                          <w:marRight w:val="0"/>
                                                          <w:marTop w:val="0"/>
                                                          <w:marBottom w:val="0"/>
                                                          <w:divBdr>
                                                            <w:top w:val="none" w:sz="0" w:space="0" w:color="auto"/>
                                                            <w:left w:val="none" w:sz="0" w:space="0" w:color="auto"/>
                                                            <w:bottom w:val="none" w:sz="0" w:space="0" w:color="auto"/>
                                                            <w:right w:val="none" w:sz="0" w:space="0" w:color="auto"/>
                                                          </w:divBdr>
                                                          <w:divsChild>
                                                            <w:div w:id="1614628090">
                                                              <w:marLeft w:val="0"/>
                                                              <w:marRight w:val="0"/>
                                                              <w:marTop w:val="0"/>
                                                              <w:marBottom w:val="0"/>
                                                              <w:divBdr>
                                                                <w:top w:val="none" w:sz="0" w:space="0" w:color="auto"/>
                                                                <w:left w:val="none" w:sz="0" w:space="0" w:color="auto"/>
                                                                <w:bottom w:val="none" w:sz="0" w:space="0" w:color="auto"/>
                                                                <w:right w:val="none" w:sz="0" w:space="0" w:color="auto"/>
                                                              </w:divBdr>
                                                              <w:divsChild>
                                                                <w:div w:id="15898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0817190">
      <w:bodyDiv w:val="1"/>
      <w:marLeft w:val="0"/>
      <w:marRight w:val="0"/>
      <w:marTop w:val="0"/>
      <w:marBottom w:val="0"/>
      <w:divBdr>
        <w:top w:val="none" w:sz="0" w:space="0" w:color="auto"/>
        <w:left w:val="none" w:sz="0" w:space="0" w:color="auto"/>
        <w:bottom w:val="none" w:sz="0" w:space="0" w:color="auto"/>
        <w:right w:val="none" w:sz="0" w:space="0" w:color="auto"/>
      </w:divBdr>
    </w:div>
    <w:div w:id="1719737837">
      <w:bodyDiv w:val="1"/>
      <w:marLeft w:val="0"/>
      <w:marRight w:val="0"/>
      <w:marTop w:val="0"/>
      <w:marBottom w:val="0"/>
      <w:divBdr>
        <w:top w:val="none" w:sz="0" w:space="0" w:color="auto"/>
        <w:left w:val="none" w:sz="0" w:space="0" w:color="auto"/>
        <w:bottom w:val="none" w:sz="0" w:space="0" w:color="auto"/>
        <w:right w:val="none" w:sz="0" w:space="0" w:color="auto"/>
      </w:divBdr>
    </w:div>
    <w:div w:id="1732190545">
      <w:bodyDiv w:val="1"/>
      <w:marLeft w:val="0"/>
      <w:marRight w:val="0"/>
      <w:marTop w:val="0"/>
      <w:marBottom w:val="0"/>
      <w:divBdr>
        <w:top w:val="none" w:sz="0" w:space="0" w:color="auto"/>
        <w:left w:val="none" w:sz="0" w:space="0" w:color="auto"/>
        <w:bottom w:val="none" w:sz="0" w:space="0" w:color="auto"/>
        <w:right w:val="none" w:sz="0" w:space="0" w:color="auto"/>
      </w:divBdr>
    </w:div>
    <w:div w:id="1741292739">
      <w:bodyDiv w:val="1"/>
      <w:marLeft w:val="0"/>
      <w:marRight w:val="0"/>
      <w:marTop w:val="0"/>
      <w:marBottom w:val="0"/>
      <w:divBdr>
        <w:top w:val="none" w:sz="0" w:space="0" w:color="auto"/>
        <w:left w:val="none" w:sz="0" w:space="0" w:color="auto"/>
        <w:bottom w:val="none" w:sz="0" w:space="0" w:color="auto"/>
        <w:right w:val="none" w:sz="0" w:space="0" w:color="auto"/>
      </w:divBdr>
    </w:div>
    <w:div w:id="1767770492">
      <w:bodyDiv w:val="1"/>
      <w:marLeft w:val="0"/>
      <w:marRight w:val="0"/>
      <w:marTop w:val="0"/>
      <w:marBottom w:val="0"/>
      <w:divBdr>
        <w:top w:val="none" w:sz="0" w:space="0" w:color="auto"/>
        <w:left w:val="none" w:sz="0" w:space="0" w:color="auto"/>
        <w:bottom w:val="none" w:sz="0" w:space="0" w:color="auto"/>
        <w:right w:val="none" w:sz="0" w:space="0" w:color="auto"/>
      </w:divBdr>
      <w:divsChild>
        <w:div w:id="524177363">
          <w:marLeft w:val="0"/>
          <w:marRight w:val="0"/>
          <w:marTop w:val="0"/>
          <w:marBottom w:val="0"/>
          <w:divBdr>
            <w:top w:val="none" w:sz="0" w:space="0" w:color="auto"/>
            <w:left w:val="none" w:sz="0" w:space="0" w:color="auto"/>
            <w:bottom w:val="none" w:sz="0" w:space="0" w:color="auto"/>
            <w:right w:val="none" w:sz="0" w:space="0" w:color="auto"/>
          </w:divBdr>
          <w:divsChild>
            <w:div w:id="1936287245">
              <w:marLeft w:val="0"/>
              <w:marRight w:val="0"/>
              <w:marTop w:val="0"/>
              <w:marBottom w:val="0"/>
              <w:divBdr>
                <w:top w:val="none" w:sz="0" w:space="0" w:color="auto"/>
                <w:left w:val="none" w:sz="0" w:space="0" w:color="auto"/>
                <w:bottom w:val="none" w:sz="0" w:space="0" w:color="auto"/>
                <w:right w:val="none" w:sz="0" w:space="0" w:color="auto"/>
              </w:divBdr>
              <w:divsChild>
                <w:div w:id="640691750">
                  <w:marLeft w:val="0"/>
                  <w:marRight w:val="0"/>
                  <w:marTop w:val="0"/>
                  <w:marBottom w:val="0"/>
                  <w:divBdr>
                    <w:top w:val="none" w:sz="0" w:space="0" w:color="auto"/>
                    <w:left w:val="none" w:sz="0" w:space="0" w:color="auto"/>
                    <w:bottom w:val="none" w:sz="0" w:space="0" w:color="auto"/>
                    <w:right w:val="none" w:sz="0" w:space="0" w:color="auto"/>
                  </w:divBdr>
                  <w:divsChild>
                    <w:div w:id="1790317847">
                      <w:marLeft w:val="150"/>
                      <w:marRight w:val="150"/>
                      <w:marTop w:val="0"/>
                      <w:marBottom w:val="0"/>
                      <w:divBdr>
                        <w:top w:val="none" w:sz="0" w:space="0" w:color="auto"/>
                        <w:left w:val="none" w:sz="0" w:space="0" w:color="auto"/>
                        <w:bottom w:val="none" w:sz="0" w:space="0" w:color="auto"/>
                        <w:right w:val="none" w:sz="0" w:space="0" w:color="auto"/>
                      </w:divBdr>
                      <w:divsChild>
                        <w:div w:id="1087776270">
                          <w:marLeft w:val="0"/>
                          <w:marRight w:val="0"/>
                          <w:marTop w:val="0"/>
                          <w:marBottom w:val="0"/>
                          <w:divBdr>
                            <w:top w:val="none" w:sz="0" w:space="0" w:color="auto"/>
                            <w:left w:val="none" w:sz="0" w:space="0" w:color="auto"/>
                            <w:bottom w:val="none" w:sz="0" w:space="0" w:color="auto"/>
                            <w:right w:val="none" w:sz="0" w:space="0" w:color="auto"/>
                          </w:divBdr>
                          <w:divsChild>
                            <w:div w:id="1582595820">
                              <w:marLeft w:val="0"/>
                              <w:marRight w:val="0"/>
                              <w:marTop w:val="0"/>
                              <w:marBottom w:val="240"/>
                              <w:divBdr>
                                <w:top w:val="none" w:sz="0" w:space="0" w:color="auto"/>
                                <w:left w:val="none" w:sz="0" w:space="0" w:color="auto"/>
                                <w:bottom w:val="none" w:sz="0" w:space="0" w:color="auto"/>
                                <w:right w:val="none" w:sz="0" w:space="0" w:color="auto"/>
                              </w:divBdr>
                              <w:divsChild>
                                <w:div w:id="1271546874">
                                  <w:marLeft w:val="0"/>
                                  <w:marRight w:val="0"/>
                                  <w:marTop w:val="0"/>
                                  <w:marBottom w:val="0"/>
                                  <w:divBdr>
                                    <w:top w:val="none" w:sz="0" w:space="0" w:color="auto"/>
                                    <w:left w:val="none" w:sz="0" w:space="0" w:color="auto"/>
                                    <w:bottom w:val="none" w:sz="0" w:space="0" w:color="auto"/>
                                    <w:right w:val="none" w:sz="0" w:space="0" w:color="auto"/>
                                  </w:divBdr>
                                  <w:divsChild>
                                    <w:div w:id="550070718">
                                      <w:marLeft w:val="0"/>
                                      <w:marRight w:val="0"/>
                                      <w:marTop w:val="0"/>
                                      <w:marBottom w:val="0"/>
                                      <w:divBdr>
                                        <w:top w:val="none" w:sz="0" w:space="0" w:color="auto"/>
                                        <w:left w:val="none" w:sz="0" w:space="0" w:color="auto"/>
                                        <w:bottom w:val="none" w:sz="0" w:space="0" w:color="auto"/>
                                        <w:right w:val="none" w:sz="0" w:space="0" w:color="auto"/>
                                      </w:divBdr>
                                      <w:divsChild>
                                        <w:div w:id="72167064">
                                          <w:marLeft w:val="0"/>
                                          <w:marRight w:val="0"/>
                                          <w:marTop w:val="0"/>
                                          <w:marBottom w:val="0"/>
                                          <w:divBdr>
                                            <w:top w:val="none" w:sz="0" w:space="0" w:color="auto"/>
                                            <w:left w:val="none" w:sz="0" w:space="0" w:color="auto"/>
                                            <w:bottom w:val="none" w:sz="0" w:space="0" w:color="auto"/>
                                            <w:right w:val="none" w:sz="0" w:space="0" w:color="auto"/>
                                          </w:divBdr>
                                          <w:divsChild>
                                            <w:div w:id="271473760">
                                              <w:marLeft w:val="0"/>
                                              <w:marRight w:val="0"/>
                                              <w:marTop w:val="0"/>
                                              <w:marBottom w:val="0"/>
                                              <w:divBdr>
                                                <w:top w:val="none" w:sz="0" w:space="0" w:color="auto"/>
                                                <w:left w:val="none" w:sz="0" w:space="0" w:color="auto"/>
                                                <w:bottom w:val="none" w:sz="0" w:space="0" w:color="auto"/>
                                                <w:right w:val="none" w:sz="0" w:space="0" w:color="auto"/>
                                              </w:divBdr>
                                              <w:divsChild>
                                                <w:div w:id="746807894">
                                                  <w:marLeft w:val="0"/>
                                                  <w:marRight w:val="0"/>
                                                  <w:marTop w:val="0"/>
                                                  <w:marBottom w:val="0"/>
                                                  <w:divBdr>
                                                    <w:top w:val="none" w:sz="0" w:space="0" w:color="auto"/>
                                                    <w:left w:val="none" w:sz="0" w:space="0" w:color="auto"/>
                                                    <w:bottom w:val="none" w:sz="0" w:space="0" w:color="auto"/>
                                                    <w:right w:val="none" w:sz="0" w:space="0" w:color="auto"/>
                                                  </w:divBdr>
                                                  <w:divsChild>
                                                    <w:div w:id="3047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2238394">
      <w:bodyDiv w:val="1"/>
      <w:marLeft w:val="0"/>
      <w:marRight w:val="0"/>
      <w:marTop w:val="0"/>
      <w:marBottom w:val="0"/>
      <w:divBdr>
        <w:top w:val="none" w:sz="0" w:space="0" w:color="auto"/>
        <w:left w:val="none" w:sz="0" w:space="0" w:color="auto"/>
        <w:bottom w:val="none" w:sz="0" w:space="0" w:color="auto"/>
        <w:right w:val="none" w:sz="0" w:space="0" w:color="auto"/>
      </w:divBdr>
      <w:divsChild>
        <w:div w:id="604848182">
          <w:marLeft w:val="0"/>
          <w:marRight w:val="0"/>
          <w:marTop w:val="0"/>
          <w:marBottom w:val="0"/>
          <w:divBdr>
            <w:top w:val="none" w:sz="0" w:space="0" w:color="auto"/>
            <w:left w:val="none" w:sz="0" w:space="0" w:color="auto"/>
            <w:bottom w:val="none" w:sz="0" w:space="0" w:color="auto"/>
            <w:right w:val="none" w:sz="0" w:space="0" w:color="auto"/>
          </w:divBdr>
          <w:divsChild>
            <w:div w:id="991101132">
              <w:marLeft w:val="0"/>
              <w:marRight w:val="0"/>
              <w:marTop w:val="0"/>
              <w:marBottom w:val="0"/>
              <w:divBdr>
                <w:top w:val="none" w:sz="0" w:space="0" w:color="auto"/>
                <w:left w:val="none" w:sz="0" w:space="0" w:color="auto"/>
                <w:bottom w:val="none" w:sz="0" w:space="0" w:color="auto"/>
                <w:right w:val="none" w:sz="0" w:space="0" w:color="auto"/>
              </w:divBdr>
              <w:divsChild>
                <w:div w:id="1847211610">
                  <w:marLeft w:val="0"/>
                  <w:marRight w:val="0"/>
                  <w:marTop w:val="0"/>
                  <w:marBottom w:val="0"/>
                  <w:divBdr>
                    <w:top w:val="none" w:sz="0" w:space="0" w:color="auto"/>
                    <w:left w:val="none" w:sz="0" w:space="0" w:color="auto"/>
                    <w:bottom w:val="none" w:sz="0" w:space="0" w:color="auto"/>
                    <w:right w:val="none" w:sz="0" w:space="0" w:color="auto"/>
                  </w:divBdr>
                  <w:divsChild>
                    <w:div w:id="889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489262">
      <w:bodyDiv w:val="1"/>
      <w:marLeft w:val="0"/>
      <w:marRight w:val="0"/>
      <w:marTop w:val="0"/>
      <w:marBottom w:val="0"/>
      <w:divBdr>
        <w:top w:val="none" w:sz="0" w:space="0" w:color="auto"/>
        <w:left w:val="none" w:sz="0" w:space="0" w:color="auto"/>
        <w:bottom w:val="none" w:sz="0" w:space="0" w:color="auto"/>
        <w:right w:val="none" w:sz="0" w:space="0" w:color="auto"/>
      </w:divBdr>
    </w:div>
    <w:div w:id="1781686029">
      <w:bodyDiv w:val="1"/>
      <w:marLeft w:val="0"/>
      <w:marRight w:val="0"/>
      <w:marTop w:val="0"/>
      <w:marBottom w:val="0"/>
      <w:divBdr>
        <w:top w:val="none" w:sz="0" w:space="0" w:color="auto"/>
        <w:left w:val="none" w:sz="0" w:space="0" w:color="auto"/>
        <w:bottom w:val="none" w:sz="0" w:space="0" w:color="auto"/>
        <w:right w:val="none" w:sz="0" w:space="0" w:color="auto"/>
      </w:divBdr>
    </w:div>
    <w:div w:id="1850293298">
      <w:bodyDiv w:val="1"/>
      <w:marLeft w:val="0"/>
      <w:marRight w:val="0"/>
      <w:marTop w:val="0"/>
      <w:marBottom w:val="0"/>
      <w:divBdr>
        <w:top w:val="none" w:sz="0" w:space="0" w:color="auto"/>
        <w:left w:val="none" w:sz="0" w:space="0" w:color="auto"/>
        <w:bottom w:val="none" w:sz="0" w:space="0" w:color="auto"/>
        <w:right w:val="none" w:sz="0" w:space="0" w:color="auto"/>
      </w:divBdr>
    </w:div>
    <w:div w:id="1873299190">
      <w:bodyDiv w:val="1"/>
      <w:marLeft w:val="0"/>
      <w:marRight w:val="0"/>
      <w:marTop w:val="0"/>
      <w:marBottom w:val="0"/>
      <w:divBdr>
        <w:top w:val="none" w:sz="0" w:space="0" w:color="auto"/>
        <w:left w:val="none" w:sz="0" w:space="0" w:color="auto"/>
        <w:bottom w:val="none" w:sz="0" w:space="0" w:color="auto"/>
        <w:right w:val="none" w:sz="0" w:space="0" w:color="auto"/>
      </w:divBdr>
    </w:div>
    <w:div w:id="1888561163">
      <w:bodyDiv w:val="1"/>
      <w:marLeft w:val="0"/>
      <w:marRight w:val="0"/>
      <w:marTop w:val="0"/>
      <w:marBottom w:val="0"/>
      <w:divBdr>
        <w:top w:val="none" w:sz="0" w:space="0" w:color="auto"/>
        <w:left w:val="none" w:sz="0" w:space="0" w:color="auto"/>
        <w:bottom w:val="none" w:sz="0" w:space="0" w:color="auto"/>
        <w:right w:val="none" w:sz="0" w:space="0" w:color="auto"/>
      </w:divBdr>
    </w:div>
    <w:div w:id="1889682398">
      <w:bodyDiv w:val="1"/>
      <w:marLeft w:val="0"/>
      <w:marRight w:val="0"/>
      <w:marTop w:val="0"/>
      <w:marBottom w:val="0"/>
      <w:divBdr>
        <w:top w:val="none" w:sz="0" w:space="0" w:color="auto"/>
        <w:left w:val="none" w:sz="0" w:space="0" w:color="auto"/>
        <w:bottom w:val="none" w:sz="0" w:space="0" w:color="auto"/>
        <w:right w:val="none" w:sz="0" w:space="0" w:color="auto"/>
      </w:divBdr>
    </w:div>
    <w:div w:id="1892035649">
      <w:bodyDiv w:val="1"/>
      <w:marLeft w:val="0"/>
      <w:marRight w:val="0"/>
      <w:marTop w:val="0"/>
      <w:marBottom w:val="0"/>
      <w:divBdr>
        <w:top w:val="none" w:sz="0" w:space="0" w:color="auto"/>
        <w:left w:val="none" w:sz="0" w:space="0" w:color="auto"/>
        <w:bottom w:val="none" w:sz="0" w:space="0" w:color="auto"/>
        <w:right w:val="none" w:sz="0" w:space="0" w:color="auto"/>
      </w:divBdr>
    </w:div>
    <w:div w:id="1917936341">
      <w:bodyDiv w:val="1"/>
      <w:marLeft w:val="0"/>
      <w:marRight w:val="0"/>
      <w:marTop w:val="0"/>
      <w:marBottom w:val="0"/>
      <w:divBdr>
        <w:top w:val="none" w:sz="0" w:space="0" w:color="auto"/>
        <w:left w:val="none" w:sz="0" w:space="0" w:color="auto"/>
        <w:bottom w:val="none" w:sz="0" w:space="0" w:color="auto"/>
        <w:right w:val="none" w:sz="0" w:space="0" w:color="auto"/>
      </w:divBdr>
    </w:div>
    <w:div w:id="1930239086">
      <w:bodyDiv w:val="1"/>
      <w:marLeft w:val="0"/>
      <w:marRight w:val="0"/>
      <w:marTop w:val="0"/>
      <w:marBottom w:val="0"/>
      <w:divBdr>
        <w:top w:val="none" w:sz="0" w:space="0" w:color="auto"/>
        <w:left w:val="none" w:sz="0" w:space="0" w:color="auto"/>
        <w:bottom w:val="none" w:sz="0" w:space="0" w:color="auto"/>
        <w:right w:val="none" w:sz="0" w:space="0" w:color="auto"/>
      </w:divBdr>
    </w:div>
    <w:div w:id="1964966803">
      <w:bodyDiv w:val="1"/>
      <w:marLeft w:val="0"/>
      <w:marRight w:val="0"/>
      <w:marTop w:val="0"/>
      <w:marBottom w:val="0"/>
      <w:divBdr>
        <w:top w:val="none" w:sz="0" w:space="0" w:color="auto"/>
        <w:left w:val="none" w:sz="0" w:space="0" w:color="auto"/>
        <w:bottom w:val="none" w:sz="0" w:space="0" w:color="auto"/>
        <w:right w:val="none" w:sz="0" w:space="0" w:color="auto"/>
      </w:divBdr>
    </w:div>
    <w:div w:id="1970166593">
      <w:bodyDiv w:val="1"/>
      <w:marLeft w:val="0"/>
      <w:marRight w:val="0"/>
      <w:marTop w:val="0"/>
      <w:marBottom w:val="0"/>
      <w:divBdr>
        <w:top w:val="none" w:sz="0" w:space="0" w:color="auto"/>
        <w:left w:val="none" w:sz="0" w:space="0" w:color="auto"/>
        <w:bottom w:val="none" w:sz="0" w:space="0" w:color="auto"/>
        <w:right w:val="none" w:sz="0" w:space="0" w:color="auto"/>
      </w:divBdr>
      <w:divsChild>
        <w:div w:id="640502000">
          <w:marLeft w:val="0"/>
          <w:marRight w:val="0"/>
          <w:marTop w:val="0"/>
          <w:marBottom w:val="0"/>
          <w:divBdr>
            <w:top w:val="none" w:sz="0" w:space="0" w:color="auto"/>
            <w:left w:val="none" w:sz="0" w:space="0" w:color="auto"/>
            <w:bottom w:val="none" w:sz="0" w:space="0" w:color="auto"/>
            <w:right w:val="none" w:sz="0" w:space="0" w:color="auto"/>
          </w:divBdr>
        </w:div>
        <w:div w:id="933782514">
          <w:marLeft w:val="0"/>
          <w:marRight w:val="0"/>
          <w:marTop w:val="0"/>
          <w:marBottom w:val="0"/>
          <w:divBdr>
            <w:top w:val="none" w:sz="0" w:space="0" w:color="auto"/>
            <w:left w:val="none" w:sz="0" w:space="0" w:color="auto"/>
            <w:bottom w:val="none" w:sz="0" w:space="0" w:color="auto"/>
            <w:right w:val="none" w:sz="0" w:space="0" w:color="auto"/>
          </w:divBdr>
        </w:div>
        <w:div w:id="1178616792">
          <w:marLeft w:val="0"/>
          <w:marRight w:val="0"/>
          <w:marTop w:val="0"/>
          <w:marBottom w:val="0"/>
          <w:divBdr>
            <w:top w:val="none" w:sz="0" w:space="0" w:color="auto"/>
            <w:left w:val="none" w:sz="0" w:space="0" w:color="auto"/>
            <w:bottom w:val="none" w:sz="0" w:space="0" w:color="auto"/>
            <w:right w:val="none" w:sz="0" w:space="0" w:color="auto"/>
          </w:divBdr>
        </w:div>
        <w:div w:id="1244100007">
          <w:marLeft w:val="0"/>
          <w:marRight w:val="0"/>
          <w:marTop w:val="0"/>
          <w:marBottom w:val="0"/>
          <w:divBdr>
            <w:top w:val="none" w:sz="0" w:space="0" w:color="auto"/>
            <w:left w:val="none" w:sz="0" w:space="0" w:color="auto"/>
            <w:bottom w:val="none" w:sz="0" w:space="0" w:color="auto"/>
            <w:right w:val="none" w:sz="0" w:space="0" w:color="auto"/>
          </w:divBdr>
        </w:div>
        <w:div w:id="1474179947">
          <w:marLeft w:val="0"/>
          <w:marRight w:val="0"/>
          <w:marTop w:val="0"/>
          <w:marBottom w:val="0"/>
          <w:divBdr>
            <w:top w:val="none" w:sz="0" w:space="0" w:color="auto"/>
            <w:left w:val="none" w:sz="0" w:space="0" w:color="auto"/>
            <w:bottom w:val="none" w:sz="0" w:space="0" w:color="auto"/>
            <w:right w:val="none" w:sz="0" w:space="0" w:color="auto"/>
          </w:divBdr>
        </w:div>
        <w:div w:id="1642493426">
          <w:marLeft w:val="0"/>
          <w:marRight w:val="0"/>
          <w:marTop w:val="0"/>
          <w:marBottom w:val="0"/>
          <w:divBdr>
            <w:top w:val="none" w:sz="0" w:space="0" w:color="auto"/>
            <w:left w:val="none" w:sz="0" w:space="0" w:color="auto"/>
            <w:bottom w:val="none" w:sz="0" w:space="0" w:color="auto"/>
            <w:right w:val="none" w:sz="0" w:space="0" w:color="auto"/>
          </w:divBdr>
        </w:div>
      </w:divsChild>
    </w:div>
    <w:div w:id="2002346088">
      <w:bodyDiv w:val="1"/>
      <w:marLeft w:val="0"/>
      <w:marRight w:val="0"/>
      <w:marTop w:val="0"/>
      <w:marBottom w:val="0"/>
      <w:divBdr>
        <w:top w:val="none" w:sz="0" w:space="0" w:color="auto"/>
        <w:left w:val="none" w:sz="0" w:space="0" w:color="auto"/>
        <w:bottom w:val="none" w:sz="0" w:space="0" w:color="auto"/>
        <w:right w:val="none" w:sz="0" w:space="0" w:color="auto"/>
      </w:divBdr>
    </w:div>
    <w:div w:id="2004162294">
      <w:bodyDiv w:val="1"/>
      <w:marLeft w:val="0"/>
      <w:marRight w:val="0"/>
      <w:marTop w:val="0"/>
      <w:marBottom w:val="0"/>
      <w:divBdr>
        <w:top w:val="none" w:sz="0" w:space="0" w:color="auto"/>
        <w:left w:val="none" w:sz="0" w:space="0" w:color="auto"/>
        <w:bottom w:val="none" w:sz="0" w:space="0" w:color="auto"/>
        <w:right w:val="none" w:sz="0" w:space="0" w:color="auto"/>
      </w:divBdr>
    </w:div>
    <w:div w:id="2042050037">
      <w:bodyDiv w:val="1"/>
      <w:marLeft w:val="0"/>
      <w:marRight w:val="0"/>
      <w:marTop w:val="0"/>
      <w:marBottom w:val="0"/>
      <w:divBdr>
        <w:top w:val="none" w:sz="0" w:space="0" w:color="auto"/>
        <w:left w:val="none" w:sz="0" w:space="0" w:color="auto"/>
        <w:bottom w:val="none" w:sz="0" w:space="0" w:color="auto"/>
        <w:right w:val="none" w:sz="0" w:space="0" w:color="auto"/>
      </w:divBdr>
    </w:div>
    <w:div w:id="2068530383">
      <w:bodyDiv w:val="1"/>
      <w:marLeft w:val="0"/>
      <w:marRight w:val="0"/>
      <w:marTop w:val="0"/>
      <w:marBottom w:val="0"/>
      <w:divBdr>
        <w:top w:val="none" w:sz="0" w:space="0" w:color="auto"/>
        <w:left w:val="none" w:sz="0" w:space="0" w:color="auto"/>
        <w:bottom w:val="none" w:sz="0" w:space="0" w:color="auto"/>
        <w:right w:val="none" w:sz="0" w:space="0" w:color="auto"/>
      </w:divBdr>
    </w:div>
    <w:div w:id="2074884469">
      <w:bodyDiv w:val="1"/>
      <w:marLeft w:val="0"/>
      <w:marRight w:val="0"/>
      <w:marTop w:val="0"/>
      <w:marBottom w:val="0"/>
      <w:divBdr>
        <w:top w:val="none" w:sz="0" w:space="0" w:color="auto"/>
        <w:left w:val="none" w:sz="0" w:space="0" w:color="auto"/>
        <w:bottom w:val="none" w:sz="0" w:space="0" w:color="auto"/>
        <w:right w:val="none" w:sz="0" w:space="0" w:color="auto"/>
      </w:divBdr>
    </w:div>
    <w:div w:id="2078090818">
      <w:bodyDiv w:val="1"/>
      <w:marLeft w:val="0"/>
      <w:marRight w:val="0"/>
      <w:marTop w:val="0"/>
      <w:marBottom w:val="0"/>
      <w:divBdr>
        <w:top w:val="none" w:sz="0" w:space="0" w:color="auto"/>
        <w:left w:val="none" w:sz="0" w:space="0" w:color="auto"/>
        <w:bottom w:val="none" w:sz="0" w:space="0" w:color="auto"/>
        <w:right w:val="none" w:sz="0" w:space="0" w:color="auto"/>
      </w:divBdr>
    </w:div>
    <w:div w:id="2089880350">
      <w:bodyDiv w:val="1"/>
      <w:marLeft w:val="0"/>
      <w:marRight w:val="0"/>
      <w:marTop w:val="0"/>
      <w:marBottom w:val="0"/>
      <w:divBdr>
        <w:top w:val="none" w:sz="0" w:space="0" w:color="auto"/>
        <w:left w:val="none" w:sz="0" w:space="0" w:color="auto"/>
        <w:bottom w:val="none" w:sz="0" w:space="0" w:color="auto"/>
        <w:right w:val="none" w:sz="0" w:space="0" w:color="auto"/>
      </w:divBdr>
      <w:divsChild>
        <w:div w:id="1884823319">
          <w:marLeft w:val="360"/>
          <w:marRight w:val="0"/>
          <w:marTop w:val="200"/>
          <w:marBottom w:val="0"/>
          <w:divBdr>
            <w:top w:val="none" w:sz="0" w:space="0" w:color="auto"/>
            <w:left w:val="none" w:sz="0" w:space="0" w:color="auto"/>
            <w:bottom w:val="none" w:sz="0" w:space="0" w:color="auto"/>
            <w:right w:val="none" w:sz="0" w:space="0" w:color="auto"/>
          </w:divBdr>
        </w:div>
        <w:div w:id="319820684">
          <w:marLeft w:val="360"/>
          <w:marRight w:val="0"/>
          <w:marTop w:val="200"/>
          <w:marBottom w:val="0"/>
          <w:divBdr>
            <w:top w:val="none" w:sz="0" w:space="0" w:color="auto"/>
            <w:left w:val="none" w:sz="0" w:space="0" w:color="auto"/>
            <w:bottom w:val="none" w:sz="0" w:space="0" w:color="auto"/>
            <w:right w:val="none" w:sz="0" w:space="0" w:color="auto"/>
          </w:divBdr>
        </w:div>
        <w:div w:id="688289866">
          <w:marLeft w:val="360"/>
          <w:marRight w:val="0"/>
          <w:marTop w:val="200"/>
          <w:marBottom w:val="0"/>
          <w:divBdr>
            <w:top w:val="none" w:sz="0" w:space="0" w:color="auto"/>
            <w:left w:val="none" w:sz="0" w:space="0" w:color="auto"/>
            <w:bottom w:val="none" w:sz="0" w:space="0" w:color="auto"/>
            <w:right w:val="none" w:sz="0" w:space="0" w:color="auto"/>
          </w:divBdr>
        </w:div>
        <w:div w:id="1667974729">
          <w:marLeft w:val="360"/>
          <w:marRight w:val="0"/>
          <w:marTop w:val="200"/>
          <w:marBottom w:val="0"/>
          <w:divBdr>
            <w:top w:val="none" w:sz="0" w:space="0" w:color="auto"/>
            <w:left w:val="none" w:sz="0" w:space="0" w:color="auto"/>
            <w:bottom w:val="none" w:sz="0" w:space="0" w:color="auto"/>
            <w:right w:val="none" w:sz="0" w:space="0" w:color="auto"/>
          </w:divBdr>
        </w:div>
      </w:divsChild>
    </w:div>
    <w:div w:id="2092122547">
      <w:bodyDiv w:val="1"/>
      <w:marLeft w:val="0"/>
      <w:marRight w:val="0"/>
      <w:marTop w:val="0"/>
      <w:marBottom w:val="0"/>
      <w:divBdr>
        <w:top w:val="none" w:sz="0" w:space="0" w:color="auto"/>
        <w:left w:val="none" w:sz="0" w:space="0" w:color="auto"/>
        <w:bottom w:val="none" w:sz="0" w:space="0" w:color="auto"/>
        <w:right w:val="none" w:sz="0" w:space="0" w:color="auto"/>
      </w:divBdr>
    </w:div>
    <w:div w:id="214519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eader" Target="header14.xml"/><Relationship Id="rId21" Type="http://schemas.openxmlformats.org/officeDocument/2006/relationships/header" Target="header6.xml"/><Relationship Id="rId42" Type="http://schemas.openxmlformats.org/officeDocument/2006/relationships/customXml" Target="ink/ink1.xml"/><Relationship Id="rId47" Type="http://schemas.openxmlformats.org/officeDocument/2006/relationships/footer" Target="footer2.xml"/><Relationship Id="rId63" Type="http://schemas.openxmlformats.org/officeDocument/2006/relationships/hyperlink" Target="http://www.cleanenergyregulator.gov.au/NGER/National%20greenhouse%20and%20energy%20reporting%20data/electricity-sector-emissions-and-generation-data/electricity-sector-emissions-and-generation-data-2016-17" TargetMode="External"/><Relationship Id="rId68" Type="http://schemas.openxmlformats.org/officeDocument/2006/relationships/hyperlink" Target="http://www.cleanenergyregulator.gov.au/Infohub/Markets/buying-accus/australian-carbon-credit-unit-market-updates/december-2018" TargetMode="External"/><Relationship Id="rId84" Type="http://schemas.openxmlformats.org/officeDocument/2006/relationships/hyperlink" Target="https://www.energy.gov.au/government-priorities/energy-security/energy-security-assessments" TargetMode="External"/><Relationship Id="rId89" Type="http://schemas.openxmlformats.org/officeDocument/2006/relationships/hyperlink" Target="https://ec.gc.ca/gu-sw/default.asp?lang=En&amp;n=18E16F61-1&amp;offset=1" TargetMode="External"/><Relationship Id="rId112" Type="http://schemas.openxmlformats.org/officeDocument/2006/relationships/hyperlink" Target="https://ghgprotocol.org/sites/default/files/standards/ghg-protocol-revised.pdf" TargetMode="External"/><Relationship Id="rId16" Type="http://schemas.openxmlformats.org/officeDocument/2006/relationships/image" Target="media/image4.png"/><Relationship Id="rId107" Type="http://schemas.openxmlformats.org/officeDocument/2006/relationships/hyperlink" Target="https://www.ecologique-solidaire.gouv.fr/sites/default/files/Guide%20m%C3%A9thodologique%20sp%C3%A9cifique%20pour%20les%20collectivit%C3%A9s%20pour%20la%20r%C3%A9alisation%20du%20bilan%20d%E2%80%99%C3%A9missions%20de%20GES.pdf" TargetMode="External"/><Relationship Id="rId11" Type="http://schemas.openxmlformats.org/officeDocument/2006/relationships/footnotes" Target="footnotes.xml"/><Relationship Id="rId24" Type="http://schemas.openxmlformats.org/officeDocument/2006/relationships/image" Target="media/image5.gif"/><Relationship Id="rId32" Type="http://schemas.openxmlformats.org/officeDocument/2006/relationships/header" Target="header11.xml"/><Relationship Id="rId37" Type="http://schemas.openxmlformats.org/officeDocument/2006/relationships/image" Target="media/image15.png"/><Relationship Id="rId40" Type="http://schemas.openxmlformats.org/officeDocument/2006/relationships/header" Target="header12.xml"/><Relationship Id="rId45" Type="http://schemas.openxmlformats.org/officeDocument/2006/relationships/image" Target="media/image21.png"/><Relationship Id="rId53" Type="http://schemas.openxmlformats.org/officeDocument/2006/relationships/hyperlink" Target="https://www.bhp.com/-/media/documents/investors/annual-reports/2018/bhpscoper3emissionscalculationmethodology2018.pdf?la=en" TargetMode="External"/><Relationship Id="rId58" Type="http://schemas.openxmlformats.org/officeDocument/2006/relationships/hyperlink" Target="http://www.cleanenergyregulator.gov.au/Infohub/Markets/Pages/Buying-ACCUs.aspx" TargetMode="External"/><Relationship Id="rId66" Type="http://schemas.openxmlformats.org/officeDocument/2006/relationships/hyperlink" Target="http://www.cleanenergyregulator.gov.au/NGER/National%20greenhouse%20and%20energy%20reporting%20data/safeguard-facility-reported-emissions/safeguard-facility-emissions-2016-17" TargetMode="External"/><Relationship Id="rId74" Type="http://schemas.openxmlformats.org/officeDocument/2006/relationships/hyperlink" Target="http://www.cleanenergyregulator.gov.au/Infohub/CPM/About-the-mechanism" TargetMode="External"/><Relationship Id="rId79" Type="http://schemas.openxmlformats.org/officeDocument/2006/relationships/hyperlink" Target="http://www.environment.gov.au/system/files/resources/d24bb1e1-3c93-4a78-98b0-61a8e506821c/files/ncos-organisations.pdf" TargetMode="External"/><Relationship Id="rId87" Type="http://schemas.openxmlformats.org/officeDocument/2006/relationships/hyperlink" Target="http://pandora.nla.gov.au/pan/142904/20130920-1151/climatechange.gov.au/climate-change/greenhouse-gas-measurement-and-reporting/company-emissions-measurement/national/nger-consultations/streamlining-reporting-under-national-greenhouse-and-energy-reporting-scheme.html" TargetMode="External"/><Relationship Id="rId102" Type="http://schemas.openxmlformats.org/officeDocument/2006/relationships/hyperlink" Target="https://icapcarbonaction.com/en/index.php?option=com_attach&amp;task=download&amp;id=114" TargetMode="External"/><Relationship Id="rId110" Type="http://schemas.openxmlformats.org/officeDocument/2006/relationships/hyperlink" Target="https://www.fsb-tcfd.org/wp-content/uploads/2017/06/FINAL-2017-TCFD-Report-11052018.pdf" TargetMode="External"/><Relationship Id="rId115" Type="http://schemas.openxmlformats.org/officeDocument/2006/relationships/hyperlink" Target="https://www.epa.gov/ghgreporting" TargetMode="External"/><Relationship Id="rId123"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hyperlink" Target="http://www.cleanenergyregulator.gov.au/About/Compliance-and-Enforcement/Compliance%20and%20enforcement%20action/enforceable-undertakings/Current-enforceable-undertakings" TargetMode="External"/><Relationship Id="rId82" Type="http://schemas.openxmlformats.org/officeDocument/2006/relationships/hyperlink" Target="http://www.environment.gov.au/system/files/resources/d0f92314-912f-405e-8982-d342dd932704/files/ncos-appendixa.pdf" TargetMode="External"/><Relationship Id="rId90" Type="http://schemas.openxmlformats.org/officeDocument/2006/relationships/hyperlink" Target="https://ec.europa.eu/clima/sites/clima/files/docs/ets_handbook_en.pdf" TargetMode="External"/><Relationship Id="rId95" Type="http://schemas.openxmlformats.org/officeDocument/2006/relationships/hyperlink" Target="https://www.grain.org/article/entries/5976-emissions-impossible-how-big-meat-and-dairy-are-heating-up-the-planet" TargetMode="External"/><Relationship Id="rId1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header" Target="header10.xml"/><Relationship Id="rId35" Type="http://schemas.openxmlformats.org/officeDocument/2006/relationships/image" Target="media/image13.png"/><Relationship Id="rId43" Type="http://schemas.openxmlformats.org/officeDocument/2006/relationships/image" Target="media/image19.emf"/><Relationship Id="rId48" Type="http://schemas.openxmlformats.org/officeDocument/2006/relationships/header" Target="header13.xml"/><Relationship Id="rId56" Type="http://schemas.openxmlformats.org/officeDocument/2006/relationships/hyperlink" Target="https://cpd.org.au/2016/10/directorsduties/" TargetMode="External"/><Relationship Id="rId64" Type="http://schemas.openxmlformats.org/officeDocument/2006/relationships/hyperlink" Target="http://www.cleanenergyregulator.gov.au/ERF/project-and-contracts-registers/project-register" TargetMode="External"/><Relationship Id="rId69" Type="http://schemas.openxmlformats.org/officeDocument/2006/relationships/hyperlink" Target="http://www.cleanenergyregulator.gov.au/NGER/National%20greenhouse%20and%20energy%20reporting%20data/What-data-is-published-and-why" TargetMode="External"/><Relationship Id="rId77" Type="http://schemas.openxmlformats.org/officeDocument/2006/relationships/hyperlink" Target="http://apps.daff.gov.au/AGSURF/agsurf.asp" TargetMode="External"/><Relationship Id="rId100" Type="http://schemas.openxmlformats.org/officeDocument/2006/relationships/hyperlink" Target="https://www.transparency-partnership.net/sites/default/files/ws15223_south_korea_gpa2015_en_long-fin.pdf" TargetMode="External"/><Relationship Id="rId105" Type="http://schemas.openxmlformats.org/officeDocument/2006/relationships/hyperlink" Target="http://www.mfe.govt.nz/sites/default/files/media/Climate%20Change/A%20Guide%20to%20the%20New%20Zealand%20Emissions%20Trading%20Scheme.pdf" TargetMode="External"/><Relationship Id="rId113" Type="http://schemas.openxmlformats.org/officeDocument/2006/relationships/hyperlink" Target="https://unfccc.int/sites/default/files/resource/2017%20ARR%20of%20AUS_complete.pdf" TargetMode="External"/><Relationship Id="rId118"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climatechangeauthority.gov.au/summary-submissions-review-national-greenhouse-and-energy-reporting-legislation" TargetMode="External"/><Relationship Id="rId72" Type="http://schemas.openxmlformats.org/officeDocument/2006/relationships/hyperlink" Target="http://www.cleanenergyregulator.gov.au/NGER/Reporting-cycle/Report" TargetMode="External"/><Relationship Id="rId80" Type="http://schemas.openxmlformats.org/officeDocument/2006/relationships/hyperlink" Target="http://www.environment.gov.au/climate-change/government/carbon-neutral/certified-businesses" TargetMode="External"/><Relationship Id="rId85" Type="http://schemas.openxmlformats.org/officeDocument/2006/relationships/hyperlink" Target="http://www.environment.gov.au/climate-change/climate-science-data/greenhouse-gas-measurement/how-inventory-works" TargetMode="External"/><Relationship Id="rId93" Type="http://schemas.openxmlformats.org/officeDocument/2006/relationships/hyperlink" Target="https://www.env.go.jp/earth/ondanka/ghg-mrv/unfccc/material/NIR-JPN-2017_E.pdf" TargetMode="External"/><Relationship Id="rId98" Type="http://schemas.openxmlformats.org/officeDocument/2006/relationships/hyperlink" Target="https://www.icao.int/environmental-protection/Documents/CorsiaBrochure_8Panels-ENG-Web.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hyperlink" Target="http://www.cleanenergyregulator.gov.au/OSR/CP" TargetMode="External"/><Relationship Id="rId67" Type="http://schemas.openxmlformats.org/officeDocument/2006/relationships/hyperlink" Target="http://www.cleanenergyregulator.gov.au/NGER/Pages/Reporting%20cycle/Complying%20with%20NGER/Use-of-voluntary-assurance-audit-reports-for-National-Greenhouse-and-Energy-Reporting.aspx" TargetMode="External"/><Relationship Id="rId103" Type="http://schemas.openxmlformats.org/officeDocument/2006/relationships/hyperlink" Target="https://www.mla.com.au/news-and-events/industry-news/red-meat-industry-can-be-carbon-neutral-by-2030/" TargetMode="External"/><Relationship Id="rId108" Type="http://schemas.openxmlformats.org/officeDocument/2006/relationships/hyperlink" Target="http://eng.me.go.kr/eng/web/index.do?menuId=207" TargetMode="External"/><Relationship Id="rId116" Type="http://schemas.openxmlformats.org/officeDocument/2006/relationships/hyperlink" Target="https://wriorg.s3.amazonaws.com/s3fs-public/designing_greenhouse_gas_reporting_systems.pdf?_ga=2.238027392.1488601087.1545095048-595207551.1545095048" TargetMode="External"/><Relationship Id="rId20"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hyperlink" Target="https://www.bhp.com/-/media/bhp/documents/investors/annual-reports/2016/161003_bhpbillitonscope3emissions.pdf?la=en" TargetMode="External"/><Relationship Id="rId62" Type="http://schemas.openxmlformats.org/officeDocument/2006/relationships/hyperlink" Target="http://www.cleanenergyregulator.gov.au/Infohub/Data-and-information/Data-and-Information" TargetMode="External"/><Relationship Id="rId70" Type="http://schemas.openxmlformats.org/officeDocument/2006/relationships/hyperlink" Target="http://www.cleanenergyregulator.gov.au/ERF/Choosing-a-project-type/Opportunities-for-industry/facility-methods/facilities-method" TargetMode="External"/><Relationship Id="rId75" Type="http://schemas.openxmlformats.org/officeDocument/2006/relationships/hyperlink" Target="http://www.ccacoalition.org/ru/resources/marrakech-communique" TargetMode="External"/><Relationship Id="rId83" Type="http://schemas.openxmlformats.org/officeDocument/2006/relationships/hyperlink" Target="https://www.energy.gov.au/government-priorities/energy-data" TargetMode="External"/><Relationship Id="rId88" Type="http://schemas.openxmlformats.org/officeDocument/2006/relationships/hyperlink" Target="http://webarchive.nla.gov.au/gov/20130905072559/http://www.climatechange.gov.au/climate-change/greenhouse-gas-measurement-and-reporting/company-emissions-measurement/national/nger-consultations/treatment-renewable-energy-national-greenhouse-and-energy-reporting-system" TargetMode="External"/><Relationship Id="rId91" Type="http://schemas.openxmlformats.org/officeDocument/2006/relationships/hyperlink" Target="https://ec.europa.eu/clima/policies/ets_en" TargetMode="External"/><Relationship Id="rId96" Type="http://schemas.openxmlformats.org/officeDocument/2006/relationships/hyperlink" Target="https://www.ipcc-nggip.iges.or.jp/public/mtdocs/pdfiles/1805_Expert_Meeting_on_SLCF_Report.pdf" TargetMode="External"/><Relationship Id="rId111" Type="http://schemas.openxmlformats.org/officeDocument/2006/relationships/hyperlink" Target="https://www.fsb-tcfd.org/wp-content/uploads/2017/12/FINAL-TCFD-Annex-Amended-121517.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image" Target="media/image8.jpeg"/><Relationship Id="rId36" Type="http://schemas.openxmlformats.org/officeDocument/2006/relationships/image" Target="media/image14.png"/><Relationship Id="rId49" Type="http://schemas.openxmlformats.org/officeDocument/2006/relationships/hyperlink" Target="http://www.climatechangeauthority.gov.au/submissions/submissions-received" TargetMode="External"/><Relationship Id="rId57" Type="http://schemas.openxmlformats.org/officeDocument/2006/relationships/hyperlink" Target="http://www.cleanenergyregulator.gov.au/ERF/project-and-contracts-registers/project-register/Historical-ACCU-data" TargetMode="External"/><Relationship Id="rId106" Type="http://schemas.openxmlformats.org/officeDocument/2006/relationships/hyperlink" Target="https://www.pmc.gov.au/sites/default/files/publications/aust_govt_public_data_policy_statement_1.pdf" TargetMode="External"/><Relationship Id="rId114" Type="http://schemas.openxmlformats.org/officeDocument/2006/relationships/hyperlink" Target="https://unfccc.int/resource/docs/2011/cmp7/eng/10a01.pdf" TargetMode="External"/><Relationship Id="rId119"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yperlink" Target="https://www.aemo.com.au/-/media/Files/PDF/NEM_Power_Station_Emissio_Intensities_Updated_Impact_Assessment.pdf" TargetMode="External"/><Relationship Id="rId60" Type="http://schemas.openxmlformats.org/officeDocument/2006/relationships/hyperlink" Target="http://www.cleanenergyregulator.gov.au/About/Policies-and-publications/Compliance-education-and-enforcement-policy" TargetMode="External"/><Relationship Id="rId65" Type="http://schemas.openxmlformats.org/officeDocument/2006/relationships/hyperlink" Target="http://www.cleanenergyregulator.gov.au/NGER/National%20greenhouse%20and%20energy%20reporting%20data/Safeguard-baselines-table" TargetMode="External"/><Relationship Id="rId73" Type="http://schemas.openxmlformats.org/officeDocument/2006/relationships/hyperlink" Target="http://www.cleanenergyregulator.gov.au/OSR/ANREU/The-Australian-national-registry-of-emissions-units" TargetMode="External"/><Relationship Id="rId78" Type="http://schemas.openxmlformats.org/officeDocument/2006/relationships/hyperlink" Target="http://www.environment.gov.au/climate-change/government/emissions-reduction-fund/consultation/safeguard-mechanism-legislative-amendments-2018" TargetMode="External"/><Relationship Id="rId81" Type="http://schemas.openxmlformats.org/officeDocument/2006/relationships/hyperlink" Target="https://www.energy.gov.au/government-priorities/international-activity" TargetMode="External"/><Relationship Id="rId86" Type="http://schemas.openxmlformats.org/officeDocument/2006/relationships/hyperlink" Target="https://www.environment.gov.au/system/files/resources/eb62f30f-3e0f-4bfa-bb7a-c87818160fcf/files/2017-projections-methodology.pdf" TargetMode="External"/><Relationship Id="rId94" Type="http://schemas.openxmlformats.org/officeDocument/2006/relationships/hyperlink" Target="https://www.canada.ca/en/environment-climate-change/services/climate-change/greenhouse-gas-emissions/facility-reporting/reporting/questions-answers.html" TargetMode="External"/><Relationship Id="rId99" Type="http://schemas.openxmlformats.org/officeDocument/2006/relationships/hyperlink" Target="http://www.imo.org/en/MediaCentre/HotTopics/GHG/Pages/default.aspx" TargetMode="External"/><Relationship Id="rId101" Type="http://schemas.openxmlformats.org/officeDocument/2006/relationships/hyperlink" Target="http://www.meti.go.jp/english/press/2018/0831_001.html"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7.png"/><Relationship Id="rId109" Type="http://schemas.openxmlformats.org/officeDocument/2006/relationships/hyperlink" Target="https://www.slideshare.net/sustainablebusinessaustralia/sba-climate-action-in-2017-report-release" TargetMode="External"/><Relationship Id="rId34" Type="http://schemas.openxmlformats.org/officeDocument/2006/relationships/image" Target="media/image12.png"/><Relationship Id="rId50" Type="http://schemas.openxmlformats.org/officeDocument/2006/relationships/hyperlink" Target="http://www.climatechangeauthority.gov.au/summary-submissions-review-national-greenhouse-and-energy-reporting-legislation" TargetMode="External"/><Relationship Id="rId55" Type="http://schemas.openxmlformats.org/officeDocument/2006/relationships/hyperlink" Target="https://marketplace.carbonmarketinstitute.org/" TargetMode="External"/><Relationship Id="rId76" Type="http://schemas.openxmlformats.org/officeDocument/2006/relationships/hyperlink" Target="https://www.commtrade.co.nz/" TargetMode="External"/><Relationship Id="rId97" Type="http://schemas.openxmlformats.org/officeDocument/2006/relationships/hyperlink" Target="https://www.thepmr.org/system/files/documents/KETS_HyunOh1.pdf" TargetMode="External"/><Relationship Id="rId104" Type="http://schemas.openxmlformats.org/officeDocument/2006/relationships/hyperlink" Target="https://www.thepmr.org/sites/wbpmr/files/Mexico_RENE_PMR_240915.pdf" TargetMode="External"/><Relationship Id="rId7" Type="http://schemas.openxmlformats.org/officeDocument/2006/relationships/numbering" Target="numbering.xml"/><Relationship Id="rId71" Type="http://schemas.openxmlformats.org/officeDocument/2006/relationships/hyperlink" Target="http://www.cleanenergyregulator.gov.au/NGER/Reporting-cycle/Register-and-deregister" TargetMode="External"/><Relationship Id="rId92" Type="http://schemas.openxmlformats.org/officeDocument/2006/relationships/hyperlink" Target="https://index.fairr.org/" TargetMode="External"/><Relationship Id="rId2" Type="http://schemas.openxmlformats.org/officeDocument/2006/relationships/customXml" Target="../customXml/item2.xml"/><Relationship Id="rId29"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www.climatechangeauthority.gov.au/summary-submissions-review-national-greenhouse-and-energy-reporting-legisl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03T04:30:04.053"/>
    </inkml:context>
    <inkml:brush xml:id="br0">
      <inkml:brushProperty name="width" value="0.0175" units="cm"/>
      <inkml:brushProperty name="height" value="0.0175" units="cm"/>
      <inkml:brushProperty name="color" value="#ED1C24"/>
    </inkml:brush>
  </inkml:definitions>
  <inkml:trace contextRef="#ctx0" brushRef="#br0">17119 9751 10880,'25'0'4032,"-25"0"-3136,13 11-257</inkml:trace>
</inkml:ink>
</file>

<file path=word/theme/theme1.xml><?xml version="1.0" encoding="utf-8"?>
<a:theme xmlns:a="http://schemas.openxmlformats.org/drawingml/2006/main" name="CCA_Report3_ColourTheme">
  <a:themeElements>
    <a:clrScheme name="CCA_Report3">
      <a:dk1>
        <a:srgbClr val="000000"/>
      </a:dk1>
      <a:lt1>
        <a:srgbClr val="FFFFFF"/>
      </a:lt1>
      <a:dk2>
        <a:srgbClr val="309CC8"/>
      </a:dk2>
      <a:lt2>
        <a:srgbClr val="E7E6E6"/>
      </a:lt2>
      <a:accent1>
        <a:srgbClr val="309CC8"/>
      </a:accent1>
      <a:accent2>
        <a:srgbClr val="309CC8"/>
      </a:accent2>
      <a:accent3>
        <a:srgbClr val="309CC8"/>
      </a:accent3>
      <a:accent4>
        <a:srgbClr val="309CC8"/>
      </a:accent4>
      <a:accent5>
        <a:srgbClr val="309CC8"/>
      </a:accent5>
      <a:accent6>
        <a:srgbClr val="309CC8"/>
      </a:accent6>
      <a:hlink>
        <a:srgbClr val="309CC8"/>
      </a:hlink>
      <a:folHlink>
        <a:srgbClr val="309CC8"/>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CA_Report3_ColourTheme" id="{2B0601DB-F3AD-564E-A298-537514F2D457}" vid="{DE5AC80A-01EF-334D-A5E7-8A6E2632FD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Approval xmlns="e0c1e391-29fd-4ceb-82b5-dfc916cb1980" xsi:nil="true"/>
    <Function xmlns="e0c1e391-29fd-4ceb-82b5-dfc916cb1980">Administration</Function>
    <RecordNumber xmlns="e0c1e391-29fd-4ceb-82b5-dfc916cb1980" xsi:nil="true"/>
    <DocumentDescription xmlns="e0c1e391-29fd-4ceb-82b5-dfc916cb19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E2EA31D43EB7EC4B8C44239A8E4A9E6D0100CB38E12D67E42E4D84B3D88CB3A59BDB" ma:contentTypeVersion="3" ma:contentTypeDescription="Create a new Word Document" ma:contentTypeScope="" ma:versionID="20d90d40eed127960b8978ab4ea46f3b">
  <xsd:schema xmlns:xsd="http://www.w3.org/2001/XMLSchema" xmlns:xs="http://www.w3.org/2001/XMLSchema" xmlns:p="http://schemas.microsoft.com/office/2006/metadata/properties" xmlns:ns2="e0c1e391-29fd-4ceb-82b5-dfc916cb1980" targetNamespace="http://schemas.microsoft.com/office/2006/metadata/properties" ma:root="true" ma:fieldsID="7d75cb15d7aef1acdaa9c6e2917aad36" ns2:_="">
    <xsd:import namespace="e0c1e391-29fd-4ceb-82b5-dfc916cb1980"/>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1e391-29fd-4ceb-82b5-dfc916cb1980"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Climate Change"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A4734-DBC0-450D-8B59-DC583D14B908}">
  <ds:schemaRefs>
    <ds:schemaRef ds:uri="http://schemas.microsoft.com/office/2006/metadata/customXsn"/>
  </ds:schemaRefs>
</ds:datastoreItem>
</file>

<file path=customXml/itemProps2.xml><?xml version="1.0" encoding="utf-8"?>
<ds:datastoreItem xmlns:ds="http://schemas.openxmlformats.org/officeDocument/2006/customXml" ds:itemID="{77BA60F3-042F-41BB-9C35-3FDAD9CC1AFA}">
  <ds:schemaRefs>
    <ds:schemaRef ds:uri="http://schemas.microsoft.com/office/2006/documentManagement/types"/>
    <ds:schemaRef ds:uri="e0c1e391-29fd-4ceb-82b5-dfc916cb1980"/>
    <ds:schemaRef ds:uri="http://purl.org/dc/dcmitype/"/>
    <ds:schemaRef ds:uri="http://purl.org/dc/term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54B3C95-7D8F-49E7-8531-82F3DBCF6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1e391-29fd-4ceb-82b5-dfc916cb1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8A59DA-60F3-4581-B857-CB6E4818BDE6}">
  <ds:schemaRefs>
    <ds:schemaRef ds:uri="http://schemas.microsoft.com/sharepoint/v3/contenttype/forms"/>
  </ds:schemaRefs>
</ds:datastoreItem>
</file>

<file path=customXml/itemProps5.xml><?xml version="1.0" encoding="utf-8"?>
<ds:datastoreItem xmlns:ds="http://schemas.openxmlformats.org/officeDocument/2006/customXml" ds:itemID="{8303982F-F469-4B3B-AC6C-D85D58F6D8D5}">
  <ds:schemaRefs>
    <ds:schemaRef ds:uri="http://schemas.microsoft.com/sharepoint/events"/>
  </ds:schemaRefs>
</ds:datastoreItem>
</file>

<file path=customXml/itemProps6.xml><?xml version="1.0" encoding="utf-8"?>
<ds:datastoreItem xmlns:ds="http://schemas.openxmlformats.org/officeDocument/2006/customXml" ds:itemID="{3CD544BB-9382-492C-8FCD-773F5F62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B371F08A.dotm</Template>
  <TotalTime>1</TotalTime>
  <Pages>53</Pages>
  <Words>39898</Words>
  <Characters>227424</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Final report - complete</vt:lpstr>
    </vt:vector>
  </TitlesOfParts>
  <Company>The Department of the Environment</Company>
  <LinksUpToDate>false</LinksUpToDate>
  <CharactersWithSpaces>266789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complete</dc:title>
  <dc:creator>Patroni, Kathleen</dc:creator>
  <cp:lastModifiedBy>Tracey Arentz</cp:lastModifiedBy>
  <cp:revision>2</cp:revision>
  <cp:lastPrinted>2018-12-21T00:51:00Z</cp:lastPrinted>
  <dcterms:created xsi:type="dcterms:W3CDTF">2018-12-21T00:57:00Z</dcterms:created>
  <dcterms:modified xsi:type="dcterms:W3CDTF">2018-12-21T00:57:00Z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0x010100E2EA31D43EB7EC4B8C44239A8E4A9E6D0100CB38E12D67E42E4D84B3D88CB3A59BDB</vt:lpwstr>
  </property>
  <property fmtid="{D5CDD505-2E9C-101B-9397-08002B2CF9AE}" pid="3" name="RecordPoint_SubmissionDate">
    <vt:lpwstr/>
  </property>
  <property fmtid="{D5CDD505-2E9C-101B-9397-08002B2CF9AE}" pid="4" name="RecordPoint_ActiveItemMoved">
    <vt:lpwstr/>
  </property>
  <property fmtid="{D5CDD505-2E9C-101B-9397-08002B2CF9AE}" pid="5" name="RecordPoint_RecordFormat">
    <vt:lpwstr/>
  </property>
  <property fmtid="{D5CDD505-2E9C-101B-9397-08002B2CF9AE}" pid="6" name="RecordPoint_RecordNumberSubmitted">
    <vt:lpwstr/>
  </property>
  <property fmtid="{D5CDD505-2E9C-101B-9397-08002B2CF9AE}" pid="7" name="RecordPoint_SubmissionCompleted">
    <vt:lpwstr/>
  </property>
  <property fmtid="{D5CDD505-2E9C-101B-9397-08002B2CF9AE}" pid="8" name="RecordPoint_ActiveItemUniqueId">
    <vt:lpwstr/>
  </property>
  <property fmtid="{D5CDD505-2E9C-101B-9397-08002B2CF9AE}" pid="9" name="RecordPoint_WorkflowType">
    <vt:lpwstr/>
  </property>
  <property fmtid="{D5CDD505-2E9C-101B-9397-08002B2CF9AE}" pid="10" name="RecordPoint_ActiveItemSiteId">
    <vt:lpwstr/>
  </property>
  <property fmtid="{D5CDD505-2E9C-101B-9397-08002B2CF9AE}" pid="11" name="RecordPoint_ActiveItemListId">
    <vt:lpwstr/>
  </property>
  <property fmtid="{D5CDD505-2E9C-101B-9397-08002B2CF9AE}" pid="12" name="RecordPoint_ActiveItemWebId">
    <vt:lpwstr/>
  </property>
</Properties>
</file>